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220" w:type="dxa"/>
            <w:vAlign w:val="bottom"/>
          </w:tcPr>
          <w:p>
            <w:pPr>
              <w:spacing w:after="0"/>
              <w:rPr>
                <w:sz w:val="20"/>
                <w:szCs w:val="20"/>
                <w:color w:val="auto"/>
              </w:rPr>
            </w:pPr>
          </w:p>
        </w:tc>
      </w:tr>
      <w:tr>
        <w:trPr>
          <w:trHeight w:val="394"/>
        </w:trPr>
        <w:tc>
          <w:tcPr>
            <w:tcW w:w="6460" w:type="dxa"/>
            <w:vAlign w:val="bottom"/>
            <w:gridSpan w:val="3"/>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90"/>
        </w:trPr>
        <w:tc>
          <w:tcPr>
            <w:tcW w:w="646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22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220" w:type="dxa"/>
            <w:vAlign w:val="bottom"/>
          </w:tcPr>
          <w:p>
            <w:pPr>
              <w:spacing w:after="0"/>
              <w:rPr>
                <w:sz w:val="18"/>
                <w:szCs w:val="18"/>
                <w:color w:val="auto"/>
              </w:rPr>
            </w:pPr>
          </w:p>
        </w:tc>
      </w:tr>
      <w:tr>
        <w:trPr>
          <w:trHeight w:val="190"/>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220" w:type="dxa"/>
            <w:vAlign w:val="bottom"/>
          </w:tcPr>
          <w:p>
            <w:pPr>
              <w:spacing w:after="0"/>
              <w:rPr>
                <w:sz w:val="16"/>
                <w:szCs w:val="16"/>
                <w:color w:val="auto"/>
              </w:rPr>
            </w:pPr>
          </w:p>
        </w:tc>
      </w:tr>
      <w:tr>
        <w:trPr>
          <w:trHeight w:val="363"/>
        </w:trPr>
        <w:tc>
          <w:tcPr>
            <w:tcW w:w="5960" w:type="dxa"/>
            <w:vAlign w:val="bottom"/>
            <w:gridSpan w:val="2"/>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2220" w:type="dxa"/>
            <w:vAlign w:val="bottom"/>
          </w:tcPr>
          <w:p>
            <w:pPr>
              <w:spacing w:after="0"/>
              <w:rPr>
                <w:sz w:val="16"/>
                <w:szCs w:val="16"/>
                <w:color w:val="auto"/>
              </w:rPr>
            </w:pPr>
          </w:p>
        </w:tc>
      </w:tr>
      <w:tr>
        <w:trPr>
          <w:trHeight w:val="91"/>
        </w:trPr>
        <w:tc>
          <w:tcPr>
            <w:tcW w:w="346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3" w:right="319" w:bottom="1440" w:gutter="0" w:footer="0" w:header="0"/>
        </w:sectPr>
      </w:pPr>
    </w:p>
    <w:bookmarkStart w:id="1" w:name="page2"/>
    <w:bookmarkEnd w:id="1"/>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Item 1.01</w:t>
      </w:r>
      <w:r>
        <w:rPr>
          <w:sz w:val="20"/>
          <w:szCs w:val="20"/>
          <w:color w:val="auto"/>
        </w:rPr>
        <w:tab/>
      </w:r>
      <w:r>
        <w:rPr>
          <w:rFonts w:ascii="Times New Roman" w:cs="Times New Roman" w:eastAsia="Times New Roman" w:hAnsi="Times New Roman"/>
          <w:sz w:val="17"/>
          <w:szCs w:val="17"/>
          <w:color w:val="auto"/>
        </w:rPr>
        <w:t>ENTRY INTO A MATERIAL DEFINITIVE AGREEMENT</w:t>
      </w: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10, 2024, Brady Corporation (the “Company”) and certain of its subsidiaries entered into a Third Amendment to Credit Agreement (“Amendment No. 3”) with the lenders listed therein and BMO Bank N.A., as administrative agent, which amends that certain Credit Agreement, dated as of August 1, 2019, by and among the Company, certain of the Company’s subsidiaries, the lenders from time to time party thereto, the letter of credit issuers from time to time party thereto and BMO Bank N.A., as administrative agent (as amended by a First Amendment to Credit Agreement dated as of December 21, 2021, and as further amended by a Second Amendment to Credit Agreement dated as of November 14, 2022, the “Credit Agreement”).</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Amendment No. 3 amends the Credit Agreement to, among other things, change the applicable benchmark under the Credit Agreement for borrowings denominated in Canadian Dollars from the CDOR Rate to the adjusted Term CORRA Rate.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Amendment No. 3 does not purport to be complete and is qualified in its entirety by reference to the full text of Amendment No. 3, a copy of which is filed as Exhibit 10.1 to this report and is incorporated herein by reference.</w:t>
      </w:r>
    </w:p>
    <w:p>
      <w:pPr>
        <w:spacing w:after="0" w:line="391" w:lineRule="exact"/>
        <w:rPr>
          <w:sz w:val="20"/>
          <w:szCs w:val="20"/>
          <w:color w:val="auto"/>
        </w:rPr>
      </w:pPr>
    </w:p>
    <w:p>
      <w:pPr>
        <w:jc w:val="both"/>
        <w:ind w:left="1020" w:right="20" w:hanging="984"/>
        <w:spacing w:after="0" w:line="266" w:lineRule="auto"/>
        <w:tabs>
          <w:tab w:leader="none" w:pos="1000" w:val="left"/>
        </w:tabs>
        <w:rPr>
          <w:sz w:val="20"/>
          <w:szCs w:val="20"/>
          <w:color w:val="auto"/>
        </w:rPr>
      </w:pPr>
      <w:r>
        <w:rPr>
          <w:rFonts w:ascii="Times New Roman" w:cs="Times New Roman" w:eastAsia="Times New Roman" w:hAnsi="Times New Roman"/>
          <w:sz w:val="18"/>
          <w:szCs w:val="18"/>
          <w:color w:val="auto"/>
        </w:rPr>
        <w:t>Item 2.03</w:t>
      </w:r>
      <w:r>
        <w:rPr>
          <w:sz w:val="20"/>
          <w:szCs w:val="20"/>
          <w:color w:val="auto"/>
        </w:rPr>
        <w:tab/>
      </w:r>
      <w:r>
        <w:rPr>
          <w:rFonts w:ascii="Times New Roman" w:cs="Times New Roman" w:eastAsia="Times New Roman" w:hAnsi="Times New Roman"/>
          <w:sz w:val="18"/>
          <w:szCs w:val="18"/>
          <w:color w:val="auto"/>
        </w:rPr>
        <w:t>CREATION OF A DIRECT FINANCIAL OBLIGATION OR AN OBLIGATION UNDER AN OFF-BALANCE SHEET ARRANGEMENT OF A REGISTRANT</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above under Item 1.01 is incorporated herein by reference.</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8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48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77"/>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Third Amendment to Credit Agreement, dated as of October 10, 2024, by and among Brady Corporation and certain of its subsidiaries,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4880" w:type="dxa"/>
            <w:vAlign w:val="bottom"/>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lenders listed therein and BMO Bank N.A., as administrative agent.</w:t>
            </w:r>
          </w:p>
        </w:tc>
        <w:tc>
          <w:tcPr>
            <w:tcW w:w="518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180" w:type="dxa"/>
            <w:vAlign w:val="bottom"/>
          </w:tcPr>
          <w:p>
            <w:pPr>
              <w:spacing w:after="0"/>
              <w:rPr>
                <w:sz w:val="4"/>
                <w:szCs w:val="4"/>
                <w:color w:val="auto"/>
              </w:rPr>
            </w:pPr>
          </w:p>
        </w:tc>
        <w:tc>
          <w:tcPr>
            <w:tcW w:w="4880" w:type="dxa"/>
            <w:vAlign w:val="bottom"/>
            <w:tcBorders>
              <w:bottom w:val="single" w:sz="8" w:color="0000FF"/>
            </w:tcBorders>
            <w:vMerge w:val="continue"/>
          </w:tcPr>
          <w:p>
            <w:pPr>
              <w:spacing w:after="0"/>
              <w:rPr>
                <w:sz w:val="4"/>
                <w:szCs w:val="4"/>
                <w:color w:val="auto"/>
              </w:rPr>
            </w:pPr>
          </w:p>
        </w:tc>
        <w:tc>
          <w:tcPr>
            <w:tcW w:w="5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11, 2024</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93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THIRD AMENDMENT TO CREDIT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THIRD AMENDMENT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as of October 10, 2024, by and among BRADY CORPORATION, a Wisconsin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other Loan Parties party hereto, the undersigned Lenders (as defined below) and BMO BANK N.A., a national banking association, as administrative agent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the other Loan Parties party thereto, the financial institutions from time to time party thereto as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are party to that certain Credit Agreement, dated as of August 1, 2019 (as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and</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requested that the Administrative Agent and the Lenders party hereto make certain amendments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Credit Agreement, and the Administrative Agent and the Lenders party hereto are willing to do so on the terms and conditions set forth herein.</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agreements, provisions and covenants contained herein, the receipt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are hereby acknowledged, and subject to the conditions set forth herein, the parties hereto agree as follows:</w:t>
      </w:r>
    </w:p>
    <w:p>
      <w:pPr>
        <w:spacing w:after="0" w:line="156" w:lineRule="exact"/>
        <w:rPr>
          <w:sz w:val="20"/>
          <w:szCs w:val="20"/>
          <w:color w:val="auto"/>
        </w:rPr>
      </w:pPr>
    </w:p>
    <w:p>
      <w:pPr>
        <w:ind w:firstLine="656"/>
        <w:spacing w:after="0" w:line="269" w:lineRule="auto"/>
        <w:tabs>
          <w:tab w:leader="none" w:pos="12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and not otherwise defined herein have the definitions provided therefor in the Amended Credit Agreement.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 xml:space="preserve">. Effective as of the Effective Date (as defined below), the Credit Agreement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00FF"/>
        </w:rPr>
        <w:t>underlined text</w:t>
      </w:r>
      <w:r>
        <w:rPr>
          <w:rFonts w:ascii="Times New Roman" w:cs="Times New Roman" w:eastAsia="Times New Roman" w:hAnsi="Times New Roman"/>
          <w:sz w:val="20"/>
          <w:szCs w:val="20"/>
          <w:color w:val="auto"/>
        </w:rPr>
        <w:t xml:space="preserve">) as set forth in the document attached hereto as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effectiveness of this Amendment is subject to the satisfaction or waiver of the following conditions precedent (the date and time when all such conditions precedent shall have been satisfied being referred to herein as 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4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this Amendment, duly executed by the Loan Parties, the Administrative Agent and the Lenders;</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shall be true and correct;</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94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or be continuing, or would result from the consummation of the transactions contemplated by this Amendment, on the Effective Date;</w:t>
      </w:r>
    </w:p>
    <w:p>
      <w:pPr>
        <w:sectPr>
          <w:pgSz w:w="11900" w:h="16838" w:orient="portrait"/>
          <w:cols w:equalWidth="0" w:num="1">
            <w:col w:w="11240"/>
          </w:cols>
          <w:pgMar w:left="320" w:top="1409" w:right="339" w:bottom="1440" w:gutter="0" w:footer="0" w:header="0"/>
        </w:sectPr>
      </w:pPr>
    </w:p>
    <w:bookmarkStart w:id="3" w:name="page4"/>
    <w:bookmarkEnd w:id="3"/>
    <w:p>
      <w:pPr>
        <w:spacing w:after="0" w:line="189" w:lineRule="exact"/>
        <w:rPr>
          <w:sz w:val="20"/>
          <w:szCs w:val="20"/>
          <w:color w:val="auto"/>
        </w:rPr>
      </w:pPr>
    </w:p>
    <w:p>
      <w:pPr>
        <w:ind w:left="4" w:firstLine="644"/>
        <w:spacing w:after="0" w:line="283" w:lineRule="auto"/>
        <w:tabs>
          <w:tab w:leader="none" w:pos="12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paid all reasonable out-of-pocket invoiced fees, costs and expenses due and payable on the Effective Date under the Credit Agreement and the other Loan Documents; and</w:t>
      </w:r>
    </w:p>
    <w:p>
      <w:pPr>
        <w:spacing w:after="0" w:line="146" w:lineRule="exact"/>
        <w:rPr>
          <w:rFonts w:ascii="Times New Roman" w:cs="Times New Roman" w:eastAsia="Times New Roman" w:hAnsi="Times New Roman"/>
          <w:sz w:val="20"/>
          <w:szCs w:val="20"/>
          <w:color w:val="auto"/>
        </w:rPr>
      </w:pPr>
    </w:p>
    <w:p>
      <w:pPr>
        <w:ind w:left="4" w:firstLine="644"/>
        <w:spacing w:after="0" w:line="283" w:lineRule="auto"/>
        <w:tabs>
          <w:tab w:leader="none" w:pos="129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other information, documents, instruments or approvals as the Administrative Agent or the Lenders may reasonably request.</w:t>
      </w:r>
    </w:p>
    <w:p>
      <w:pPr>
        <w:spacing w:after="0" w:line="146" w:lineRule="exact"/>
        <w:rPr>
          <w:rFonts w:ascii="Times New Roman" w:cs="Times New Roman" w:eastAsia="Times New Roman" w:hAnsi="Times New Roman"/>
          <w:sz w:val="20"/>
          <w:szCs w:val="20"/>
          <w:color w:val="auto"/>
        </w:rPr>
      </w:pPr>
    </w:p>
    <w:p>
      <w:pPr>
        <w:ind w:left="-656" w:firstLine="656"/>
        <w:spacing w:after="0" w:line="283"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To induce the Administrative Agent and the Lenders to enter into this Amendment, each Loan Party hereby represents and warrants to the Administrative Agent and the Lenders that:</w:t>
      </w:r>
    </w:p>
    <w:p>
      <w:pPr>
        <w:spacing w:after="0" w:line="159"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Loan Party has taken all necessary corporate action to authorize the execution, delivery and performance of this</w:t>
      </w:r>
    </w:p>
    <w:p>
      <w:pPr>
        <w:spacing w:after="0" w:line="33" w:lineRule="exact"/>
        <w:rPr>
          <w:rFonts w:ascii="Times New Roman" w:cs="Times New Roman" w:eastAsia="Times New Roman" w:hAnsi="Times New Roman"/>
          <w:sz w:val="19"/>
          <w:szCs w:val="19"/>
          <w:color w:val="auto"/>
        </w:rPr>
      </w:pPr>
    </w:p>
    <w:p>
      <w:pPr>
        <w:ind w:left="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Amendment.</w:t>
      </w:r>
    </w:p>
    <w:p>
      <w:pPr>
        <w:spacing w:after="0" w:line="207" w:lineRule="exact"/>
        <w:rPr>
          <w:rFonts w:ascii="Times New Roman" w:cs="Times New Roman" w:eastAsia="Times New Roman" w:hAnsi="Times New Roman"/>
          <w:sz w:val="19"/>
          <w:szCs w:val="19"/>
          <w:color w:val="auto"/>
        </w:rPr>
      </w:pPr>
    </w:p>
    <w:p>
      <w:pPr>
        <w:jc w:val="both"/>
        <w:ind w:left="4" w:firstLine="644"/>
        <w:spacing w:after="0" w:line="253" w:lineRule="auto"/>
        <w:tabs>
          <w:tab w:leader="none" w:pos="12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such Loan Party and the Amended Credit Agreement constitutes such Loan Party’s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91"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execution, delivery or performance by such Loan Party of this Amendment, each Loan Party has received all necessary governmental and other third-party approvals (if any shall be required) the failure of which to obtain could reasonably be expected to have a Material Adverse Effect.</w:t>
      </w:r>
    </w:p>
    <w:p>
      <w:pPr>
        <w:spacing w:after="0" w:line="181"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2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date hereof immediately after giving effect to the terms of this Amendment, (i) no Default or Event of Default has occurred and is continuing and (ii) the representations and warranties (excluding the representation and warranty contained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of the Credit Agreement) of the Loan Parties set forth in the Credit Agreement are true and correct in all material respects (without duplication of any materiality standard set forth in any such representation or warranty), except to the extent such representations and warranties expressly relate to an earlier date, in which case such representations and warranties are true and correct in all material respects as of such date (without duplication of any materiality standard set forth in any such representation or warranty).</w:t>
      </w:r>
    </w:p>
    <w:p>
      <w:pPr>
        <w:spacing w:after="0" w:line="19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Credit Agreement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 w:firstLine="644"/>
        <w:spacing w:after="0" w:line="257" w:lineRule="auto"/>
        <w:tabs>
          <w:tab w:leader="none" w:pos="12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hereof, each reference in the Amended Credit Agreement to “this Agreement,” “hereunder,” “hereof,” “herein,” or words of like import, and each reference in any other Loan Document to the Credit Agreement (including, without limitation, by means of words like “thereunder,” “thereof,” and words of like import), shall mean and be a reference to the Amended Credit Agreement and this Amendment and the Credit Agreement shall be read together and construed as a single instrument referred to herein as the Amended Credit Agreement.</w:t>
      </w:r>
    </w:p>
    <w:p>
      <w:pPr>
        <w:spacing w:after="0" w:line="172" w:lineRule="exact"/>
        <w:rPr>
          <w:rFonts w:ascii="Times New Roman" w:cs="Times New Roman" w:eastAsia="Times New Roman" w:hAnsi="Times New Roman"/>
          <w:sz w:val="20"/>
          <w:szCs w:val="20"/>
          <w:color w:val="auto"/>
        </w:rPr>
      </w:pPr>
    </w:p>
    <w:p>
      <w:pPr>
        <w:jc w:val="both"/>
        <w:ind w:left="4" w:right="20" w:firstLine="644"/>
        <w:spacing w:after="0" w:line="261" w:lineRule="auto"/>
        <w:tabs>
          <w:tab w:leader="none" w:pos="12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amended hereby, the Credit Agreement and all other documents, instruments and agreements executed and/or delivered in connection therewith shall remain in full force and effect and are hereby reaffirmed, ratified and confirmed.</w:t>
      </w:r>
    </w:p>
    <w:p>
      <w:pPr>
        <w:sectPr>
          <w:pgSz w:w="11900" w:h="16838" w:orient="portrait"/>
          <w:cols w:equalWidth="0" w:num="1">
            <w:col w:w="10584"/>
          </w:cols>
          <w:pgMar w:left="976" w:top="1440" w:right="339" w:bottom="1440" w:gutter="0" w:footer="0" w:header="0"/>
        </w:sectPr>
      </w:pPr>
    </w:p>
    <w:bookmarkStart w:id="4" w:name="page5"/>
    <w:bookmarkEnd w:id="4"/>
    <w:p>
      <w:pPr>
        <w:spacing w:after="0" w:line="189" w:lineRule="exact"/>
        <w:rPr>
          <w:sz w:val="20"/>
          <w:szCs w:val="20"/>
          <w:color w:val="auto"/>
        </w:rPr>
      </w:pPr>
    </w:p>
    <w:p>
      <w:pPr>
        <w:jc w:val="both"/>
        <w:ind w:left="4" w:firstLine="644"/>
        <w:spacing w:after="0" w:line="258" w:lineRule="auto"/>
        <w:tabs>
          <w:tab w:leader="none" w:pos="129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the subject matter hereof, 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172"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 Loan Document under (and as defined in) the Credit Agreement.</w:t>
      </w:r>
    </w:p>
    <w:p>
      <w:pPr>
        <w:spacing w:after="0" w:line="22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construed in accordance with and governed by the law of the State of</w:t>
      </w:r>
    </w:p>
    <w:p>
      <w:pPr>
        <w:spacing w:after="0" w:line="21" w:lineRule="exact"/>
        <w:rPr>
          <w:rFonts w:ascii="Times New Roman" w:cs="Times New Roman" w:eastAsia="Times New Roman" w:hAnsi="Times New Roman"/>
          <w:sz w:val="20"/>
          <w:szCs w:val="20"/>
          <w:color w:val="auto"/>
        </w:rPr>
      </w:pP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Illinois.</w:t>
      </w:r>
    </w:p>
    <w:p>
      <w:pPr>
        <w:spacing w:after="0" w:line="207"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8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 Waiver of Venue; Service of Process; Waiver of Jury Trial</w:t>
      </w:r>
      <w:r>
        <w:rPr>
          <w:rFonts w:ascii="Times New Roman" w:cs="Times New Roman" w:eastAsia="Times New Roman" w:hAnsi="Times New Roman"/>
          <w:sz w:val="20"/>
          <w:szCs w:val="20"/>
          <w:color w:val="auto"/>
        </w:rPr>
        <w:t xml:space="preserve">. The submission to jurisdiction, waiver of venue, service of process and waiver of jury trial provisions set forth in </w:t>
      </w:r>
      <w:r>
        <w:rPr>
          <w:rFonts w:ascii="Times New Roman" w:cs="Times New Roman" w:eastAsia="Times New Roman" w:hAnsi="Times New Roman"/>
          <w:sz w:val="20"/>
          <w:szCs w:val="20"/>
          <w:u w:val="single" w:color="auto"/>
          <w:color w:val="auto"/>
        </w:rPr>
        <w:t>Sections 11.15(b)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11.16</w:t>
      </w:r>
      <w:r>
        <w:rPr>
          <w:rFonts w:ascii="Times New Roman" w:cs="Times New Roman" w:eastAsia="Times New Roman" w:hAnsi="Times New Roman"/>
          <w:sz w:val="20"/>
          <w:szCs w:val="20"/>
          <w:color w:val="auto"/>
        </w:rPr>
        <w:t xml:space="preserve"> of the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4" w:firstLine="644"/>
        <w:spacing w:after="0" w:line="269" w:lineRule="auto"/>
        <w:tabs>
          <w:tab w:leader="none" w:pos="129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several Sections and subsections of this Amendment are inserted for convenience only and shall not in any way affect the meaning or construction of any provision of this Amendment.</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8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Amendment which is prohibited or unenforceable in any jurisdiction shall, as to such jurisdiction, be ineffective to the extent of such prohibition or unenforceability without invalidating the remaining provisions of this Amendment or affecting the validity or enforceability of such provision in any other jurisdiction.</w:t>
      </w:r>
    </w:p>
    <w:p>
      <w:pPr>
        <w:spacing w:after="0" w:line="181"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29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and by the different parties hereto on separate counterparts, each of which when so executed and delivered shall be an original, but all of which shall together constitute one and the same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w:t>
      </w:r>
    </w:p>
    <w:p>
      <w:pPr>
        <w:spacing w:after="0" w:line="178" w:lineRule="exact"/>
        <w:rPr>
          <w:rFonts w:ascii="Times New Roman" w:cs="Times New Roman" w:eastAsia="Times New Roman" w:hAnsi="Times New Roman"/>
          <w:sz w:val="20"/>
          <w:szCs w:val="20"/>
          <w:color w:val="auto"/>
        </w:rPr>
      </w:pPr>
    </w:p>
    <w:p>
      <w:pPr>
        <w:jc w:val="both"/>
        <w:ind w:left="4" w:firstLine="644"/>
        <w:spacing w:after="0" w:line="268" w:lineRule="auto"/>
        <w:tabs>
          <w:tab w:leader="none" w:pos="1295"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Magicard US, Inc</w:t>
      </w:r>
      <w:r>
        <w:rPr>
          <w:rFonts w:ascii="Times New Roman" w:cs="Times New Roman" w:eastAsia="Times New Roman" w:hAnsi="Times New Roman"/>
          <w:sz w:val="20"/>
          <w:szCs w:val="20"/>
          <w:color w:val="auto"/>
        </w:rPr>
        <w:t>. For the avoidance of doubt, the parties hereto hereby acknowledge and agree that Magicard US, Inc., a Washington corporation (having merged into Precision Dynamics Corporation), is no longer a Guarantor or Loan Party under any Loan Document.</w:t>
      </w:r>
    </w:p>
    <w:p>
      <w:pPr>
        <w:spacing w:after="0" w:line="161"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8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AIO Acquisition, Inc</w:t>
      </w:r>
      <w:r>
        <w:rPr>
          <w:rFonts w:ascii="Times New Roman" w:cs="Times New Roman" w:eastAsia="Times New Roman" w:hAnsi="Times New Roman"/>
          <w:sz w:val="20"/>
          <w:szCs w:val="20"/>
          <w:color w:val="auto"/>
        </w:rPr>
        <w:t>. For the avoidance of doubt, the parties hereto hereby acknowledge and agree that AIO Acquisition, Inc., a Delaware corporation (having been sold by the Company), is no longer a Guarantor or Loan Party under any Loan Document.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64"/>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0584"/>
          </w:cols>
          <w:pgMar w:left="976" w:top="1440" w:right="339" w:bottom="1440" w:gutter="0" w:footer="0" w:header="0"/>
        </w:sectPr>
      </w:pPr>
    </w:p>
    <w:bookmarkStart w:id="5" w:name="page6"/>
    <w:bookmarkEnd w:id="5"/>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as of the day and year first above written.</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BORROWERS:</w:t>
            </w: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BRADY CORPORATION,</w:t>
            </w:r>
          </w:p>
        </w:tc>
      </w:tr>
      <w:tr>
        <w:trPr>
          <w:trHeight w:val="284"/>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a Wisconsin corporation</w:t>
            </w:r>
          </w:p>
        </w:tc>
      </w:tr>
      <w:tr>
        <w:trPr>
          <w:trHeight w:val="493"/>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By: /s/ ANN E. THORNTON</w:t>
            </w:r>
          </w:p>
        </w:tc>
      </w:tr>
      <w:tr>
        <w:trPr>
          <w:trHeight w:val="20"/>
        </w:trPr>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1"/>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Name: Ann E. Thornton</w:t>
            </w:r>
          </w:p>
        </w:tc>
      </w:tr>
      <w:tr>
        <w:trPr>
          <w:trHeight w:val="258"/>
        </w:trPr>
        <w:tc>
          <w:tcPr>
            <w:tcW w:w="3060" w:type="dxa"/>
            <w:vAlign w:val="bottom"/>
          </w:tcPr>
          <w:p>
            <w:pPr>
              <w:spacing w:after="0"/>
              <w:rPr>
                <w:sz w:val="22"/>
                <w:szCs w:val="22"/>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w w:val="97"/>
              </w:rPr>
              <w:t>Title: Chief Financial Officer and Treasurer</w:t>
            </w:r>
          </w:p>
        </w:tc>
      </w:tr>
      <w:tr>
        <w:trPr>
          <w:trHeight w:val="797"/>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BRADY WORLDWIDE, INC.,</w:t>
            </w:r>
          </w:p>
        </w:tc>
      </w:tr>
      <w:tr>
        <w:trPr>
          <w:trHeight w:val="270"/>
        </w:trPr>
        <w:tc>
          <w:tcPr>
            <w:tcW w:w="3060" w:type="dxa"/>
            <w:vAlign w:val="bottom"/>
          </w:tcPr>
          <w:p>
            <w:pPr>
              <w:spacing w:after="0"/>
              <w:rPr>
                <w:sz w:val="23"/>
                <w:szCs w:val="23"/>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a Wisconsin corporation</w:t>
            </w:r>
          </w:p>
        </w:tc>
      </w:tr>
      <w:tr>
        <w:trPr>
          <w:trHeight w:val="493"/>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By: /s/ ANN E. THORNTON</w:t>
            </w:r>
          </w:p>
        </w:tc>
      </w:tr>
      <w:tr>
        <w:trPr>
          <w:trHeight w:val="20"/>
        </w:trPr>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1"/>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Name: Ann E. Thornton</w:t>
            </w:r>
          </w:p>
        </w:tc>
      </w:tr>
      <w:tr>
        <w:trPr>
          <w:trHeight w:val="258"/>
        </w:trPr>
        <w:tc>
          <w:tcPr>
            <w:tcW w:w="3060" w:type="dxa"/>
            <w:vAlign w:val="bottom"/>
          </w:tcPr>
          <w:p>
            <w:pPr>
              <w:spacing w:after="0"/>
              <w:rPr>
                <w:sz w:val="22"/>
                <w:szCs w:val="22"/>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Title: Vice President and Treasurer</w:t>
            </w:r>
          </w:p>
        </w:tc>
      </w:tr>
      <w:tr>
        <w:trPr>
          <w:trHeight w:val="797"/>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TRICOR DIRECT, INC.,</w:t>
            </w:r>
          </w:p>
        </w:tc>
      </w:tr>
      <w:tr>
        <w:trPr>
          <w:trHeight w:val="270"/>
        </w:trPr>
        <w:tc>
          <w:tcPr>
            <w:tcW w:w="3060" w:type="dxa"/>
            <w:vAlign w:val="bottom"/>
          </w:tcPr>
          <w:p>
            <w:pPr>
              <w:spacing w:after="0"/>
              <w:rPr>
                <w:sz w:val="23"/>
                <w:szCs w:val="23"/>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493"/>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By: /s/ ANN E. THORNTON</w:t>
            </w:r>
          </w:p>
        </w:tc>
      </w:tr>
      <w:tr>
        <w:trPr>
          <w:trHeight w:val="20"/>
        </w:trPr>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1"/>
        </w:trPr>
        <w:tc>
          <w:tcPr>
            <w:tcW w:w="3060" w:type="dxa"/>
            <w:vAlign w:val="bottom"/>
          </w:tcPr>
          <w:p>
            <w:pPr>
              <w:spacing w:after="0"/>
              <w:rPr>
                <w:sz w:val="24"/>
                <w:szCs w:val="24"/>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Name: Ann E. Thornton</w:t>
            </w:r>
          </w:p>
        </w:tc>
      </w:tr>
      <w:tr>
        <w:trPr>
          <w:trHeight w:val="258"/>
        </w:trPr>
        <w:tc>
          <w:tcPr>
            <w:tcW w:w="3060" w:type="dxa"/>
            <w:vAlign w:val="bottom"/>
          </w:tcPr>
          <w:p>
            <w:pPr>
              <w:spacing w:after="0"/>
              <w:rPr>
                <w:sz w:val="22"/>
                <w:szCs w:val="22"/>
                <w:color w:val="auto"/>
              </w:rPr>
            </w:pPr>
          </w:p>
        </w:tc>
        <w:tc>
          <w:tcPr>
            <w:tcW w:w="52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Title: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ectPr>
          <w:pgSz w:w="11900" w:h="16838" w:orient="portrait"/>
          <w:cols w:equalWidth="0" w:num="1">
            <w:col w:w="11240"/>
          </w:cols>
          <w:pgMar w:left="320" w:top="1413" w:right="339" w:bottom="1440" w:gutter="0" w:footer="0" w:header="0"/>
        </w:sectPr>
      </w:pPr>
    </w:p>
    <w:bookmarkStart w:id="6" w:name="page7"/>
    <w:bookmarkEnd w:id="6"/>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BRADY FINANCE LUXEMBOURG,</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a Luxembourg private limited liability company</w:t>
      </w:r>
    </w:p>
    <w:p>
      <w:pPr>
        <w:spacing w:after="0" w:line="32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ARIANNE VERSTRAETEN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Arianne Verstraeten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Manager</w:t>
      </w:r>
    </w:p>
    <w:p>
      <w:pPr>
        <w:spacing w:after="0" w:line="29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ANN E. THORNTON</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Ann E. Thornton</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37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BRADY S.à r.l.,</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a Luxembourg private limited liability company</w:t>
      </w:r>
    </w:p>
    <w:p>
      <w:pPr>
        <w:spacing w:after="0" w:line="32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ARIANNE VERSTRAETEN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Arianne Verstraeten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Manager</w:t>
      </w:r>
    </w:p>
    <w:p>
      <w:pPr>
        <w:spacing w:after="0" w:line="29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ANN E. THORNTON</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Ann E. Thornton</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ectPr>
          <w:pgSz w:w="11900" w:h="16838" w:orient="portrait"/>
          <w:cols w:equalWidth="0" w:num="1">
            <w:col w:w="9019"/>
          </w:cols>
          <w:pgMar w:left="1440" w:top="1440" w:right="1440" w:bottom="1440" w:gutter="0" w:footer="0" w:header="0"/>
        </w:sectPr>
      </w:pPr>
    </w:p>
    <w:bookmarkStart w:id="7" w:name="page8"/>
    <w:bookmarkEnd w:id="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GUARANTORS:</w:t>
            </w: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BRADY INTERNATIONAL CO., a Wisconsin corporation</w:t>
            </w:r>
          </w:p>
        </w:tc>
      </w:tr>
      <w:tr>
        <w:trPr>
          <w:trHeight w:val="256"/>
        </w:trPr>
        <w:tc>
          <w:tcPr>
            <w:tcW w:w="3120" w:type="dxa"/>
            <w:vAlign w:val="bottom"/>
          </w:tcPr>
          <w:p>
            <w:pPr>
              <w:spacing w:after="0"/>
              <w:rPr>
                <w:sz w:val="22"/>
                <w:szCs w:val="22"/>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w w:val="98"/>
              </w:rPr>
              <w:t>WORLDMARK OF WISCONSIN INCORPORATED, a Delaware corporation</w:t>
            </w:r>
          </w:p>
        </w:tc>
      </w:tr>
      <w:tr>
        <w:trPr>
          <w:trHeight w:val="257"/>
        </w:trPr>
        <w:tc>
          <w:tcPr>
            <w:tcW w:w="3120" w:type="dxa"/>
            <w:vAlign w:val="bottom"/>
          </w:tcPr>
          <w:p>
            <w:pPr>
              <w:spacing w:after="0"/>
              <w:rPr>
                <w:sz w:val="22"/>
                <w:szCs w:val="22"/>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PRECISION DYNAMICS CORPORATION, a California corporation</w:t>
            </w:r>
          </w:p>
        </w:tc>
      </w:tr>
      <w:tr>
        <w:trPr>
          <w:trHeight w:val="258"/>
        </w:trPr>
        <w:tc>
          <w:tcPr>
            <w:tcW w:w="3120" w:type="dxa"/>
            <w:vAlign w:val="bottom"/>
          </w:tcPr>
          <w:p>
            <w:pPr>
              <w:spacing w:after="0"/>
              <w:rPr>
                <w:sz w:val="22"/>
                <w:szCs w:val="22"/>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THE CODE CORPORATION, a Delaware corporation</w:t>
            </w:r>
          </w:p>
        </w:tc>
      </w:tr>
      <w:tr>
        <w:trPr>
          <w:trHeight w:val="480"/>
        </w:trPr>
        <w:tc>
          <w:tcPr>
            <w:tcW w:w="3120" w:type="dxa"/>
            <w:vAlign w:val="bottom"/>
          </w:tcPr>
          <w:p>
            <w:pPr>
              <w:spacing w:after="0"/>
              <w:rPr>
                <w:sz w:val="24"/>
                <w:szCs w:val="24"/>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By: /s/ ANN E. THORNTON</w:t>
            </w:r>
          </w:p>
        </w:tc>
      </w:tr>
      <w:tr>
        <w:trPr>
          <w:trHeight w:val="20"/>
        </w:trPr>
        <w:tc>
          <w:tcPr>
            <w:tcW w:w="3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81"/>
        </w:trPr>
        <w:tc>
          <w:tcPr>
            <w:tcW w:w="3120" w:type="dxa"/>
            <w:vAlign w:val="bottom"/>
          </w:tcPr>
          <w:p>
            <w:pPr>
              <w:spacing w:after="0"/>
              <w:rPr>
                <w:sz w:val="24"/>
                <w:szCs w:val="24"/>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Name: Ann E. Thornton</w:t>
            </w:r>
          </w:p>
        </w:tc>
      </w:tr>
      <w:tr>
        <w:trPr>
          <w:trHeight w:val="258"/>
        </w:trPr>
        <w:tc>
          <w:tcPr>
            <w:tcW w:w="3120" w:type="dxa"/>
            <w:vAlign w:val="bottom"/>
          </w:tcPr>
          <w:p>
            <w:pPr>
              <w:spacing w:after="0"/>
              <w:rPr>
                <w:sz w:val="22"/>
                <w:szCs w:val="22"/>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auto"/>
              </w:rPr>
              <w:t>Title: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ectPr>
          <w:pgSz w:w="11900" w:h="16838" w:orient="portrait"/>
          <w:cols w:equalWidth="0" w:num="1">
            <w:col w:w="11100"/>
          </w:cols>
          <w:pgMar w:left="340" w:top="1440" w:right="459" w:bottom="1440" w:gutter="0" w:footer="0" w:header="0"/>
        </w:sectPr>
      </w:pPr>
    </w:p>
    <w:bookmarkStart w:id="8" w:name="page9"/>
    <w:bookmarkEnd w:id="8"/>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BMO BANK N.A., individually as a Lender and as Administrative Agent</w:t>
      </w:r>
    </w:p>
    <w:p>
      <w:pPr>
        <w:spacing w:after="0" w:line="30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BRENDAN MORAN</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Brendan Moran</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ectPr>
          <w:pgSz w:w="11900" w:h="16838" w:orient="portrait"/>
          <w:cols w:equalWidth="0" w:num="1">
            <w:col w:w="9540"/>
          </w:cols>
          <w:pgMar w:left="1440" w:top="1440" w:right="919" w:bottom="1440" w:gutter="0" w:footer="0" w:header="0"/>
        </w:sectPr>
      </w:pPr>
    </w:p>
    <w:bookmarkStart w:id="9" w:name="page10"/>
    <w:bookmarkEnd w:id="9"/>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BANK OF AMERICA, N.A., as a Lender</w:t>
      </w:r>
    </w:p>
    <w:p>
      <w:pPr>
        <w:spacing w:after="0" w:line="30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KATHERINE L. PLOTNER</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Katherine L. Plotner</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ectPr>
          <w:pgSz w:w="11900" w:h="16838" w:orient="portrait"/>
          <w:cols w:equalWidth="0" w:num="1">
            <w:col w:w="9019"/>
          </w:cols>
          <w:pgMar w:left="1440" w:top="1440" w:right="1440" w:bottom="1440" w:gutter="0" w:footer="0" w:header="0"/>
        </w:sectPr>
      </w:pPr>
    </w:p>
    <w:bookmarkStart w:id="10" w:name="page11"/>
    <w:bookmarkEnd w:id="10"/>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CIBC BANK USA, as a Lender</w:t>
      </w:r>
    </w:p>
    <w:p>
      <w:pPr>
        <w:spacing w:after="0" w:line="29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B. CAMPBELL</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Peter B. Campbell</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ectPr>
          <w:pgSz w:w="11900" w:h="16838" w:orient="portrait"/>
          <w:cols w:equalWidth="0" w:num="1">
            <w:col w:w="9019"/>
          </w:cols>
          <w:pgMar w:left="1440" w:top="1440" w:right="1440" w:bottom="1440" w:gutter="0" w:footer="0" w:header="0"/>
        </w:sectPr>
      </w:pPr>
    </w:p>
    <w:bookmarkStart w:id="11" w:name="page12"/>
    <w:bookmarkEnd w:id="11"/>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WELLS FARGO BANK, NATIONAL ASSOCIATION, as a Lender</w:t>
      </w:r>
    </w:p>
    <w:p>
      <w:pPr>
        <w:spacing w:after="0" w:line="30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ROBERT J. VALCQ</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Robert J. Valcq</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ectPr>
          <w:pgSz w:w="11900" w:h="16838" w:orient="portrait"/>
          <w:cols w:equalWidth="0" w:num="1">
            <w:col w:w="9140"/>
          </w:cols>
          <w:pgMar w:left="1440" w:top="1440" w:right="1319" w:bottom="1440" w:gutter="0" w:footer="0" w:header="0"/>
        </w:sectPr>
      </w:pPr>
    </w:p>
    <w:bookmarkStart w:id="12" w:name="page13"/>
    <w:bookmarkEnd w:id="12"/>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PNC BANK, NATIONAL ASSOCIATION, as a Lender</w:t>
      </w:r>
    </w:p>
    <w:p>
      <w:pPr>
        <w:spacing w:after="0" w:line="30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STUART THOMAS</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Stuart Thomas</w:t>
      </w:r>
    </w:p>
    <w:p>
      <w:pPr>
        <w:spacing w:after="0" w:line="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ectPr>
          <w:pgSz w:w="11900" w:h="16838" w:orient="portrait"/>
          <w:cols w:equalWidth="0" w:num="1">
            <w:col w:w="9019"/>
          </w:cols>
          <w:pgMar w:left="1440" w:top="1440" w:right="1440" w:bottom="1440" w:gutter="0" w:footer="0" w:header="0"/>
        </w:sectPr>
      </w:pPr>
    </w:p>
    <w:bookmarkStart w:id="13" w:name="page14"/>
    <w:bookmarkEnd w:id="13"/>
    <w:p>
      <w:pPr>
        <w:spacing w:after="0" w:line="14"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20"/>
          <w:szCs w:val="20"/>
          <w:color w:val="auto"/>
        </w:rPr>
        <w:t>ASSOCIATED BANK, NATIONAL ASSOCIATION, as a Lender</w:t>
      </w:r>
    </w:p>
    <w:p>
      <w:pPr>
        <w:spacing w:after="0" w:line="3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P. JOHNSON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Michael P. Johnson</w:t>
      </w:r>
    </w:p>
    <w:p>
      <w:pPr>
        <w:spacing w:after="0" w:line="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ectPr>
          <w:pgSz w:w="11900" w:h="16838" w:orient="portrait"/>
          <w:cols w:equalWidth="0" w:num="1">
            <w:col w:w="9019"/>
          </w:cols>
          <w:pgMar w:left="1440" w:top="144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u w:val="single" w:color="auto"/>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Conformed Credit Agreement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9019"/>
          </w:cols>
          <w:pgMar w:left="1440" w:top="1413" w:right="1440" w:bottom="1440" w:gutter="0" w:footer="0" w:header="0"/>
        </w:sectPr>
      </w:pPr>
    </w:p>
    <w:bookmarkStart w:id="15" w:name="page16"/>
    <w:bookmarkEnd w:id="15"/>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Conformed through </w:t>
      </w:r>
      <w:r>
        <w:rPr>
          <w:rFonts w:ascii="Times New Roman" w:cs="Times New Roman" w:eastAsia="Times New Roman" w:hAnsi="Times New Roman"/>
          <w:sz w:val="20"/>
          <w:szCs w:val="20"/>
          <w:b w:val="1"/>
          <w:bCs w:val="1"/>
          <w:i w:val="1"/>
          <w:iCs w:val="1"/>
          <w:color w:val="FF0000"/>
          <w:strike w:val="1"/>
        </w:rPr>
        <w:t>Second</w:t>
      </w:r>
      <w:r>
        <w:rPr>
          <w:rFonts w:ascii="Times New Roman" w:cs="Times New Roman" w:eastAsia="Times New Roman" w:hAnsi="Times New Roman"/>
          <w:sz w:val="20"/>
          <w:szCs w:val="20"/>
          <w:b w:val="1"/>
          <w:bCs w:val="1"/>
          <w:i w:val="1"/>
          <w:iCs w:val="1"/>
          <w:u w:val="single" w:color="auto"/>
          <w:color w:val="0000FF"/>
        </w:rPr>
        <w:t>Third</w:t>
      </w:r>
      <w:r>
        <w:rPr>
          <w:rFonts w:ascii="Times New Roman" w:cs="Times New Roman" w:eastAsia="Times New Roman" w:hAnsi="Times New Roman"/>
          <w:sz w:val="20"/>
          <w:szCs w:val="20"/>
          <w:b w:val="1"/>
          <w:bCs w:val="1"/>
          <w:i w:val="1"/>
          <w:iCs w:val="1"/>
          <w:color w:val="auto"/>
        </w:rPr>
        <w:t xml:space="preserv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August 1, 2019</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 xml:space="preserve">(as amended on and prior to the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u w:val="single" w:color="auto"/>
          <w:color w:val="0000FF"/>
        </w:rPr>
        <w:t>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 Effective Date)</w:t>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BRADY CORPORATION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9"/>
          <w:szCs w:val="19"/>
          <w:b w:val="1"/>
          <w:bCs w:val="1"/>
          <w:color w:val="auto"/>
        </w:rPr>
        <w:t>CERTAIN SUBSIDIARIES OF BRADY CORPORATION IDENTIFIED HEREIN</w:t>
      </w:r>
      <w:r>
        <w:rPr>
          <w:rFonts w:ascii="Times New Roman" w:cs="Times New Roman" w:eastAsia="Times New Roman" w:hAnsi="Times New Roman"/>
          <w:sz w:val="19"/>
          <w:szCs w:val="19"/>
          <w:color w:val="auto"/>
        </w:rPr>
        <w:t>,</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Borrowers,</w:t>
      </w:r>
    </w:p>
    <w:p>
      <w:pPr>
        <w:spacing w:after="0" w:line="19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b w:val="1"/>
          <w:bCs w:val="1"/>
          <w:color w:val="auto"/>
        </w:rPr>
        <w:t>CERTAIN SUBSIDIARIES OF THE BORROWERS IDENTIFIED HEREIN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Guarantors,</w:t>
      </w:r>
    </w:p>
    <w:p>
      <w:pPr>
        <w:spacing w:after="0" w:line="2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THE LENDERS PARTY HERETO</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b w:val="1"/>
          <w:bCs w:val="1"/>
          <w:color w:val="auto"/>
        </w:rPr>
        <w:t xml:space="preserve">BMO </w:t>
      </w:r>
      <w:r>
        <w:rPr>
          <w:rFonts w:ascii="Times New Roman" w:cs="Times New Roman" w:eastAsia="Times New Roman" w:hAnsi="Times New Roman"/>
          <w:sz w:val="20"/>
          <w:szCs w:val="20"/>
          <w:b w:val="1"/>
          <w:bCs w:val="1"/>
          <w:color w:val="FF0000"/>
          <w:strike w:val="1"/>
        </w:rPr>
        <w:t>HARRIS</w:t>
      </w:r>
      <w:r>
        <w:rPr>
          <w:rFonts w:ascii="Times New Roman" w:cs="Times New Roman" w:eastAsia="Times New Roman" w:hAnsi="Times New Roman"/>
          <w:sz w:val="20"/>
          <w:szCs w:val="20"/>
          <w:b w:val="1"/>
          <w:bCs w:val="1"/>
          <w:color w:val="auto"/>
        </w:rPr>
        <w:t xml:space="preserve">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 Swing Line Lender and L/C Issuer,</w:t>
      </w:r>
    </w:p>
    <w:p>
      <w:pPr>
        <w:spacing w:after="0" w:line="19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as Co-Syndication Agent and L/C Issuer,</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CIBC BANK USA,</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Co-Syndication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WELLS FARGO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as Documentation Agent</w:t>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Arranged By:</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BMO CAPITAL MARKETS,</w:t>
      </w:r>
    </w:p>
    <w:p>
      <w:pPr>
        <w:spacing w:after="0" w:line="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CIBC BANK USA,</w:t>
      </w:r>
    </w:p>
    <w:p>
      <w:pPr>
        <w:spacing w:after="0" w:line="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ectPr>
          <w:pgSz w:w="11900" w:h="16838" w:orient="portrait"/>
          <w:cols w:equalWidth="0" w:num="1">
            <w:col w:w="10120"/>
          </w:cols>
          <w:pgMar w:left="1440" w:top="1440" w:right="339" w:bottom="1440" w:gutter="0" w:footer="0" w:header="0"/>
        </w:sectPr>
      </w:pPr>
    </w:p>
    <w:bookmarkStart w:id="16" w:name="page17"/>
    <w:bookmarkEnd w:id="16"/>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80" w:type="dxa"/>
            <w:vAlign w:val="bottom"/>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9"/>
        </w:trPr>
        <w:tc>
          <w:tcPr>
            <w:tcW w:w="11040" w:type="dxa"/>
            <w:vAlign w:val="bottom"/>
            <w:gridSpan w:val="3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1.01 Defined Terms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r>
      <w:tr>
        <w:trPr>
          <w:trHeight w:val="21"/>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1.02 Other Interpretive Provisions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1.03 Accounting Terms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1.04 Rounding</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1.05 References to Agreements and Laws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1.06 Exchange Rates; Currency Equivalents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1.07 Additional Alternative Currencies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1.08 Change of Currency</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1.09 Times of Day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1.10 Letter of Credit Amounts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700"/>
              <w:spacing w:after="0" w:line="189" w:lineRule="exact"/>
              <w:rPr>
                <w:sz w:val="20"/>
                <w:szCs w:val="20"/>
                <w:color w:val="auto"/>
              </w:rPr>
            </w:pPr>
            <w:r>
              <w:rPr>
                <w:rFonts w:ascii="Times New Roman" w:cs="Times New Roman" w:eastAsia="Times New Roman" w:hAnsi="Times New Roman"/>
                <w:sz w:val="18"/>
                <w:szCs w:val="18"/>
                <w:color w:val="auto"/>
              </w:rPr>
              <w:t>1.11 Luxembourg Terms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1.12 Interest Rates; Benchmark Notification</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2.01 Revolving Loans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2.02 Borrowings, Conversions and Continuations of Loans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2.03 Letters of Credit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2.04 Swing Line Loans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2.05 Prepayments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2.06 Termination or Reduction of Aggregate Revolving Commitments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2.07 Repayment of Loans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2.08 Interest</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2.09 Fees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2.10 Computation of Interest and Fees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auto"/>
              </w:rPr>
              <w:t>2.11 Evidence of Debt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2.12 Payments Generally; Administrative Agent’s Clawback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2.13 Sharing of Payments by Lenders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2.14 Designated Borrowers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2.15 Cash Collateral</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2.16 Defaulting Lenders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2.17 Extension of Maturity Date</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3.01 Taxes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3.02 Illegality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3.03 [Reserved]</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3.04 Increased Cost and Reduced Return; Capital Adequacy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3.05 Compensation for Losses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3.06 Matters Applicable to all Requests for Compensation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3.07 Alternate Rate of Interest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3.08 Survival</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tcBorders>
              <w:bottom w:val="single" w:sz="8" w:color="CCEEFF"/>
            </w:tcBorders>
            <w:gridSpan w:val="3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IV GUARANTY</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1"/>
        </w:trPr>
        <w:tc>
          <w:tcPr>
            <w:tcW w:w="10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gridSpan w:val="37"/>
          </w:tcPr>
          <w:p>
            <w:pPr>
              <w:ind w:left="680"/>
              <w:spacing w:after="0"/>
              <w:rPr>
                <w:sz w:val="20"/>
                <w:szCs w:val="20"/>
                <w:color w:val="auto"/>
              </w:rPr>
            </w:pPr>
            <w:r>
              <w:rPr>
                <w:rFonts w:ascii="Times New Roman" w:cs="Times New Roman" w:eastAsia="Times New Roman" w:hAnsi="Times New Roman"/>
                <w:sz w:val="18"/>
                <w:szCs w:val="18"/>
                <w:color w:val="auto"/>
              </w:rPr>
              <w:t>4.01 The Guaranty</w:t>
            </w: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4.02 Obligations Unconditional</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4.03 Reinstatement</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4.04 Certain Additional Waivers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4.05 Remedies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4.06 Rights of Contribution</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4.07 Guarantee of Payment; Continuing Guarantee</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4.08 Keepwell</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V CONDITIONS PRECEDENT TO CREDIT EXTENSIONS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5.01 Conditions of Initial Credit Extension</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5.02 Conditions to all Credit Extensions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gridSpan w:val="3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VI REPRESENTATIONS AND WARRANTIES</w:t>
            </w:r>
          </w:p>
        </w:tc>
        <w:tc>
          <w:tcPr>
            <w:tcW w:w="29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6.01 Organization, etc</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6.02 Authorization; No Conflict</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87</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6.03 Validity and Binding Nature</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6.04 Financial Condition</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6.05 No Material Adverse Change</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6.06 Litigation</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6.07 Ownership of Properties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6.08 Subsidiaries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6.09 Pension Plans and Plan Assets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6.10 Investment Company Act</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700"/>
              <w:spacing w:after="0" w:line="189" w:lineRule="exact"/>
              <w:rPr>
                <w:sz w:val="20"/>
                <w:szCs w:val="20"/>
                <w:color w:val="auto"/>
              </w:rPr>
            </w:pPr>
            <w:r>
              <w:rPr>
                <w:rFonts w:ascii="Times New Roman" w:cs="Times New Roman" w:eastAsia="Times New Roman" w:hAnsi="Times New Roman"/>
                <w:sz w:val="18"/>
                <w:szCs w:val="18"/>
                <w:color w:val="auto"/>
              </w:rPr>
              <w:t>6.11 Regulation U</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6.12 Taxes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6.13 Environmental Matters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6.14 Information</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6.15 No Default</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6.16 Designated Borrower Joinder Agreement</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6.17 OFAC</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6.18 Anti-Corruption Laws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6.19 Luxembourg Specific Representations</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6.20 Beneficial Ownership Certification</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6.21 No EEA Financial Institution</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gridSpan w:val="3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VII COVENANTS</w:t>
            </w:r>
          </w:p>
        </w:tc>
        <w:tc>
          <w:tcPr>
            <w:tcW w:w="29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7.01 Reports, Certificates and Other Information</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7.02 Books, Records and Inspections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94</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7.03 Insurance</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7.04 Compliance with Laws; Payment of Taxes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7.05 Maintenance of Existence, etc</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7.06 Financial Covenants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7.07 Limitations on Debt</w:t>
            </w:r>
          </w:p>
        </w:tc>
        <w:tc>
          <w:tcPr>
            <w:tcW w:w="3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7"/>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7.08 Liens</w:t>
            </w:r>
          </w:p>
        </w:tc>
        <w:tc>
          <w:tcPr>
            <w:tcW w:w="30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7"/>
          </w:tcPr>
          <w:p>
            <w:pPr>
              <w:ind w:left="680"/>
              <w:spacing w:after="0" w:line="189" w:lineRule="exact"/>
              <w:rPr>
                <w:sz w:val="20"/>
                <w:szCs w:val="20"/>
                <w:color w:val="auto"/>
              </w:rPr>
            </w:pPr>
            <w:r>
              <w:rPr>
                <w:rFonts w:ascii="Times New Roman" w:cs="Times New Roman" w:eastAsia="Times New Roman" w:hAnsi="Times New Roman"/>
                <w:sz w:val="18"/>
                <w:szCs w:val="18"/>
                <w:color w:val="auto"/>
              </w:rPr>
              <w:t>7.09 Fundamental Changes, Consolidations, Sales</w:t>
            </w:r>
          </w:p>
        </w:tc>
        <w:tc>
          <w:tcPr>
            <w:tcW w:w="31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35"/>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7.10 Use of Proceeds</w:t>
            </w:r>
          </w:p>
        </w:tc>
        <w:tc>
          <w:tcPr>
            <w:tcW w:w="3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700"/>
              <w:spacing w:after="0" w:line="189" w:lineRule="exact"/>
              <w:rPr>
                <w:sz w:val="20"/>
                <w:szCs w:val="20"/>
                <w:color w:val="auto"/>
              </w:rPr>
            </w:pPr>
            <w:r>
              <w:rPr>
                <w:rFonts w:ascii="Times New Roman" w:cs="Times New Roman" w:eastAsia="Times New Roman" w:hAnsi="Times New Roman"/>
                <w:sz w:val="18"/>
                <w:szCs w:val="18"/>
                <w:color w:val="auto"/>
              </w:rPr>
              <w:t>7.11 Further Assurances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101</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7.12 Transactions with Affiliates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102</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7.13 Employee Benefit Plans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102</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7.14 Environmental Laws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103</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7.15 Business Activities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103</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7.16 Non-Guarantor Domestic Subsidiaries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103</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7.17 Investments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103</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7.18 Burdensome Agreements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7.19 Organization Documents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7.20 Sanctions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7.21 Anti-Corruption Laws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VIII [RESERVED]</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IX EVENTS OF DEFAULT AND REMEDIES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1"/>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9.01 Events of Default</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80"/>
              <w:spacing w:after="0" w:line="189" w:lineRule="exact"/>
              <w:rPr>
                <w:sz w:val="20"/>
                <w:szCs w:val="20"/>
                <w:color w:val="auto"/>
              </w:rPr>
            </w:pPr>
            <w:r>
              <w:rPr>
                <w:rFonts w:ascii="Times New Roman" w:cs="Times New Roman" w:eastAsia="Times New Roman" w:hAnsi="Times New Roman"/>
                <w:sz w:val="18"/>
                <w:szCs w:val="18"/>
                <w:color w:val="auto"/>
              </w:rPr>
              <w:t>9.02 Remedies Upon Event of Default</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108</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9.03 Application of Funds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108</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X ADMINISTRATIVE AGENT</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109</w:t>
            </w: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10.01 Appointment and Authority</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109</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10.02 Rights as a Lender</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110</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10.03 Exculpatory Provisions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110</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10.04 Reliance by Administrative Agent</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111</w:t>
            </w:r>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10.05 Delegation of Duties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112</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10.06 Resignation of Administrative Agent</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112</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10.07 Non-Reliance on Administrative Agent and Other Lenders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113</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10.08 No Other Duties; Etc</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114</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10.09 Administrative Agent May File Proofs of Claim</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114</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10.10 Guaranty Matters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114</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10.11 Treasury Management Agreements and Hedge Agreements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 XI MISCELLANEOUS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11.01 Amendments, Etc</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11.02 Notices; Effectiveness; Electronic Communications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117</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11.03 No Waiver; Cumulative Remedies; Enforcement</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119</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11.04 Expenses; Indemnity; Damage Waiver</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120</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11.05 Payments Set Aside</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122</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11.06 Successors and Assigns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122</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11.07 Confidentiality</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128</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11.08 Set-off</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129</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11.09 Interest Rate Limitation</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130</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11.10 Counterparts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130</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11.11 Integration; Effectiveness</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130</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5"/>
          </w:tcPr>
          <w:p>
            <w:pPr>
              <w:ind w:left="600"/>
              <w:spacing w:after="0" w:line="189" w:lineRule="exact"/>
              <w:rPr>
                <w:sz w:val="20"/>
                <w:szCs w:val="20"/>
                <w:color w:val="auto"/>
              </w:rPr>
            </w:pPr>
            <w:r>
              <w:rPr>
                <w:rFonts w:ascii="Times New Roman" w:cs="Times New Roman" w:eastAsia="Times New Roman" w:hAnsi="Times New Roman"/>
                <w:sz w:val="18"/>
                <w:szCs w:val="18"/>
                <w:color w:val="auto"/>
              </w:rPr>
              <w:t>11.12 Survival of Representations and Warranties</w:t>
            </w:r>
          </w:p>
        </w:tc>
        <w:tc>
          <w:tcPr>
            <w:tcW w:w="31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130</w:t>
            </w: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11.13 Severability</w:t>
            </w:r>
          </w:p>
        </w:tc>
        <w:tc>
          <w:tcPr>
            <w:tcW w:w="3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131</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gridSpan w:val="15"/>
          </w:tcPr>
          <w:p>
            <w:pPr>
              <w:ind w:left="600"/>
              <w:spacing w:after="0"/>
              <w:rPr>
                <w:sz w:val="20"/>
                <w:szCs w:val="20"/>
                <w:color w:val="auto"/>
              </w:rPr>
            </w:pPr>
            <w:r>
              <w:rPr>
                <w:rFonts w:ascii="Times New Roman" w:cs="Times New Roman" w:eastAsia="Times New Roman" w:hAnsi="Times New Roman"/>
                <w:sz w:val="18"/>
                <w:szCs w:val="18"/>
                <w:color w:val="auto"/>
              </w:rPr>
              <w:t>11.14 Replacement of Lenders</w:t>
            </w:r>
          </w:p>
        </w:tc>
        <w:tc>
          <w:tcPr>
            <w:tcW w:w="2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131</w:t>
            </w: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160" w:type="dxa"/>
            <w:vAlign w:val="bottom"/>
            <w:gridSpan w:val="1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11.15 Governing Law</w:t>
            </w:r>
          </w:p>
        </w:tc>
        <w:tc>
          <w:tcPr>
            <w:tcW w:w="20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132</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160" w:type="dxa"/>
            <w:vAlign w:val="bottom"/>
            <w:gridSpan w:val="15"/>
          </w:tcPr>
          <w:p>
            <w:pPr>
              <w:ind w:left="600"/>
              <w:spacing w:after="0" w:line="189" w:lineRule="exact"/>
              <w:rPr>
                <w:sz w:val="20"/>
                <w:szCs w:val="20"/>
                <w:color w:val="auto"/>
              </w:rPr>
            </w:pPr>
            <w:r>
              <w:rPr>
                <w:rFonts w:ascii="Times New Roman" w:cs="Times New Roman" w:eastAsia="Times New Roman" w:hAnsi="Times New Roman"/>
                <w:sz w:val="18"/>
                <w:szCs w:val="18"/>
                <w:color w:val="auto"/>
              </w:rPr>
              <w:t>11.16 Waiver of Right to Trial by Jury</w:t>
            </w:r>
          </w:p>
        </w:tc>
        <w:tc>
          <w:tcPr>
            <w:tcW w:w="20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132</w:t>
            </w: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160" w:type="dxa"/>
            <w:vAlign w:val="bottom"/>
            <w:gridSpan w:val="1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11.17 USA PATRIOT Act Notice</w:t>
            </w:r>
          </w:p>
        </w:tc>
        <w:tc>
          <w:tcPr>
            <w:tcW w:w="20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132</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160" w:type="dxa"/>
            <w:vAlign w:val="bottom"/>
            <w:gridSpan w:val="15"/>
          </w:tcPr>
          <w:p>
            <w:pPr>
              <w:ind w:left="600"/>
              <w:spacing w:after="0" w:line="189" w:lineRule="exact"/>
              <w:rPr>
                <w:sz w:val="20"/>
                <w:szCs w:val="20"/>
                <w:color w:val="auto"/>
              </w:rPr>
            </w:pPr>
            <w:r>
              <w:rPr>
                <w:rFonts w:ascii="Times New Roman" w:cs="Times New Roman" w:eastAsia="Times New Roman" w:hAnsi="Times New Roman"/>
                <w:sz w:val="18"/>
                <w:szCs w:val="18"/>
                <w:color w:val="auto"/>
              </w:rPr>
              <w:t>11.18 Judgment Currency</w:t>
            </w:r>
          </w:p>
        </w:tc>
        <w:tc>
          <w:tcPr>
            <w:tcW w:w="20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133</w:t>
            </w: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160" w:type="dxa"/>
            <w:vAlign w:val="bottom"/>
            <w:gridSpan w:val="1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11.19 Concerning Joint and Several Liability of the Domestic Borrowers</w:t>
            </w:r>
          </w:p>
        </w:tc>
        <w:tc>
          <w:tcPr>
            <w:tcW w:w="20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133</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160" w:type="dxa"/>
            <w:vAlign w:val="bottom"/>
            <w:gridSpan w:val="15"/>
          </w:tcPr>
          <w:p>
            <w:pPr>
              <w:ind w:left="600"/>
              <w:spacing w:after="0" w:line="189" w:lineRule="exact"/>
              <w:rPr>
                <w:sz w:val="20"/>
                <w:szCs w:val="20"/>
                <w:color w:val="auto"/>
              </w:rPr>
            </w:pPr>
            <w:r>
              <w:rPr>
                <w:rFonts w:ascii="Times New Roman" w:cs="Times New Roman" w:eastAsia="Times New Roman" w:hAnsi="Times New Roman"/>
                <w:sz w:val="18"/>
                <w:szCs w:val="18"/>
                <w:color w:val="auto"/>
              </w:rPr>
              <w:t>11.20 Subordination of Intercompany Debt</w:t>
            </w:r>
          </w:p>
        </w:tc>
        <w:tc>
          <w:tcPr>
            <w:tcW w:w="20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135</w:t>
            </w: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160" w:type="dxa"/>
            <w:vAlign w:val="bottom"/>
            <w:gridSpan w:val="1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11.21 No Advisory or Fiduciary Responsibility</w:t>
            </w:r>
          </w:p>
        </w:tc>
        <w:tc>
          <w:tcPr>
            <w:tcW w:w="20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135</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160" w:type="dxa"/>
            <w:vAlign w:val="bottom"/>
            <w:gridSpan w:val="15"/>
          </w:tcPr>
          <w:p>
            <w:pPr>
              <w:ind w:left="600"/>
              <w:spacing w:after="0" w:line="189" w:lineRule="exact"/>
              <w:rPr>
                <w:sz w:val="20"/>
                <w:szCs w:val="20"/>
                <w:color w:val="auto"/>
              </w:rPr>
            </w:pPr>
            <w:r>
              <w:rPr>
                <w:rFonts w:ascii="Times New Roman" w:cs="Times New Roman" w:eastAsia="Times New Roman" w:hAnsi="Times New Roman"/>
                <w:sz w:val="18"/>
                <w:szCs w:val="18"/>
                <w:color w:val="auto"/>
              </w:rPr>
              <w:t>11.22 Electronic Execution of Assignments and Certain Other Documents</w:t>
            </w:r>
          </w:p>
        </w:tc>
        <w:tc>
          <w:tcPr>
            <w:tcW w:w="20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136</w:t>
            </w: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160" w:type="dxa"/>
            <w:vAlign w:val="bottom"/>
            <w:gridSpan w:val="1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11.23 Acknowledgement and Consent to Bail-In of EEA Financial Institutions</w:t>
            </w:r>
          </w:p>
        </w:tc>
        <w:tc>
          <w:tcPr>
            <w:tcW w:w="20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136</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160" w:type="dxa"/>
            <w:vAlign w:val="bottom"/>
            <w:gridSpan w:val="15"/>
          </w:tcPr>
          <w:p>
            <w:pPr>
              <w:ind w:left="600"/>
              <w:spacing w:after="0" w:line="189" w:lineRule="exact"/>
              <w:rPr>
                <w:sz w:val="20"/>
                <w:szCs w:val="20"/>
                <w:color w:val="auto"/>
              </w:rPr>
            </w:pPr>
            <w:r>
              <w:rPr>
                <w:rFonts w:ascii="Times New Roman" w:cs="Times New Roman" w:eastAsia="Times New Roman" w:hAnsi="Times New Roman"/>
                <w:sz w:val="18"/>
                <w:szCs w:val="18"/>
                <w:color w:val="auto"/>
              </w:rPr>
              <w:t>11.24 Acknowledgement Regarding Any Supported QFCs</w:t>
            </w:r>
          </w:p>
        </w:tc>
        <w:tc>
          <w:tcPr>
            <w:tcW w:w="20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137</w:t>
            </w: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160" w:type="dxa"/>
            <w:vAlign w:val="bottom"/>
            <w:gridSpan w:val="15"/>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11.25 Erroneous Payments</w:t>
            </w:r>
          </w:p>
        </w:tc>
        <w:tc>
          <w:tcPr>
            <w:tcW w:w="20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137</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553"/>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SCHEDULES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shd w:val="clear" w:color="auto" w:fill="CCEEFF"/>
          </w:tcPr>
          <w:p>
            <w:pPr>
              <w:spacing w:after="0"/>
              <w:rPr>
                <w:sz w:val="19"/>
                <w:szCs w:val="19"/>
                <w:color w:val="auto"/>
              </w:rPr>
            </w:pPr>
          </w:p>
        </w:tc>
        <w:tc>
          <w:tcPr>
            <w:tcW w:w="772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w:t>
            </w:r>
          </w:p>
        </w:tc>
        <w:tc>
          <w:tcPr>
            <w:tcW w:w="400" w:type="dxa"/>
            <w:vAlign w:val="bottom"/>
          </w:tcPr>
          <w:p>
            <w:pPr>
              <w:spacing w:after="0"/>
              <w:rPr>
                <w:sz w:val="19"/>
                <w:szCs w:val="19"/>
                <w:color w:val="auto"/>
              </w:rPr>
            </w:pP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Commitments and Pro Rata Shares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6.08</w:t>
            </w:r>
          </w:p>
        </w:tc>
        <w:tc>
          <w:tcPr>
            <w:tcW w:w="400" w:type="dxa"/>
            <w:vAlign w:val="bottom"/>
            <w:shd w:val="clear" w:color="auto" w:fill="CCEEFF"/>
          </w:tcPr>
          <w:p>
            <w:pPr>
              <w:spacing w:after="0"/>
              <w:rPr>
                <w:sz w:val="19"/>
                <w:szCs w:val="19"/>
                <w:color w:val="auto"/>
              </w:rPr>
            </w:pPr>
          </w:p>
        </w:tc>
        <w:tc>
          <w:tcPr>
            <w:tcW w:w="772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7.07</w:t>
            </w:r>
          </w:p>
        </w:tc>
        <w:tc>
          <w:tcPr>
            <w:tcW w:w="400" w:type="dxa"/>
            <w:vAlign w:val="bottom"/>
          </w:tcPr>
          <w:p>
            <w:pPr>
              <w:spacing w:after="0"/>
              <w:rPr>
                <w:sz w:val="19"/>
                <w:szCs w:val="19"/>
                <w:color w:val="auto"/>
              </w:rPr>
            </w:pP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Debt Existing on the Second Amendment Effective Date</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7.08</w:t>
            </w:r>
          </w:p>
        </w:tc>
        <w:tc>
          <w:tcPr>
            <w:tcW w:w="400" w:type="dxa"/>
            <w:vAlign w:val="bottom"/>
            <w:shd w:val="clear" w:color="auto" w:fill="CCEEFF"/>
          </w:tcPr>
          <w:p>
            <w:pPr>
              <w:spacing w:after="0"/>
              <w:rPr>
                <w:sz w:val="19"/>
                <w:szCs w:val="19"/>
                <w:color w:val="auto"/>
              </w:rPr>
            </w:pPr>
          </w:p>
        </w:tc>
        <w:tc>
          <w:tcPr>
            <w:tcW w:w="772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Liens Existing on the Second Amendment Effective Date</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5"/>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7.09</w:t>
            </w:r>
          </w:p>
        </w:tc>
        <w:tc>
          <w:tcPr>
            <w:tcW w:w="400" w:type="dxa"/>
            <w:vAlign w:val="bottom"/>
          </w:tcPr>
          <w:p>
            <w:pPr>
              <w:spacing w:after="0"/>
              <w:rPr>
                <w:sz w:val="19"/>
                <w:szCs w:val="19"/>
                <w:color w:val="auto"/>
              </w:rPr>
            </w:pP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Dispositions Permitted as of the Second Amendment Effective Date</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7.17</w:t>
            </w:r>
          </w:p>
        </w:tc>
        <w:tc>
          <w:tcPr>
            <w:tcW w:w="400" w:type="dxa"/>
            <w:vAlign w:val="bottom"/>
          </w:tcPr>
          <w:p>
            <w:pPr>
              <w:spacing w:after="0"/>
              <w:rPr>
                <w:sz w:val="20"/>
                <w:szCs w:val="20"/>
                <w:color w:val="auto"/>
              </w:rPr>
            </w:pP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Investments Existing on the Second Amendment Effective Date</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7.18</w:t>
            </w:r>
          </w:p>
        </w:tc>
        <w:tc>
          <w:tcPr>
            <w:tcW w:w="400" w:type="dxa"/>
            <w:vAlign w:val="bottom"/>
            <w:shd w:val="clear" w:color="auto" w:fill="CCEEFF"/>
          </w:tcPr>
          <w:p>
            <w:pPr>
              <w:spacing w:after="0"/>
              <w:rPr>
                <w:sz w:val="19"/>
                <w:szCs w:val="19"/>
                <w:color w:val="auto"/>
              </w:rPr>
            </w:pPr>
          </w:p>
        </w:tc>
        <w:tc>
          <w:tcPr>
            <w:tcW w:w="772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Burdensome Agreements Existing on the Second Amendment Effective Date</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11.02</w:t>
            </w:r>
          </w:p>
        </w:tc>
        <w:tc>
          <w:tcPr>
            <w:tcW w:w="400" w:type="dxa"/>
            <w:vAlign w:val="bottom"/>
          </w:tcPr>
          <w:p>
            <w:pPr>
              <w:spacing w:after="0"/>
              <w:rPr>
                <w:sz w:val="19"/>
                <w:szCs w:val="19"/>
                <w:color w:val="auto"/>
              </w:rPr>
            </w:pP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Certain Addresses for Notices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44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w:t>
            </w:r>
          </w:p>
        </w:tc>
        <w:tc>
          <w:tcPr>
            <w:tcW w:w="400" w:type="dxa"/>
            <w:vAlign w:val="bottom"/>
            <w:shd w:val="clear" w:color="auto" w:fill="CCEEFF"/>
          </w:tcPr>
          <w:p>
            <w:pPr>
              <w:spacing w:after="0"/>
              <w:rPr>
                <w:sz w:val="19"/>
                <w:szCs w:val="19"/>
                <w:color w:val="auto"/>
              </w:rPr>
            </w:pPr>
          </w:p>
        </w:tc>
        <w:tc>
          <w:tcPr>
            <w:tcW w:w="772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Loan Notice</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w:t>
            </w:r>
          </w:p>
        </w:tc>
        <w:tc>
          <w:tcPr>
            <w:tcW w:w="400" w:type="dxa"/>
            <w:vAlign w:val="bottom"/>
          </w:tcPr>
          <w:p>
            <w:pPr>
              <w:spacing w:after="0"/>
              <w:rPr>
                <w:sz w:val="19"/>
                <w:szCs w:val="19"/>
                <w:color w:val="auto"/>
              </w:rPr>
            </w:pP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Form of Swing Line Loan Notice</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shd w:val="clear" w:color="auto" w:fill="CCEEFF"/>
          </w:tcPr>
          <w:p>
            <w:pPr>
              <w:spacing w:after="0"/>
              <w:rPr>
                <w:sz w:val="19"/>
                <w:szCs w:val="19"/>
                <w:color w:val="auto"/>
              </w:rPr>
            </w:pPr>
          </w:p>
        </w:tc>
        <w:tc>
          <w:tcPr>
            <w:tcW w:w="772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Note</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2.14(a)</w:t>
            </w: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Form of Designated Borrower Request</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2.14(b)</w:t>
            </w:r>
          </w:p>
        </w:tc>
        <w:tc>
          <w:tcPr>
            <w:tcW w:w="772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Designated Borrower Joinder Agreement</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tcPr>
          <w:p>
            <w:pPr>
              <w:spacing w:after="0"/>
              <w:rPr>
                <w:sz w:val="19"/>
                <w:szCs w:val="19"/>
                <w:color w:val="auto"/>
              </w:rPr>
            </w:pP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Forms of U.S. Tax Compliance Certificates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7.01</w:t>
            </w:r>
          </w:p>
        </w:tc>
        <w:tc>
          <w:tcPr>
            <w:tcW w:w="400" w:type="dxa"/>
            <w:vAlign w:val="bottom"/>
            <w:shd w:val="clear" w:color="auto" w:fill="CCEEFF"/>
          </w:tcPr>
          <w:p>
            <w:pPr>
              <w:spacing w:after="0"/>
              <w:rPr>
                <w:sz w:val="19"/>
                <w:szCs w:val="19"/>
                <w:color w:val="auto"/>
              </w:rPr>
            </w:pPr>
          </w:p>
        </w:tc>
        <w:tc>
          <w:tcPr>
            <w:tcW w:w="772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7.16</w:t>
            </w:r>
          </w:p>
        </w:tc>
        <w:tc>
          <w:tcPr>
            <w:tcW w:w="400" w:type="dxa"/>
            <w:vAlign w:val="bottom"/>
          </w:tcPr>
          <w:p>
            <w:pPr>
              <w:spacing w:after="0"/>
              <w:rPr>
                <w:sz w:val="19"/>
                <w:szCs w:val="19"/>
                <w:color w:val="auto"/>
              </w:rPr>
            </w:pP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Form of Joinder Agreement</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11.06(b)</w:t>
            </w:r>
          </w:p>
        </w:tc>
        <w:tc>
          <w:tcPr>
            <w:tcW w:w="772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11.06(b)(iv)</w:t>
            </w:r>
          </w:p>
        </w:tc>
        <w:tc>
          <w:tcPr>
            <w:tcW w:w="772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Form of Administrative Questionnaire</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CREDIT AGREEMENT is entered into as of August 1, 2019 among BRADY CORPORATION, a Wisconsin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certain Subsidiaries of the Company party hereto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the Guarantors (defined herein), the Lenders (defined herein), BMO </w:t>
      </w:r>
      <w:r>
        <w:rPr>
          <w:rFonts w:ascii="Times New Roman" w:cs="Times New Roman" w:eastAsia="Times New Roman" w:hAnsi="Times New Roman"/>
          <w:sz w:val="20"/>
          <w:szCs w:val="20"/>
          <w:color w:val="FF0000"/>
          <w:strike w:val="1"/>
        </w:rPr>
        <w:t>HARRIS</w:t>
      </w:r>
      <w:r>
        <w:rPr>
          <w:rFonts w:ascii="Times New Roman" w:cs="Times New Roman" w:eastAsia="Times New Roman" w:hAnsi="Times New Roman"/>
          <w:sz w:val="20"/>
          <w:szCs w:val="20"/>
          <w:color w:val="auto"/>
        </w:rPr>
        <w:t xml:space="preserve"> BANK N.A., as Administrative Agent, Swing Line Lender and L/C Issuer, and BANK OF AMERICA, N.A., as L/C Issuer.</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has requested that the Lenders provide a $300,000,000 senior credit facility for the purposes set forth herein, and the Lenders are willing to do so on the terms and conditions set forth herein.</w:t>
      </w:r>
    </w:p>
    <w:p>
      <w:pPr>
        <w:spacing w:after="0" w:line="14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xml:space="preserve">” means any transaction or series of related transactions for the purpose of or resulting, directly or indirectly, in (a) the acquisition of all or substantially all of the assets of a Person, or of all or substantially all of any business or division of a Person (provided that the purchase of inventory from another Person in the ordinary course of business shall not constitute an Acquisition of such other Person), (b) the acquisition of in excess of 50% of the Capital Stock of any Person, or otherwise causing any Person to become a Subsidiary, or (c) a merger or consolidation or any other combination with another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or a Subsidiary is the surviving entity.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 Rate</w:t>
      </w:r>
      <w:r>
        <w:rPr>
          <w:rFonts w:ascii="Times New Roman" w:cs="Times New Roman" w:eastAsia="Times New Roman" w:hAnsi="Times New Roman"/>
          <w:sz w:val="20"/>
          <w:szCs w:val="20"/>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EURIBO Rate as so determined would be less than the Floor, such rate shall be deemed to be equal to the Floor for the purposes of this Agreement.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u w:val="single" w:color="auto"/>
          <w:color w:val="0000FF"/>
        </w:rPr>
        <w:t>“Adjusted Term CORRA Rate” means, for purposes of any calculation, the rate per annum equal to (a) Term CORRA for such calculation plus (b) 0.29547% for a one month Interest Period or 0.32138% for a three month Interest Period; provided that if the Adjusted Term CORRA Rate as so determined would be less than the Floor, such rate shall be deemed to be equal to the Floor for purposes of this Agreement.</w:t>
      </w:r>
    </w:p>
    <w:p>
      <w:pPr>
        <w:spacing w:after="0" w:line="17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 Rate</w:t>
      </w:r>
      <w:r>
        <w:rPr>
          <w:rFonts w:ascii="Times New Roman" w:cs="Times New Roman" w:eastAsia="Times New Roman" w:hAnsi="Times New Roman"/>
          <w:sz w:val="19"/>
          <w:szCs w:val="19"/>
          <w:color w:val="auto"/>
        </w:rPr>
        <w:t xml:space="preserve">” means, with respect to any Term Benchmark Borrowing denominated in Dollars for any Interest Period, an interest rate per annum equal to (a) the Term SOFR Rate for such Interest Period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0.10%;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Term SOFR Rate as so determined would be less than the Floor, such rate shall be deemed to be equal to the Floor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TIBO Rate</w:t>
      </w:r>
      <w:r>
        <w:rPr>
          <w:rFonts w:ascii="Times New Roman" w:cs="Times New Roman" w:eastAsia="Times New Roman" w:hAnsi="Times New Roman"/>
          <w:sz w:val="20"/>
          <w:szCs w:val="20"/>
          <w:color w:val="auto"/>
        </w:rPr>
        <w:t xml:space="preserve">” means, with respect to any Term Benchmark Borrowing denominated in Japanese Yen for any Interest Period, an interest rate per annum equal to (a) the TIBO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TIBO Rate as so determined would be less than the Floor, such rate shall be deemed to be equal to the Floor for the purposes of this Agreement.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BMO, in its capacity as administrative agent under any of the Loan Documents, or any successor administrative agent.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to the Company and the Lenders.</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11.06(b)(iv)</w:t>
      </w:r>
      <w:r>
        <w:rPr>
          <w:rFonts w:ascii="Times New Roman" w:cs="Times New Roman" w:eastAsia="Times New Roman" w:hAnsi="Times New Roman"/>
          <w:sz w:val="20"/>
          <w:szCs w:val="20"/>
          <w:color w:val="auto"/>
        </w:rPr>
        <w:t xml:space="preserve"> or any other form approved by the Administrative Agent.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of any Person means any other Person which, directly or indirectly, controls or is controlled by or is under common control with such Person.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means the Revolving Commitments of all the Lenders. The aggregate principal amount of the Aggregate Revolving Commitments in effect on the Second Amendment Effective Date is $300,000,000.</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means Dollars and each Alternative Currency.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as amended, restated, modified, supplemented and extended from time to time.</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Euro, Sterling, Australian Dollars, Japanese Yen, Canadian Dollars and each other currency (other than Dollars) that is approved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2" w:name="page23"/>
    <w:bookmarkEnd w:id="22"/>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40" w:type="dxa"/>
            <w:vAlign w:val="bottom"/>
            <w:tcBorders>
              <w:top w:val="single" w:sz="8" w:color="00000A"/>
              <w:left w:val="single" w:sz="8" w:color="00000A"/>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Pricing Level</w:t>
            </w:r>
          </w:p>
        </w:tc>
        <w:tc>
          <w:tcPr>
            <w:tcW w:w="560" w:type="dxa"/>
            <w:vAlign w:val="bottom"/>
            <w:tcBorders>
              <w:top w:val="single" w:sz="8" w:color="00000A"/>
            </w:tcBorders>
          </w:tcPr>
          <w:p>
            <w:pPr>
              <w:spacing w:after="0"/>
              <w:rPr>
                <w:sz w:val="21"/>
                <w:szCs w:val="21"/>
                <w:color w:val="auto"/>
              </w:rPr>
            </w:pPr>
          </w:p>
        </w:tc>
        <w:tc>
          <w:tcPr>
            <w:tcW w:w="100" w:type="dxa"/>
            <w:vAlign w:val="bottom"/>
            <w:tcBorders>
              <w:top w:val="single" w:sz="8" w:color="00000A"/>
            </w:tcBorders>
          </w:tcPr>
          <w:p>
            <w:pPr>
              <w:spacing w:after="0"/>
              <w:rPr>
                <w:sz w:val="21"/>
                <w:szCs w:val="21"/>
                <w:color w:val="auto"/>
              </w:rPr>
            </w:pPr>
          </w:p>
        </w:tc>
        <w:tc>
          <w:tcPr>
            <w:tcW w:w="2340" w:type="dxa"/>
            <w:vAlign w:val="bottom"/>
            <w:tcBorders>
              <w:top w:val="single" w:sz="8" w:color="00000A"/>
              <w:right w:val="single" w:sz="8" w:color="00000A"/>
            </w:tcBorders>
            <w:gridSpan w:val="3"/>
          </w:tcPr>
          <w:p>
            <w:pPr>
              <w:ind w:left="280"/>
              <w:spacing w:after="0"/>
              <w:rPr>
                <w:sz w:val="20"/>
                <w:szCs w:val="20"/>
                <w:color w:val="auto"/>
              </w:rPr>
            </w:pPr>
            <w:r>
              <w:rPr>
                <w:rFonts w:ascii="Times New Roman" w:cs="Times New Roman" w:eastAsia="Times New Roman" w:hAnsi="Times New Roman"/>
                <w:sz w:val="20"/>
                <w:szCs w:val="20"/>
                <w:color w:val="auto"/>
              </w:rPr>
              <w:t>Consolidated</w:t>
            </w:r>
          </w:p>
        </w:tc>
        <w:tc>
          <w:tcPr>
            <w:tcW w:w="1580" w:type="dxa"/>
            <w:vAlign w:val="bottom"/>
            <w:tcBorders>
              <w:top w:val="single" w:sz="8" w:color="00000A"/>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Commitment Fee</w:t>
            </w:r>
          </w:p>
        </w:tc>
        <w:tc>
          <w:tcPr>
            <w:tcW w:w="1720" w:type="dxa"/>
            <w:vAlign w:val="bottom"/>
            <w:tcBorders>
              <w:top w:val="single" w:sz="8" w:color="00000A"/>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Letters of Credit*</w:t>
            </w:r>
          </w:p>
        </w:tc>
        <w:tc>
          <w:tcPr>
            <w:tcW w:w="186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6"/>
              </w:rPr>
              <w:t>Term Benchmark</w:t>
            </w:r>
          </w:p>
        </w:tc>
        <w:tc>
          <w:tcPr>
            <w:tcW w:w="176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Base Rate</w:t>
            </w:r>
          </w:p>
        </w:tc>
        <w:tc>
          <w:tcPr>
            <w:tcW w:w="0" w:type="dxa"/>
            <w:vAlign w:val="bottom"/>
          </w:tcPr>
          <w:p>
            <w:pPr>
              <w:spacing w:after="0"/>
              <w:rPr>
                <w:sz w:val="1"/>
                <w:szCs w:val="1"/>
                <w:color w:val="auto"/>
              </w:rPr>
            </w:pPr>
          </w:p>
        </w:tc>
      </w:tr>
      <w:tr>
        <w:trPr>
          <w:trHeight w:val="150"/>
        </w:trPr>
        <w:tc>
          <w:tcPr>
            <w:tcW w:w="1340" w:type="dxa"/>
            <w:vAlign w:val="bottom"/>
            <w:tcBorders>
              <w:left w:val="single" w:sz="8" w:color="00000A"/>
              <w:right w:val="single" w:sz="8" w:color="00000A"/>
            </w:tcBorders>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right w:val="single" w:sz="8" w:color="00000A"/>
            </w:tcBorders>
            <w:gridSpan w:val="3"/>
            <w:vMerge w:val="restart"/>
          </w:tcPr>
          <w:p>
            <w:pPr>
              <w:jc w:val="center"/>
              <w:ind w:right="680"/>
              <w:spacing w:after="0"/>
              <w:rPr>
                <w:sz w:val="20"/>
                <w:szCs w:val="20"/>
                <w:color w:val="auto"/>
              </w:rPr>
            </w:pPr>
            <w:r>
              <w:rPr>
                <w:rFonts w:ascii="Times New Roman" w:cs="Times New Roman" w:eastAsia="Times New Roman" w:hAnsi="Times New Roman"/>
                <w:sz w:val="20"/>
                <w:szCs w:val="20"/>
                <w:color w:val="auto"/>
                <w:w w:val="98"/>
              </w:rPr>
              <w:t>Net Leverage Ratio</w:t>
            </w:r>
          </w:p>
        </w:tc>
        <w:tc>
          <w:tcPr>
            <w:tcW w:w="1580" w:type="dxa"/>
            <w:vAlign w:val="bottom"/>
            <w:tcBorders>
              <w:right w:val="single" w:sz="8" w:color="00000A"/>
            </w:tcBorders>
            <w:vMerge w:val="continue"/>
          </w:tcPr>
          <w:p>
            <w:pPr>
              <w:spacing w:after="0"/>
              <w:rPr>
                <w:sz w:val="13"/>
                <w:szCs w:val="13"/>
                <w:color w:val="auto"/>
              </w:rPr>
            </w:pPr>
          </w:p>
        </w:tc>
        <w:tc>
          <w:tcPr>
            <w:tcW w:w="1720" w:type="dxa"/>
            <w:vAlign w:val="bottom"/>
            <w:tcBorders>
              <w:right w:val="single" w:sz="8" w:color="00000A"/>
            </w:tcBorders>
            <w:vMerge w:val="continue"/>
          </w:tcPr>
          <w:p>
            <w:pPr>
              <w:spacing w:after="0"/>
              <w:rPr>
                <w:sz w:val="13"/>
                <w:szCs w:val="13"/>
                <w:color w:val="auto"/>
              </w:rPr>
            </w:pPr>
          </w:p>
        </w:tc>
        <w:tc>
          <w:tcPr>
            <w:tcW w:w="18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Loans, RFR Loans</w:t>
            </w:r>
          </w:p>
        </w:tc>
        <w:tc>
          <w:tcPr>
            <w:tcW w:w="17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Loans</w:t>
            </w:r>
          </w:p>
        </w:tc>
        <w:tc>
          <w:tcPr>
            <w:tcW w:w="0" w:type="dxa"/>
            <w:vAlign w:val="bottom"/>
          </w:tcPr>
          <w:p>
            <w:pPr>
              <w:spacing w:after="0"/>
              <w:rPr>
                <w:sz w:val="1"/>
                <w:szCs w:val="1"/>
                <w:color w:val="auto"/>
              </w:rPr>
            </w:pPr>
          </w:p>
        </w:tc>
      </w:tr>
      <w:tr>
        <w:trPr>
          <w:trHeight w:val="79"/>
        </w:trPr>
        <w:tc>
          <w:tcPr>
            <w:tcW w:w="1340" w:type="dxa"/>
            <w:vAlign w:val="bottom"/>
            <w:tcBorders>
              <w:left w:val="single" w:sz="8" w:color="00000A"/>
              <w:right w:val="single" w:sz="8" w:color="00000A"/>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tcBorders>
              <w:right w:val="single" w:sz="8" w:color="00000A"/>
            </w:tcBorders>
            <w:gridSpan w:val="3"/>
            <w:vMerge w:val="continue"/>
          </w:tcPr>
          <w:p>
            <w:pPr>
              <w:spacing w:after="0"/>
              <w:rPr>
                <w:sz w:val="6"/>
                <w:szCs w:val="6"/>
                <w:color w:val="auto"/>
              </w:rPr>
            </w:pPr>
          </w:p>
        </w:tc>
        <w:tc>
          <w:tcPr>
            <w:tcW w:w="1580" w:type="dxa"/>
            <w:vAlign w:val="bottom"/>
            <w:tcBorders>
              <w:right w:val="single" w:sz="8" w:color="00000A"/>
            </w:tcBorders>
          </w:tcPr>
          <w:p>
            <w:pPr>
              <w:spacing w:after="0"/>
              <w:rPr>
                <w:sz w:val="6"/>
                <w:szCs w:val="6"/>
                <w:color w:val="auto"/>
              </w:rPr>
            </w:pPr>
          </w:p>
        </w:tc>
        <w:tc>
          <w:tcPr>
            <w:tcW w:w="1720" w:type="dxa"/>
            <w:vAlign w:val="bottom"/>
            <w:tcBorders>
              <w:right w:val="single" w:sz="8" w:color="00000A"/>
            </w:tcBorders>
          </w:tcPr>
          <w:p>
            <w:pPr>
              <w:spacing w:after="0"/>
              <w:rPr>
                <w:sz w:val="6"/>
                <w:szCs w:val="6"/>
                <w:color w:val="auto"/>
              </w:rPr>
            </w:pPr>
          </w:p>
        </w:tc>
        <w:tc>
          <w:tcPr>
            <w:tcW w:w="1860" w:type="dxa"/>
            <w:vAlign w:val="bottom"/>
            <w:tcBorders>
              <w:right w:val="single" w:sz="8" w:color="00000A"/>
            </w:tcBorders>
            <w:vMerge w:val="continue"/>
          </w:tcPr>
          <w:p>
            <w:pPr>
              <w:spacing w:after="0"/>
              <w:rPr>
                <w:sz w:val="6"/>
                <w:szCs w:val="6"/>
                <w:color w:val="auto"/>
              </w:rPr>
            </w:pPr>
          </w:p>
        </w:tc>
        <w:tc>
          <w:tcPr>
            <w:tcW w:w="1760" w:type="dxa"/>
            <w:vAlign w:val="bottom"/>
            <w:tcBorders>
              <w:right w:val="single" w:sz="8" w:color="00000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40" w:type="dxa"/>
            <w:vAlign w:val="bottom"/>
            <w:tcBorders>
              <w:left w:val="single" w:sz="8" w:color="00000A"/>
              <w:right w:val="single" w:sz="8" w:color="00000A"/>
            </w:tcBorders>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Borders>
              <w:right w:val="single" w:sz="8" w:color="00000A"/>
            </w:tcBorders>
          </w:tcPr>
          <w:p>
            <w:pPr>
              <w:spacing w:after="0"/>
              <w:rPr>
                <w:sz w:val="22"/>
                <w:szCs w:val="22"/>
                <w:color w:val="auto"/>
              </w:rPr>
            </w:pPr>
          </w:p>
        </w:tc>
        <w:tc>
          <w:tcPr>
            <w:tcW w:w="1580" w:type="dxa"/>
            <w:vAlign w:val="bottom"/>
            <w:tcBorders>
              <w:right w:val="single" w:sz="8" w:color="00000A"/>
            </w:tcBorders>
          </w:tcPr>
          <w:p>
            <w:pPr>
              <w:spacing w:after="0"/>
              <w:rPr>
                <w:sz w:val="22"/>
                <w:szCs w:val="22"/>
                <w:color w:val="auto"/>
              </w:rPr>
            </w:pPr>
          </w:p>
        </w:tc>
        <w:tc>
          <w:tcPr>
            <w:tcW w:w="1720" w:type="dxa"/>
            <w:vAlign w:val="bottom"/>
            <w:tcBorders>
              <w:right w:val="single" w:sz="8" w:color="00000A"/>
            </w:tcBorders>
          </w:tcPr>
          <w:p>
            <w:pPr>
              <w:spacing w:after="0"/>
              <w:rPr>
                <w:sz w:val="22"/>
                <w:szCs w:val="22"/>
                <w:color w:val="auto"/>
              </w:rPr>
            </w:pPr>
          </w:p>
        </w:tc>
        <w:tc>
          <w:tcPr>
            <w:tcW w:w="18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and CBR Loans</w:t>
            </w:r>
          </w:p>
        </w:tc>
        <w:tc>
          <w:tcPr>
            <w:tcW w:w="176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3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60" w:type="dxa"/>
            <w:vAlign w:val="bottom"/>
            <w:tcBorders>
              <w:bottom w:val="single" w:sz="8" w:color="00000A"/>
            </w:tcBorders>
          </w:tcPr>
          <w:p>
            <w:pPr>
              <w:spacing w:after="0" w:line="20" w:lineRule="exact"/>
              <w:rPr>
                <w:sz w:val="1"/>
                <w:szCs w:val="1"/>
                <w:color w:val="auto"/>
              </w:rPr>
            </w:pPr>
          </w:p>
        </w:tc>
        <w:tc>
          <w:tcPr>
            <w:tcW w:w="100" w:type="dxa"/>
            <w:vAlign w:val="bottom"/>
            <w:tcBorders>
              <w:bottom w:val="single" w:sz="8" w:color="00000A"/>
            </w:tcBorders>
          </w:tcPr>
          <w:p>
            <w:pPr>
              <w:spacing w:after="0" w:line="20" w:lineRule="exact"/>
              <w:rPr>
                <w:sz w:val="1"/>
                <w:szCs w:val="1"/>
                <w:color w:val="auto"/>
              </w:rPr>
            </w:pPr>
          </w:p>
        </w:tc>
        <w:tc>
          <w:tcPr>
            <w:tcW w:w="44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1780" w:type="dxa"/>
            <w:vAlign w:val="bottom"/>
            <w:tcBorders>
              <w:bottom w:val="single" w:sz="8" w:color="00000A"/>
              <w:right w:val="single" w:sz="8" w:color="00000A"/>
            </w:tcBorders>
          </w:tcPr>
          <w:p>
            <w:pPr>
              <w:spacing w:after="0" w:line="20" w:lineRule="exact"/>
              <w:rPr>
                <w:sz w:val="1"/>
                <w:szCs w:val="1"/>
                <w:color w:val="auto"/>
              </w:rPr>
            </w:pPr>
          </w:p>
        </w:tc>
        <w:tc>
          <w:tcPr>
            <w:tcW w:w="1580" w:type="dxa"/>
            <w:vAlign w:val="bottom"/>
            <w:tcBorders>
              <w:bottom w:val="single" w:sz="8" w:color="00000A"/>
              <w:right w:val="single" w:sz="8" w:color="00000A"/>
            </w:tcBorders>
          </w:tcPr>
          <w:p>
            <w:pPr>
              <w:spacing w:after="0" w:line="20" w:lineRule="exact"/>
              <w:rPr>
                <w:sz w:val="1"/>
                <w:szCs w:val="1"/>
                <w:color w:val="auto"/>
              </w:rPr>
            </w:pPr>
          </w:p>
        </w:tc>
        <w:tc>
          <w:tcPr>
            <w:tcW w:w="1720" w:type="dxa"/>
            <w:vAlign w:val="bottom"/>
            <w:tcBorders>
              <w:bottom w:val="single" w:sz="8" w:color="00000A"/>
              <w:right w:val="single" w:sz="8" w:color="00000A"/>
            </w:tcBorders>
          </w:tcPr>
          <w:p>
            <w:pPr>
              <w:spacing w:after="0" w:line="20" w:lineRule="exact"/>
              <w:rPr>
                <w:sz w:val="1"/>
                <w:szCs w:val="1"/>
                <w:color w:val="auto"/>
              </w:rPr>
            </w:pPr>
          </w:p>
        </w:tc>
        <w:tc>
          <w:tcPr>
            <w:tcW w:w="1860" w:type="dxa"/>
            <w:vAlign w:val="bottom"/>
            <w:tcBorders>
              <w:bottom w:val="single" w:sz="8" w:color="00000A"/>
              <w:right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3000" w:type="dxa"/>
            <w:vAlign w:val="bottom"/>
            <w:tcBorders>
              <w:bottom w:val="single" w:sz="8" w:color="00000A"/>
              <w:right w:val="single" w:sz="8" w:color="00000A"/>
            </w:tcBorders>
            <w:gridSpan w:val="5"/>
          </w:tcPr>
          <w:p>
            <w:pPr>
              <w:jc w:val="center"/>
              <w:ind w:right="40"/>
              <w:spacing w:after="0"/>
              <w:rPr>
                <w:sz w:val="20"/>
                <w:szCs w:val="20"/>
                <w:color w:val="auto"/>
              </w:rPr>
            </w:pPr>
            <w:r>
              <w:rPr>
                <w:rFonts w:ascii="Times New Roman" w:cs="Times New Roman" w:eastAsia="Times New Roman" w:hAnsi="Times New Roman"/>
                <w:sz w:val="20"/>
                <w:szCs w:val="20"/>
                <w:color w:val="auto"/>
                <w:w w:val="98"/>
              </w:rPr>
              <w:t>&lt;1.50:1.0</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0.100%</w:t>
            </w:r>
          </w:p>
        </w:tc>
        <w:tc>
          <w:tcPr>
            <w:tcW w:w="172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0.875%</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0.875%</w:t>
            </w:r>
          </w:p>
        </w:tc>
        <w:tc>
          <w:tcPr>
            <w:tcW w:w="176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0.000%</w:t>
            </w: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w w:val="98"/>
              </w:rPr>
              <w:t>&gt;1.50:1.0 but &lt;2.00:1.0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0.125%</w:t>
            </w:r>
          </w:p>
        </w:tc>
        <w:tc>
          <w:tcPr>
            <w:tcW w:w="172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1.000%</w:t>
            </w:r>
          </w:p>
        </w:tc>
        <w:tc>
          <w:tcPr>
            <w:tcW w:w="18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1.000%</w:t>
            </w:r>
          </w:p>
        </w:tc>
        <w:tc>
          <w:tcPr>
            <w:tcW w:w="17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0.000%</w:t>
            </w: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top w:val="single" w:sz="8" w:color="auto"/>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3</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w w:val="98"/>
              </w:rPr>
              <w:t>&gt;2.00:1.0 but &lt;2.50:1.0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0.150%</w:t>
            </w:r>
          </w:p>
        </w:tc>
        <w:tc>
          <w:tcPr>
            <w:tcW w:w="172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1.125%</w:t>
            </w:r>
          </w:p>
        </w:tc>
        <w:tc>
          <w:tcPr>
            <w:tcW w:w="18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1.125%</w:t>
            </w:r>
          </w:p>
        </w:tc>
        <w:tc>
          <w:tcPr>
            <w:tcW w:w="17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0.125%</w:t>
            </w: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top w:val="single" w:sz="8" w:color="auto"/>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4</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w w:val="98"/>
              </w:rPr>
              <w:t>&gt;2.50:1.0 but &lt;3.00:1.0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0.175%</w:t>
            </w:r>
          </w:p>
        </w:tc>
        <w:tc>
          <w:tcPr>
            <w:tcW w:w="172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1.375%</w:t>
            </w:r>
          </w:p>
        </w:tc>
        <w:tc>
          <w:tcPr>
            <w:tcW w:w="18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1.375%</w:t>
            </w:r>
          </w:p>
        </w:tc>
        <w:tc>
          <w:tcPr>
            <w:tcW w:w="17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0.375%</w:t>
            </w: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top w:val="single" w:sz="8" w:color="auto"/>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5</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w w:val="98"/>
              </w:rPr>
              <w:t>&gt;3.00:1.0 but &lt;3.25:1.0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0.200%</w:t>
            </w:r>
          </w:p>
        </w:tc>
        <w:tc>
          <w:tcPr>
            <w:tcW w:w="172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1.625%</w:t>
            </w:r>
          </w:p>
        </w:tc>
        <w:tc>
          <w:tcPr>
            <w:tcW w:w="18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1.625%</w:t>
            </w:r>
          </w:p>
        </w:tc>
        <w:tc>
          <w:tcPr>
            <w:tcW w:w="17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top w:val="single" w:sz="8" w:color="auto"/>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6</w:t>
            </w:r>
          </w:p>
        </w:tc>
        <w:tc>
          <w:tcPr>
            <w:tcW w:w="3000" w:type="dxa"/>
            <w:vAlign w:val="bottom"/>
            <w:tcBorders>
              <w:right w:val="single" w:sz="8" w:color="00000A"/>
            </w:tcBorders>
            <w:gridSpan w:val="5"/>
          </w:tcPr>
          <w:p>
            <w:pPr>
              <w:jc w:val="center"/>
              <w:ind w:right="40"/>
              <w:spacing w:after="0" w:line="196" w:lineRule="exact"/>
              <w:rPr>
                <w:sz w:val="20"/>
                <w:szCs w:val="20"/>
                <w:color w:val="auto"/>
              </w:rPr>
            </w:pPr>
            <w:r>
              <w:rPr>
                <w:rFonts w:ascii="Times New Roman" w:cs="Times New Roman" w:eastAsia="Times New Roman" w:hAnsi="Times New Roman"/>
                <w:sz w:val="20"/>
                <w:szCs w:val="20"/>
                <w:color w:val="auto"/>
                <w:w w:val="98"/>
              </w:rPr>
              <w:t>&gt;3.25:1.0</w:t>
            </w:r>
          </w:p>
        </w:tc>
        <w:tc>
          <w:tcPr>
            <w:tcW w:w="15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0.200%</w:t>
            </w:r>
          </w:p>
        </w:tc>
        <w:tc>
          <w:tcPr>
            <w:tcW w:w="172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1.750%</w:t>
            </w:r>
          </w:p>
        </w:tc>
        <w:tc>
          <w:tcPr>
            <w:tcW w:w="18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1.750%</w:t>
            </w:r>
          </w:p>
        </w:tc>
        <w:tc>
          <w:tcPr>
            <w:tcW w:w="17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0.750%</w:t>
            </w: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top w:val="single" w:sz="8" w:color="auto"/>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right="40" w:hanging="4"/>
        <w:spacing w:after="0" w:line="269" w:lineRule="auto"/>
        <w:tabs>
          <w:tab w:leader="none" w:pos="81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Rate for performance standby Letters of Credit with respect to non-financial contractual obligations shall be equal to 50% of the Applicable Rate for Letters of Credit set forth above.</w:t>
      </w:r>
    </w:p>
    <w:p>
      <w:pPr>
        <w:spacing w:after="0" w:line="17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Net Leverage Ratio shall become effective as of the first Business Day immediately following the date a Compliance Certificate is required to be delivered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 Compliance Certificate is not delivered within five (5) Business Days after the date when due in accordance with such Section, then, upon the request of the Required Lenders, Pricing Level 6 shall apply as of the first Business Day after the date on which such Compliance Certificate was required to have been delivered and shall continue to apply until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whereupon the Applicable Rate shall be adjusted based upon the calculation of the Consolidated Net Leverage Ratio contained in such Compliance Certificate. Notwithstanding the foregoing, the Applicable Rate in effect from the Second Amendment Effective Date through the first Business Day immediately following the date a Compliance Certificate is required to be delivered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for the Fiscal Quarter ending October 31, 2022 shall be determined based upon Pricing Level 1.</w:t>
      </w:r>
    </w:p>
    <w:p>
      <w:pPr>
        <w:spacing w:after="0" w:line="19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BMO Capital Markets, BofA Securities, Inc. and CIBC Bank USA, in their capacities as joint lead arrangers and joint bookrunners.</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320" w:top="1413" w:right="31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and accepted by the Administrative Agent, in substantially the form of </w:t>
      </w:r>
      <w:r>
        <w:rPr>
          <w:rFonts w:ascii="Times New Roman" w:cs="Times New Roman" w:eastAsia="Times New Roman" w:hAnsi="Times New Roman"/>
          <w:sz w:val="20"/>
          <w:szCs w:val="20"/>
          <w:u w:val="single" w:color="auto"/>
          <w:color w:val="auto"/>
        </w:rPr>
        <w:t>Exhibit 11.06(b)</w:t>
      </w:r>
      <w:r>
        <w:rPr>
          <w:rFonts w:ascii="Times New Roman" w:cs="Times New Roman" w:eastAsia="Times New Roman" w:hAnsi="Times New Roman"/>
          <w:sz w:val="20"/>
          <w:szCs w:val="20"/>
          <w:color w:val="auto"/>
        </w:rPr>
        <w:t xml:space="preserve"> or any other form (including electronic documentation generated by the use of an electronic platform) reasonably approved by the Administrative Agent that does not conflict with the terms of this Agreement.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Company and its Subsidiaries as of July 31, 2018 and the related consolidated statements of income or operations, shareholders’ equity and cash flows for the Fiscal Year ended July 31, 2018 of the Company and its Subsidiaries, including the notes thereto.</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the period from and including the Closing Date to the earliest of (a) the Maturity Date, (b) the date of termination of the Aggregate Revolving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Lender to make Loans and of the obligation of the L/C Issuer to make L/C Credit Extensions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22" w:lineRule="exact"/>
        <w:rPr>
          <w:sz w:val="20"/>
          <w:szCs w:val="20"/>
          <w:color w:val="auto"/>
        </w:rPr>
      </w:pPr>
    </w:p>
    <w:p>
      <w:pPr>
        <w:jc w:val="both"/>
        <w:ind w:firstLine="648"/>
        <w:spacing w:after="0" w:line="249"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removed from the definition of “Interest Period” pursuant to clause (e) of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-685800</wp:posOffset>
            </wp:positionV>
            <wp:extent cx="4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per annum equal to the highest of (a) the Federal Funds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0.50%, (b) the rate of interest in effect for such day as publicly announced from time to time by BMO as its “prime rate” and (c)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The “prime rate” is a rate set by BMO based upon various factors including BMO’s costs and desired return, general economic conditions and other factors, and is used as a reference point for pricing some loans, which may be priced at, above, or below such announced rate. Any change in such “prime rate” announced by BMO shall take effect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83" w:lineRule="auto"/>
        <w:rPr>
          <w:sz w:val="20"/>
          <w:szCs w:val="20"/>
          <w:color w:val="auto"/>
        </w:rPr>
      </w:pPr>
      <w:r>
        <w:rPr>
          <w:rFonts w:ascii="Times New Roman" w:cs="Times New Roman" w:eastAsia="Times New Roman" w:hAnsi="Times New Roman"/>
          <w:sz w:val="20"/>
          <w:szCs w:val="20"/>
          <w:color w:val="auto"/>
        </w:rPr>
        <w:t>the opening of business on the day specified in the public announcement of such change. If the Base Rate shall be less than zero, such rate shall be deemed zero for purposes of this Agreement.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All Base Rate Loans shall be denominated in Dollars.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BBSY Rate</w:t>
      </w:r>
      <w:r>
        <w:rPr>
          <w:rFonts w:ascii="Times New Roman" w:cs="Times New Roman" w:eastAsia="Times New Roman" w:hAnsi="Times New Roman"/>
          <w:sz w:val="20"/>
          <w:szCs w:val="20"/>
          <w:color w:val="auto"/>
        </w:rPr>
        <w:t xml:space="preserve">” means, with respect to any Term Benchmark Borrowing denominated in Australian Dollars and for any Interest Period, the BBSY Screen Rate at approximately 11:00 a.m., Sydney time, on the first day of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BBSY Rate as so determined would be less than the Floor, such rate shall be deemed to be equal to the Floor for the purposes of this Agreement.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BBSY Screen Rate</w:t>
      </w:r>
      <w:r>
        <w:rPr>
          <w:rFonts w:ascii="Times New Roman" w:cs="Times New Roman" w:eastAsia="Times New Roman" w:hAnsi="Times New Roman"/>
          <w:sz w:val="19"/>
          <w:szCs w:val="19"/>
          <w:color w:val="auto"/>
        </w:rPr>
        <w:t>” means,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10:30 a.m. (Melbourne, Australia time) on the Rate Determination Date with a term equivalent to such Interest Period.</w:t>
      </w:r>
    </w:p>
    <w:p>
      <w:pPr>
        <w:spacing w:after="0" w:line="164" w:lineRule="exact"/>
        <w:rPr>
          <w:sz w:val="20"/>
          <w:szCs w:val="20"/>
          <w:color w:val="auto"/>
        </w:rPr>
      </w:pPr>
    </w:p>
    <w:p>
      <w:pPr>
        <w:jc w:val="both"/>
        <w:ind w:firstLine="648"/>
        <w:spacing w:after="0" w:line="244"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for any Agreed Currency, initially, the Relevant Rate for such Agreed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w:t>
      </w:r>
      <w:r>
        <w:rPr>
          <w:rFonts w:ascii="Times New Roman" w:cs="Times New Roman" w:eastAsia="Times New Roman" w:hAnsi="Times New Roman"/>
          <w:sz w:val="20"/>
          <w:szCs w:val="20"/>
          <w:u w:val="single" w:color="auto"/>
          <w:color w:val="0000FF"/>
        </w:rPr>
        <w:t>or a Term CORRA Reelection Event</w:t>
      </w:r>
      <w:r>
        <w:rPr>
          <w:rFonts w:ascii="Times New Roman" w:cs="Times New Roman" w:eastAsia="Times New Roman" w:hAnsi="Times New Roman"/>
          <w:sz w:val="20"/>
          <w:szCs w:val="20"/>
          <w:color w:val="auto"/>
        </w:rPr>
        <w:t xml:space="preserve"> and the related Benchmark Replacement Date have occurred with respect to the applicable Relevant Rate 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for such Agreed Currency, then “Benchmark” means the applicable Benchmark Replacement to the extent that such Benchmark Replacement has replaced such prior benchmark rate pursuant to clause (b) of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Loan denominated in an Alternative Currency, “Benchmark Replacement” shall mean the alternative set forth in (2) below:</w:t>
      </w:r>
    </w:p>
    <w:p>
      <w:pPr>
        <w:spacing w:after="0" w:line="168" w:lineRule="exact"/>
        <w:rPr>
          <w:sz w:val="20"/>
          <w:szCs w:val="20"/>
          <w:color w:val="auto"/>
        </w:rPr>
      </w:pPr>
    </w:p>
    <w:p>
      <w:pPr>
        <w:ind w:left="1940" w:hanging="636"/>
        <w:spacing w:after="0"/>
        <w:tabs>
          <w:tab w:leader="none" w:pos="19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the sum of: (a) Daily Simple SOFR and (b) 0.10%, or</w:t>
      </w:r>
    </w:p>
    <w:p>
      <w:pPr>
        <w:spacing w:after="0" w:line="229" w:lineRule="exact"/>
        <w:rPr>
          <w:rFonts w:ascii="Times New Roman" w:cs="Times New Roman" w:eastAsia="Times New Roman" w:hAnsi="Times New Roman"/>
          <w:sz w:val="20"/>
          <w:szCs w:val="20"/>
          <w:color w:val="auto"/>
        </w:rPr>
      </w:pPr>
    </w:p>
    <w:p>
      <w:pPr>
        <w:jc w:val="both"/>
        <w:ind w:left="1300" w:firstLine="4"/>
        <w:spacing w:after="0" w:line="241" w:lineRule="exact"/>
        <w:tabs>
          <w:tab w:leader="none" w:pos="19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Company as the replacement for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the applicable Corresponding Tenor giving due consideration to (i) any selection or recommendation of a replacement benchmark rate or the mechanism for determining such a rate by the Relevant Governmental Body or (ii) any evolving or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prevailing market convention for determining a benchmark rate as a replacement for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syndicated credit facilities denominated in the applicable Agreed Currency at such time in the United States and (b) the related Benchmark Replacement Adjustment;</w:t>
      </w:r>
    </w:p>
    <w:p>
      <w:pPr>
        <w:spacing w:after="0" w:line="19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u w:val="single" w:color="auto"/>
          <w:color w:val="0000FF"/>
        </w:rPr>
        <w:t>provided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25" w:name="page26"/>
    <w:bookmarkEnd w:id="25"/>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that, if</w:t>
      </w:r>
      <w:r>
        <w:rPr>
          <w:rFonts w:ascii="Times New Roman" w:cs="Times New Roman" w:eastAsia="Times New Roman" w:hAnsi="Times New Roman"/>
          <w:sz w:val="20"/>
          <w:szCs w:val="20"/>
          <w:u w:val="single" w:color="auto"/>
          <w:color w:val="0000FF"/>
        </w:rPr>
        <w:t>If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Benchmark Replacement as determined pursuant to clause (1) or clause (2) above would be less than the Floor,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Benchmark Replacement will be deemed to be the Floor for the purposes of this Agreement and the other Loan Documents.</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means, with respect to any Benchmark Replacement and/or any Term Benchmark Loan denominated in Dollars, any technical, administrative or operational changes (including changes to the definition of “Base Rate,” the definition of “Business Day,” the definition of “U.S. Government Securities Business Day,” the definition of “Interest Period,” the timing and frequency of determining rates and making payments of interest, the timing of borrowing requests or prepayment, conversion or continuation notices, the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exists, in such other manner of administration as the Administrative Agent decides in its reasonable discretion in consultation with the Company is reasonably necessary in connection with the administration of this Agreement and the other Loan Documents).</w:t>
      </w:r>
    </w:p>
    <w:p>
      <w:pPr>
        <w:spacing w:after="0" w:line="18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the then-current Benchmark:</w:t>
      </w:r>
    </w:p>
    <w:p>
      <w:pPr>
        <w:spacing w:after="0" w:line="146" w:lineRule="exact"/>
        <w:rPr>
          <w:sz w:val="20"/>
          <w:szCs w:val="20"/>
          <w:color w:val="auto"/>
        </w:rPr>
      </w:pPr>
    </w:p>
    <w:p>
      <w:pPr>
        <w:jc w:val="both"/>
        <w:ind w:firstLine="1304"/>
        <w:spacing w:after="0" w:line="258" w:lineRule="auto"/>
        <w:tabs>
          <w:tab w:leader="none" w:pos="19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20"/>
          <w:szCs w:val="20"/>
          <w:color w:val="FF0000"/>
        </w:rPr>
        <w:t>or</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-826135</wp:posOffset>
            </wp:positionV>
            <wp:extent cx="13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color w:val="auto"/>
        </w:rPr>
        <w:t>even if any Available Tenor of such Benchmark (or such component thereof) continues to be provided on such date</w:t>
      </w:r>
      <w:r>
        <w:rPr>
          <w:rFonts w:ascii="Times New Roman" w:cs="Times New Roman" w:eastAsia="Times New Roman" w:hAnsi="Times New Roman"/>
          <w:sz w:val="20"/>
          <w:szCs w:val="20"/>
          <w:u w:val="single" w:color="auto"/>
          <w:color w:val="FF0000"/>
          <w:strike w:val="1"/>
        </w:rPr>
        <w:t>.</w:t>
      </w:r>
      <w:r>
        <w:rPr>
          <w:rFonts w:ascii="Times New Roman" w:cs="Times New Roman" w:eastAsia="Times New Roman" w:hAnsi="Times New Roman"/>
          <w:sz w:val="20"/>
          <w:szCs w:val="20"/>
          <w:u w:val="single" w:color="auto"/>
          <w:color w:val="0000FF"/>
        </w:rPr>
        <w:t>; or</w:t>
      </w:r>
    </w:p>
    <w:p>
      <w:pPr>
        <w:spacing w:after="0" w:line="229" w:lineRule="exact"/>
        <w:rPr>
          <w:sz w:val="20"/>
          <w:szCs w:val="20"/>
          <w:color w:val="auto"/>
        </w:rPr>
      </w:pPr>
    </w:p>
    <w:p>
      <w:pPr>
        <w:ind w:firstLine="1304"/>
        <w:spacing w:after="0" w:line="269" w:lineRule="auto"/>
        <w:tabs>
          <w:tab w:leader="none" w:pos="1932" w:val="left"/>
        </w:tabs>
        <w:numPr>
          <w:ilvl w:val="0"/>
          <w:numId w:val="1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the case of a Term CORRA Reelection Event, the date that is thirty (30) days after the date a Term CORRA Notice (if any) is provided to the Lenders and the Company pursuant to Section 3.07(c).</w:t>
      </w:r>
    </w:p>
    <w:p>
      <w:pPr>
        <w:spacing w:after="0" w:line="173" w:lineRule="exact"/>
        <w:rPr>
          <w:sz w:val="20"/>
          <w:szCs w:val="20"/>
          <w:color w:val="auto"/>
        </w:rPr>
      </w:pPr>
    </w:p>
    <w:p>
      <w:pPr>
        <w:jc w:val="both"/>
        <w:ind w:firstLine="648"/>
        <w:spacing w:after="0" w:line="241" w:lineRule="exact"/>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Available Tenors of such Benchmark (or the published component used in the calculation thereof).</w:t>
      </w:r>
    </w:p>
    <w:p>
      <w:pPr>
        <w:spacing w:after="0" w:line="201" w:lineRule="exact"/>
        <w:rPr>
          <w:sz w:val="20"/>
          <w:szCs w:val="20"/>
          <w:color w:val="auto"/>
        </w:rPr>
      </w:pPr>
    </w:p>
    <w:p>
      <w:pPr>
        <w:jc w:val="both"/>
        <w:ind w:firstLine="648"/>
        <w:spacing w:after="0" w:line="259"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w:t>
      </w:r>
    </w:p>
    <w:p>
      <w:pPr>
        <w:spacing w:after="0" w:line="171" w:lineRule="exact"/>
        <w:rPr>
          <w:sz w:val="20"/>
          <w:szCs w:val="20"/>
          <w:color w:val="auto"/>
        </w:rPr>
      </w:pPr>
    </w:p>
    <w:p>
      <w:pPr>
        <w:jc w:val="both"/>
        <w:ind w:firstLine="1304"/>
        <w:spacing w:after="0" w:line="253" w:lineRule="auto"/>
        <w:tabs>
          <w:tab w:leader="none" w:pos="193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9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FRB,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as of a specific date;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at the time of such statement or publication, there is no successor administrator that will continue to provide any Available Tenor of such Benchmark (or such component thereof)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or</w:t>
      </w:r>
    </w:p>
    <w:p>
      <w:pPr>
        <w:spacing w:after="0" w:line="17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-675640</wp:posOffset>
            </wp:positionV>
            <wp:extent cx="31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44" w:lineRule="exact"/>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Available Tenor of such Benchmark (or the published component used in the calculation thereof).</w:t>
      </w:r>
    </w:p>
    <w:p>
      <w:pPr>
        <w:spacing w:after="0" w:line="201" w:lineRule="exact"/>
        <w:rPr>
          <w:sz w:val="20"/>
          <w:szCs w:val="20"/>
          <w:color w:val="auto"/>
        </w:rPr>
      </w:pPr>
    </w:p>
    <w:p>
      <w:pPr>
        <w:jc w:val="both"/>
        <w:ind w:firstLine="648"/>
        <w:spacing w:after="0" w:line="25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27" w:name="page28"/>
    <w:bookmarkEnd w:id="27"/>
    <w:p>
      <w:pPr>
        <w:jc w:val="both"/>
        <w:spacing w:after="0" w:line="244" w:lineRule="exact"/>
        <w:rPr>
          <w:sz w:val="20"/>
          <w:szCs w:val="20"/>
          <w:color w:val="auto"/>
        </w:rPr>
      </w:pPr>
      <w:r>
        <w:rPr>
          <w:rFonts w:ascii="Times New Roman" w:cs="Times New Roman" w:eastAsia="Times New Roman" w:hAnsi="Times New Roman"/>
          <w:sz w:val="20"/>
          <w:szCs w:val="20"/>
          <w:color w:val="auto"/>
        </w:rPr>
        <w:t>all purposes hereunder and under any Loan Document in accordance with Section 3.07 and (y) ending at the time that a Benchmark Replacement has replaced such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BMO</w:t>
      </w:r>
      <w:r>
        <w:rPr>
          <w:rFonts w:ascii="Times New Roman" w:cs="Times New Roman" w:eastAsia="Times New Roman" w:hAnsi="Times New Roman"/>
          <w:sz w:val="20"/>
          <w:szCs w:val="20"/>
          <w:color w:val="auto"/>
        </w:rPr>
        <w:t xml:space="preserve">” means BMO </w:t>
      </w:r>
      <w:r>
        <w:rPr>
          <w:rFonts w:ascii="Times New Roman" w:cs="Times New Roman" w:eastAsia="Times New Roman" w:hAnsi="Times New Roman"/>
          <w:sz w:val="20"/>
          <w:szCs w:val="20"/>
          <w:color w:val="FF0000"/>
          <w:strike w:val="1"/>
        </w:rPr>
        <w:t>Harris</w:t>
      </w:r>
      <w:r>
        <w:rPr>
          <w:rFonts w:ascii="Times New Roman" w:cs="Times New Roman" w:eastAsia="Times New Roman" w:hAnsi="Times New Roman"/>
          <w:sz w:val="20"/>
          <w:szCs w:val="20"/>
          <w:color w:val="auto"/>
        </w:rPr>
        <w:t xml:space="preserve"> Bank N.A., together with its successors.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has the meaning specified in the introductory paragraph hereto, and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any one of them.</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xml:space="preserve">” means a borrowing consisting of simultaneous Loans of the same Type, in the same currency and, in the case of Term Benchmark Loans, having the same Interest Period made by each of the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Brady Finance Luxembourg</w:t>
      </w:r>
      <w:r>
        <w:rPr>
          <w:rFonts w:ascii="Times New Roman" w:cs="Times New Roman" w:eastAsia="Times New Roman" w:hAnsi="Times New Roman"/>
          <w:sz w:val="20"/>
          <w:szCs w:val="20"/>
          <w:color w:val="auto"/>
        </w:rPr>
        <w:t>” means Brady Finance Luxembourg, a private limited liability company (</w:t>
      </w:r>
      <w:r>
        <w:rPr>
          <w:rFonts w:ascii="Times New Roman" w:cs="Times New Roman" w:eastAsia="Times New Roman" w:hAnsi="Times New Roman"/>
          <w:sz w:val="20"/>
          <w:szCs w:val="20"/>
          <w:i w:val="1"/>
          <w:iCs w:val="1"/>
          <w:color w:val="auto"/>
        </w:rPr>
        <w:t>société à responsabilité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limitée</w:t>
      </w:r>
      <w:r>
        <w:rPr>
          <w:rFonts w:ascii="Times New Roman" w:cs="Times New Roman" w:eastAsia="Times New Roman" w:hAnsi="Times New Roman"/>
          <w:sz w:val="20"/>
          <w:szCs w:val="20"/>
          <w:color w:val="auto"/>
        </w:rPr>
        <w:t>), organized under the laws of Luxembourg, having its registered office at 75, Parc d’Activités, L-8308 Capellen, Luxembourg,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with the Luxembourg Companies Register under number B 153389.</w:t>
      </w:r>
    </w:p>
    <w:p>
      <w:pPr>
        <w:spacing w:after="0" w:line="162" w:lineRule="exact"/>
        <w:rPr>
          <w:sz w:val="20"/>
          <w:szCs w:val="20"/>
          <w:color w:val="auto"/>
        </w:rPr>
      </w:pPr>
    </w:p>
    <w:p>
      <w:pPr>
        <w:jc w:val="both"/>
        <w:ind w:firstLine="648"/>
        <w:spacing w:after="0" w:line="25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Brady SARL</w:t>
      </w:r>
      <w:r>
        <w:rPr>
          <w:rFonts w:ascii="Times New Roman" w:cs="Times New Roman" w:eastAsia="Times New Roman" w:hAnsi="Times New Roman"/>
          <w:sz w:val="20"/>
          <w:szCs w:val="20"/>
          <w:color w:val="auto"/>
        </w:rPr>
        <w:t>” means Brady S.à r.l., a private limited liability company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organized under the laws of Luxembourg, having its registered office at 75, Parc d’Activités, 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8308 Capellen, Luxembourg, registered with the Luxembourg Companies Register under number B 177140.</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a Sunday) on which banks are open for business in New York City or Chicago;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“Business Day” shall mean (i) in relation to RFR Loans and any interest rate settings, fundings, disbursements, settlements or payments of any such RFR Loan, or any other dealings in the applicable Agreed Currency of such RFR Loan, any such day that is only an RFR Business Day, (ii) in relation to Loans denominated in euro and in relation to the calculation or computation of the EURIBO Rate, any day which is a TARGET2 Day, (iii) in relation to Loans denominated in Japanese Yen and in relation to the calculation or computation of the TIBO Rate, any day (other than a Saturday or a Sunday) on which banks are open for business in Japan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(iv</w:t>
      </w:r>
      <w:r>
        <w:rPr>
          <w:rFonts w:ascii="Times New Roman" w:cs="Times New Roman" w:eastAsia="Times New Roman" w:hAnsi="Times New Roman"/>
          <w:sz w:val="20"/>
          <w:szCs w:val="20"/>
          <w:u w:val="single" w:color="auto"/>
          <w:color w:val="0000FF"/>
        </w:rPr>
        <w:t>) in relation to Loans denominated in Canadian Dollars and in relation to the calculation or computation of CORRA, any day (other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than a Saturday or a Sunday) on which banks are open for business in Canada and (v</w:t>
      </w:r>
      <w:r>
        <w:rPr>
          <w:rFonts w:ascii="Times New Roman" w:cs="Times New Roman" w:eastAsia="Times New Roman" w:hAnsi="Times New Roman"/>
          <w:sz w:val="20"/>
          <w:szCs w:val="20"/>
          <w:color w:val="000000"/>
        </w:rPr>
        <w:t>) in relation to Term Benchmark Loans denominated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other Agreed Currencies and in relation to the calculation or computation of the applicable Relevant Rate, any day (other than a Saturday or a Sunday) on which dealings in deposits in the relevant currency are conducted by and between banks in the London or other applicable offshore interbank market for such currency.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“Canadian Dollar” means the lawful currency of Canada.</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with respect to any Person, any lease of (or other agreement conveying the right to use) any real or personal property by such Person that, in conformity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28" w:name="page29"/>
    <w:bookmarkEnd w:id="2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with GAAP as in effect immediately prior to the adoption of FASB ASC 842, is accounted for as a capital lease on the balance sheet of such Person.</w:t>
      </w:r>
    </w:p>
    <w:p>
      <w:pPr>
        <w:spacing w:after="0" w:line="14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means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 (iv) in the case of a limited liability company, membership interests and (v) 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deposit in a Controlled Account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the Administrative Agent and the L/C Issuer.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as at any date, (a) treasury bills, treasury cash management bills and other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bank deposits, time deposits, certificates of deposit and bankers acceptances, in each case of (i) any Lender or (ii) any commercial bank of recognized standing having capital and surplus in excess of $100,000,000 (each, an “Approved Lender”), (c) commercial paper issued by any Approved Lender (or by the parent company thereof) which is of investment grade provided, the aggregate principal amount of commercial paper issued by any one issuer shall not exceed $25,000,000, (d) unrated commercial paper issued by Wisconsin corporations, provided, the aggregate principal amount of commercial paper issued by any one issuer shall not exceed $10,000,000, (e) repurchase agreements with an Approved Lender, but only to the extent the same is used as an overnight or over weekend investment, (f) obligations of any state of the United States or any political subdivision thereof, the interest with respect to which is entirely exempt from federal income taxation under Section 103 of the Internal Revenue Code and having a rating of A or above by S&amp;P, (g) investments in municipal put bonds and municipal market auction notes and bonds rated A or above by S&amp;P, (h) investments, classified in accordance with GAAP as current assets, in adjustable rate preferred stock (which must be purchased at the call price or below) and money market investment programs registered under the Investment Company Act of 1940, as amended, in each case, which are administered by reputable financial institutions having capital of at least $100,000,000, 70% of the interest with respect to which is exempt from federal income taxation under Section 103 of the Internal Revenue Code, and having a rating of A or above by S&amp;P, (i) VEBA investments in municipal put bonds and notes, money market preferred stock and commercial paper, in each case, the interest with respect to which is taxable, and having a long term rating of A or above by S&amp;P and (j) with respect to any Foreign Subsidiary, short-term investments utilized by such Foreign Subsidiary in accordance with normal investment practices for cash management in investments analogous to the foregoing investments in clause (h) above.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means a Loan that bears interest at a rate determined by reference to the Central Bank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29" w:name="page30"/>
    <w:bookmarkEnd w:id="29"/>
    <w:p>
      <w:pPr>
        <w:jc w:val="both"/>
        <w:ind w:firstLine="648"/>
        <w:spacing w:after="0" w:line="281" w:lineRule="auto"/>
        <w:rPr>
          <w:sz w:val="20"/>
          <w:szCs w:val="20"/>
          <w:color w:val="auto"/>
        </w:rPr>
      </w:pPr>
      <w:r>
        <w:rPr>
          <w:rFonts w:ascii="Times New Roman" w:cs="Times New Roman" w:eastAsia="Times New Roman" w:hAnsi="Times New Roman"/>
          <w:sz w:val="19"/>
          <w:szCs w:val="19"/>
          <w:color w:val="EE2724"/>
          <w:strike w:val="1"/>
        </w:rPr>
        <w:t>“</w:t>
      </w:r>
      <w:r>
        <w:rPr>
          <w:rFonts w:ascii="Times New Roman" w:cs="Times New Roman" w:eastAsia="Times New Roman" w:hAnsi="Times New Roman"/>
          <w:sz w:val="19"/>
          <w:szCs w:val="19"/>
          <w:u w:val="single" w:color="auto"/>
          <w:color w:val="EE2724"/>
          <w:strike w:val="1"/>
        </w:rPr>
        <w:t>CDOR Rate</w:t>
      </w:r>
      <w:r>
        <w:rPr>
          <w:rFonts w:ascii="Times New Roman" w:cs="Times New Roman" w:eastAsia="Times New Roman" w:hAnsi="Times New Roman"/>
          <w:sz w:val="19"/>
          <w:szCs w:val="19"/>
          <w:color w:val="EE2724"/>
          <w:strike w:val="1"/>
        </w:rPr>
        <w:t xml:space="preserve">” means, with respect to any Term Benchmark Borrowing denominated in Canadian Dollars and for any Interest Period, the CDOR Screen Rate at approximately 10:00 a.m., Toronto time, on the first day of such Interest Period; </w:t>
      </w:r>
      <w:r>
        <w:rPr>
          <w:rFonts w:ascii="Times New Roman" w:cs="Times New Roman" w:eastAsia="Times New Roman" w:hAnsi="Times New Roman"/>
          <w:sz w:val="19"/>
          <w:szCs w:val="19"/>
          <w:u w:val="single" w:color="auto"/>
          <w:color w:val="EE2724"/>
          <w:strike w:val="1"/>
        </w:rPr>
        <w:t>provided</w:t>
      </w:r>
      <w:r>
        <w:rPr>
          <w:rFonts w:ascii="Times New Roman" w:cs="Times New Roman" w:eastAsia="Times New Roman" w:hAnsi="Times New Roman"/>
          <w:sz w:val="19"/>
          <w:szCs w:val="19"/>
          <w:color w:val="EE2724"/>
          <w:strike w:val="1"/>
        </w:rPr>
        <w:t xml:space="preserve"> that if the CDOR Rate as so determined would be less than the Floor, such rate shall be deemed to be equal to the Floor for the purposes of this Agreement.</w:t>
      </w:r>
    </w:p>
    <w:p>
      <w:pPr>
        <w:spacing w:after="0" w:line="16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EE2724"/>
          <w:strike w:val="1"/>
        </w:rPr>
        <w:t>“</w:t>
      </w:r>
      <w:r>
        <w:rPr>
          <w:rFonts w:ascii="Times New Roman" w:cs="Times New Roman" w:eastAsia="Times New Roman" w:hAnsi="Times New Roman"/>
          <w:sz w:val="20"/>
          <w:szCs w:val="20"/>
          <w:u w:val="single" w:color="auto"/>
          <w:color w:val="EE2724"/>
          <w:strike w:val="1"/>
        </w:rPr>
        <w:t>CDOR Screen Rate</w:t>
      </w:r>
      <w:r>
        <w:rPr>
          <w:rFonts w:ascii="Times New Roman" w:cs="Times New Roman" w:eastAsia="Times New Roman" w:hAnsi="Times New Roman"/>
          <w:sz w:val="20"/>
          <w:szCs w:val="20"/>
          <w:color w:val="EE2724"/>
          <w:strike w:val="1"/>
        </w:rPr>
        <w:t>” 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1/100th of 1% (with .005% being rounded up), as of 10:00 a.m. Toronto time on the Rate Determination Date with a term equivalent to such Interest Period.</w:t>
      </w:r>
    </w:p>
    <w:p>
      <w:pPr>
        <w:spacing w:after="0" w:line="1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Central Bank Rate</w:t>
      </w:r>
      <w:r>
        <w:rPr>
          <w:rFonts w:ascii="Times New Roman" w:cs="Times New Roman" w:eastAsia="Times New Roman" w:hAnsi="Times New Roman"/>
          <w:sz w:val="19"/>
          <w:szCs w:val="19"/>
          <w:color w:val="auto"/>
        </w:rPr>
        <w:t>”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Japanese Yen, the “short-term prime rate” as publicly announced by the Bank of Japan (or any successor thereto) from time to time and (d) any other Alternative Currency determined after the Second Amendment Effective Date, a central bank rate as determined by the Administrative Agent in its reasonable discretion in consultation with the Company and (ii) zero; plus (B) the applicable Central Bank Rate Adjustment.</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means for any day, for any Loan denominated in (a) Sterling, a rate equal to the difference (which may be a positive or negative value, or zero) of (i) the average of SONIA for the last five (5) RFR Business Days for which SONIA was available (excluding the highest level from such series of days and the lowest level from such series of days) minus (ii) the Central Bank Rate in respect of Sterling in effect on the last Business Day in such period, (b) euro, a rate equal to the difference (which may be a positive or negative value, or zero) of (i) the average of the Adjusted EURIBO Rate for the last five (5) Business Days for which the EURIBOR Screen Rate was available (excluding the highest level from such series of days and the lowest level from such series of days) minus (ii) the Central Bank Rate in respect of euro in effect on the last Business Day in such period, (c) Japanese Yen, a rate equal to the difference (which may be a positive or negative value, or zero) of (i) the average of the Adjusted TIBO Rate for the last five (5) Business Days for which the TIBOR Screen Rate was available (excluding the highest level from such series of days and the lowest level from such series of days) minus (ii) the Central Bank Rate in respect of Japanese Yen in effect on the last Business Day in such period and (d) any other Alternative Currency determined after the Second Amendment Effective Date, an adjustment as determined by the Administrative Agent in its reasonable discretion in consultation with the Company. For purposes of this definition, (x) the term Central Bank Rate shall be determined disregarding clause (B) of the definition of such term and (y) each of the EURIBO Rate and the TIBO Rate on any day shall be based on the EURIBOR Screen Rate or the TIBOR Screen Rate,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applicable, on such day at approximately the time referred to in the definition of such term for deposits in the applicable Agreed Currency for a maturity of one month;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such rate shall be less than 0.00%, such rate shall be deemed to be 0.00%.</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Second Amendment Effective Date (or, with respect to any Lender, if later, the date on which such Lender becomes a Lender),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except to the extent they are merely proposed and not in effect (it being understood that at the time they become effective, they shall constitute a “Change in Law”) (i) the Dodd-Frank Wall Street Reform and Consumer Protection Act and all requests, rules, guidelines or directives thereunder or issued in connection therewith by a Governmental Authority charged with the enforcement, implementation, interpretation or administration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hereof.</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to each Lender, the Revolving Commitment of such Lender.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means any competitor of the Company or any Subsidiary that is in the same or a similar line of business as the Company or any Subsidiary designated in writing from time to time by the Company to the Administrative Agent.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7.01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Computation Period</w:t>
      </w:r>
      <w:r>
        <w:rPr>
          <w:rFonts w:ascii="Times New Roman" w:cs="Times New Roman" w:eastAsia="Times New Roman" w:hAnsi="Times New Roman"/>
          <w:sz w:val="20"/>
          <w:szCs w:val="20"/>
          <w:color w:val="auto"/>
        </w:rPr>
        <w:t>” means each period of four consecutive Fiscal Quarters ending on the last day of a Fiscal Quarter.</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(a) to the extent deducted in computing such Consolidated Net Income and without duplication, (i) depreciation and amortization expense for such period, (ii) Consolidated Interest Expense for such period, (iii) income tax expense for such period, (iv) any unusual or non-recurring expenses or losses (including, whether or not otherwise includable as a separate item in the statement of Consolidated Net Income for such period, losses on the sales or other dispositions of assets outside the ordinary course of business and loss on early retirement of debt), (v) any other non-cash items for such period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any write-down of current assets and any such non-cash charges to the extent that such charge represents an accrual of or reserve for a future cash payment), (vi) the amount of business optimization expenses and other restructuring charges (which, for the avoidance of doubt, shall include the effect of inventory optimization programs, plant closure, retention, severance, systems establishment costs and excess pension charges), (vii) the amount of cost savings, operating expense reductions and cost synergies relating to transactions consummated by the Company and its Subsidiaries and projected by the Borrowers in good faith to result from actions taken or committed to be taken no later than 12 months after the consummation of such transaction (calculated on a pro forma basis as though such cost savings, operating expense reductions and cost synergies had been realized on the first day of such period for which Consolidated EBITDA is being determined and as if such cost savings, operating expense reductions and cost synergies were realized during the entirety of such period), net of the amount of actual benefits realized during such period from such actions, (viii) any net unrealized losses resulting from currency translation losses related to currency re-measurements of Debt (including any net loss resulting from Hedging Agreements for currency exchange risk) and any unrealized foreign currency translation losses, (ix) any unrealized mark-to-market losses on Hedging Agreements and (x) any one-time costs, fees, expenses, premiums, make-whole payments and other similar items associated with the issuance, incurrence or repayment of Debt (including the closing of this Agreement), any issuance of equity interests, any Investment, any Acquisition, and any disposition of assets of the applicable Person, in each case to the extent permitted hereunder (and whether or not consummated),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to the extent included in computing such Consolidated Net Income and without duplication, (i) any unusual or non-recurring income or gains (including, whether or not otherwise includable as a separate item in the statement of Consolidated Net Income for such period, gains on the sales or other dispositions of assets outside the ordinary course of business and gain on early retirement of debt), (ii) non-cash income for such period (excluding any non-cash income to the extent that such income represents a receivable or asset for a future cash receipt), (iii) any net unrealized gains resulting from currency translation gains related to currency re-measurements of Debt (including any net gain resulting from Hedging Agreements for currency exchange risk) and any unrealized foreign currency translation gains and (iv) any unrealized mark-to-market gains on Hedging Agreements, all as determined in accordance with GAAP. For purposes of calculating Consolidated EBITDA for any period of four consecutive quarters, if during such period the Company or any Subsidiary shall have consummated an Acquisition, Consolidated EBITDA for such period shall be calculated after giving pro forma effect thereto as if such transaction occurred on the first day of such period and if during such period, the Company or any Subsidiary shall have consummated a disposition, Consolidated EBITDA for such period shall be calculated after giving pro forma effect thereto as if such transaction occurred on the last day of the previous period; provided that the aggregate amount of add-backs made pursuant to clauses (a)(iv), (a)(vi), (a)(vii) and (a)(x) for any period shall not exceed the greater of (A) $15,000,000 and (B) an amount equal to 15% of Consolidated EBITDA for such period (determined prior to giving effect to such add-backs).</w:t>
      </w:r>
    </w:p>
    <w:p>
      <w:pPr>
        <w:spacing w:after="0" w:line="21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Funded Debt</w:t>
      </w:r>
      <w:r>
        <w:rPr>
          <w:rFonts w:ascii="Times New Roman" w:cs="Times New Roman" w:eastAsia="Times New Roman" w:hAnsi="Times New Roman"/>
          <w:sz w:val="19"/>
          <w:szCs w:val="19"/>
          <w:color w:val="auto"/>
        </w:rPr>
        <w:t>” means all Debt of the Company and its Subsidiaries, excluding (i) contingent obligations in respect of undrawn letters of credit, bank guarantees and banker’s acceptances and Suretyship Liabilities in respect of obligations not constituting Debt,</w:t>
      </w:r>
    </w:p>
    <w:p>
      <w:pPr>
        <w:spacing w:after="0" w:line="2" w:lineRule="exact"/>
        <w:rPr>
          <w:sz w:val="20"/>
          <w:szCs w:val="20"/>
          <w:color w:val="auto"/>
        </w:rPr>
      </w:pPr>
    </w:p>
    <w:p>
      <w:pPr>
        <w:jc w:val="both"/>
        <w:ind w:firstLine="8"/>
        <w:spacing w:after="0" w:line="253" w:lineRule="auto"/>
        <w:tabs>
          <w:tab w:leader="none" w:pos="31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under Hedging Agreements, (iii) Securitization Obligations to the extent such obligations would not be required to be included on the consolidated balance sheet of the Company in accordance with GAAP and (iv) obligations to pay the deferred purchase price of services.</w:t>
      </w:r>
    </w:p>
    <w:p>
      <w:pPr>
        <w:spacing w:after="0" w:line="18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for any Computation Period, the ratio of (a) Consolidated EBITDA for such Computation Period to (b) Consolidated Interest Expense for such Computation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32" w:name="page33"/>
    <w:bookmarkEnd w:id="3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for any Computation Period, the consolidated interest expense of the Company and its Subsidiaries for such Computation Period, as determined in accordance with GAAP.</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for the Company and its Subsidiaries on a consolidated basis, the net income (or loss) of the Company and its Subsidiaries (excluding (i) extraordinary items and (ii) 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for that period, as determined in accordance with GAAP.</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means, for any Computation Period, the ratio of (a) the difference of (i) Consolidated Funded Debt as of the last day of such Computation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Specified Cash as of the last day of such Computation Period to (b) Consolidated EBITDA for such Computation Period.</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written agreement, instrument or other undertaking to which such Person is a party or by which it or any of its property is bound.</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Account</w:t>
      </w:r>
      <w:r>
        <w:rPr>
          <w:rFonts w:ascii="Times New Roman" w:cs="Times New Roman" w:eastAsia="Times New Roman" w:hAnsi="Times New Roman"/>
          <w:sz w:val="20"/>
          <w:szCs w:val="20"/>
          <w:color w:val="auto"/>
        </w:rPr>
        <w:t>” means each deposit account and securities account that is subject to an account control agreement in form and substance satisfactory to the Administrative Agent and the L/C Issuer.</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Group</w:t>
      </w:r>
      <w:r>
        <w:rPr>
          <w:rFonts w:ascii="Times New Roman" w:cs="Times New Roman" w:eastAsia="Times New Roman" w:hAnsi="Times New Roman"/>
          <w:sz w:val="20"/>
          <w:szCs w:val="20"/>
          <w:color w:val="auto"/>
        </w:rPr>
        <w:t>” means all members of a controlled group of corporations and all members of a controlled group of trades or businesses (whether or not incorporated) under common control which, together with the Company, are treated as a single employer under Section 414 of the Internal Revenue Code or Section 4001 of ERISA.</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u w:val="single" w:color="auto"/>
          <w:color w:val="0000FF"/>
        </w:rPr>
        <w:t>“CORRA” means the Canadian Overnight Repo Rate Average administered and published by the Bank of Canada (or any successor administrator).</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that is five (5) Business Days prior to (i) if such SOFR Rate Day is a Business Day, such SOFR Rate Day or (ii) if such SOFR Rate Day is not a Business Day, the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SONIA</w:t>
      </w:r>
      <w:r>
        <w:rPr>
          <w:rFonts w:ascii="Times New Roman" w:cs="Times New Roman" w:eastAsia="Times New Roman" w:hAnsi="Times New Roman"/>
          <w:sz w:val="20"/>
          <w:szCs w:val="20"/>
          <w:color w:val="auto"/>
        </w:rPr>
        <w:t>” means, for any RFR Loan denominated in Sterling,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the greater of (a) SONIA for the day that is five (5) RFR Business Days prior to (A) if such RFR Interest Day is an RFR Business Day, such RFR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Day or (B) if such RFR Interest Day is not an RFR Business Day, the RFR Business Day immediately preceding such RFR Interest Day and</w:t>
      </w:r>
    </w:p>
    <w:p>
      <w:pPr>
        <w:spacing w:after="0" w:line="28" w:lineRule="exact"/>
        <w:rPr>
          <w:sz w:val="20"/>
          <w:szCs w:val="20"/>
          <w:color w:val="auto"/>
        </w:rPr>
      </w:pPr>
    </w:p>
    <w:p>
      <w:pPr>
        <w:ind w:firstLine="8"/>
        <w:spacing w:after="0" w:line="253" w:lineRule="auto"/>
        <w:tabs>
          <w:tab w:leader="none" w:pos="28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zero. Any change in Daily Simple SONIA due to a change in the applicable RFR shall be effective from and including the effective date of such change in the RFR without notice to the Company.</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xml:space="preserve">” of any Person means,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 as in effect immediately prior the adoption of FASB ASC 842, (c) all obligations of such Person to pay the deferred purchase price of property or services (excluding (i) trade and similar accounts payable and accrued expenses in the ordinary course of business and (ii) accrued pension costs and other employee benefit and compensation obligations arising in the ordinary course of business), (d) all indebtedness secured by a Lien on the property of such Person, whether or not such indebtedness shall have been assumed by such Person (it being understood that if such Person has not assumed or otherwise become personally liable for any such indebtedness, the amount of the Debt of such Person in connection therewith shall be limited to the lesser of the face amount of such indebtedness and the fair market value of all property of such Person securing such indebtedness), (e) all obligations, contingent or otherwise, under letters of credit (whether or not drawn), including the Letters of Credit, but otherwise excluding trade letters of credit, and banker’s acceptances issued for the account of such Person, (f) all Securitization Obligations of such Person, to the extent such obligations would be required to be included on the consolidated balance sheet of the Company in accordance with GAAP, (g) the net obligations of such Person under Hedging Agreements, (h) all Suretyship Liabilities of such Person with respect to obligations of the type described in any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(i) all Debt of any partnership in which such Person is a general partner. The amount of any net obligation under any Hedging Agreement on any date shall be deemed to be the Swap Termination Value thereof as of such date. If any of the foregoing Debt is limited to recourse against a particular asset or assets of such Person, the amount of the corresponding Debt shall be equal to the lesser of the amount of such Debt and the fair market value of such asset or assets at the date for determination of the amount of such Debt. The amount of Debt of the Company and its Subsidiaries hereunder shall be calculated without duplication of Suretyship Liabilities of the Company or any Subsidiary in respect thereof. “Debt” shall not include (1) indebtedness owing to the Company by any Subsidiary or indebtedness owing to any Subsidiary by the Company or another Subsidiary, (2) any customary earnout or holdback or similar obligations in connection with Acquisitions permitted hereunder, (3) any obligations of the Company or its Subsidiaries in respect of customer advances received and held in the ordinary course of business, (4) performance bonds or performance guaranties (or bank guaranties or letters of credit in lieu thereof) entered into in the ordinary course of business, (5) defeased and/or discharged indebtedness, (6) interest, fees, premium or expenses, if any, relating to the principal amount of Debt to the extent not paid in kind, or (7) all obligations of any Person as lessee under operating leases, in accordance with GAAP as in effect immediately prior to the adoption of FASB ASC 842.</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generally, moratorium, rearrangement, receivership, insolvency, reorganization, or similar debtor relief Laws of the United States or other applicable jurisdictions from time to time in effect and affecting the rights of creditors generally, including any Luxembourg Insolvency Event.</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3"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if any,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 Term Benchmark Loan or RFR Loan, the Default Rate shall be an interest rate equal to the interest rate (including any Applicable Rate) otherwise applicable to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in each case to the fullest extent permitted by applicable Laws and (b) when used with respect to Letter of Credit Fees, a 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in all cases to the fullest extent permitted by applicable Laws.</w:t>
      </w:r>
    </w:p>
    <w:p>
      <w:pPr>
        <w:spacing w:after="0" w:line="19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the L/C Issuer or the Swing Line Lender in writing that it does not intend or expect to comply with all or any portion of its funding obligations hereunder or under other agreements in which it commits to extend credit generally,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(such writing to be reasonably satisfactory to the Administrative Agent or the Company, as applicable) that it will comply with, and is financially able to meet,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or of a Bail-In Action,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taken any action in furtherance of, or indicated its consent to, approval of or acquiescence in any such proceeding or appointment;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made in good faith by the Administrative Agent that a Lender is a Defaulting Lender under any one or more of clauses (a) through (d) above, and of the effective date of such status, shall be conclusive and binding absent demonstrable error, and such Lender shall be deemed to be a Defaulting Lender (subject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3"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w:t>
      </w:r>
      <w:r>
        <w:rPr>
          <w:rFonts w:ascii="Times New Roman" w:cs="Times New Roman" w:eastAsia="Times New Roman" w:hAnsi="Times New Roman"/>
          <w:sz w:val="20"/>
          <w:szCs w:val="20"/>
          <w:color w:val="auto"/>
        </w:rPr>
        <w:t>” means any limited liability company organized or formed under the laws of the State of Delaware.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 Division</w:t>
      </w:r>
      <w:r>
        <w:rPr>
          <w:rFonts w:ascii="Times New Roman" w:cs="Times New Roman" w:eastAsia="Times New Roman" w:hAnsi="Times New Roman"/>
          <w:sz w:val="20"/>
          <w:szCs w:val="20"/>
          <w:color w:val="auto"/>
        </w:rPr>
        <w:t>” means the statutory division of any Delaware LLC into two or more Delaware LLCs pursuant to Section 18-217 of the Delaware Limited Liability Company Act.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Joinder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2.14(b).</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territory or region itself is the subject of any Sanction.</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shall mean (a) those Competitors identified on a list provided by the Company to the Administrative Agent and made available to the Lenders on the Second Amendment Effective Date (the “</w:t>
      </w:r>
      <w:r>
        <w:rPr>
          <w:rFonts w:ascii="Times New Roman" w:cs="Times New Roman" w:eastAsia="Times New Roman" w:hAnsi="Times New Roman"/>
          <w:sz w:val="20"/>
          <w:szCs w:val="20"/>
          <w:u w:val="single" w:color="auto"/>
          <w:color w:val="auto"/>
        </w:rPr>
        <w:t>Disqualified Institution List</w:t>
      </w:r>
      <w:r>
        <w:rPr>
          <w:rFonts w:ascii="Times New Roman" w:cs="Times New Roman" w:eastAsia="Times New Roman" w:hAnsi="Times New Roman"/>
          <w:sz w:val="20"/>
          <w:szCs w:val="20"/>
          <w:color w:val="auto"/>
        </w:rPr>
        <w:t xml:space="preserve">”) (as such Disqualified Institution List may be supplemented from time to time by the Borrowers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and (b) any other Competitor identified by legal name in writing to the Administrative Agent after the Second Amendment Effective Date (it being understood that the Company shall be required to provide a fully updated Disqualified Institution List to the Administrative Agent in order to supplement such list after the Second Amendment Effective Date and the Administrative Agent shall make such updated list available to the Lenders), which designation shall become effective one day after the date that such written designation to the Administrative Agent is made available to the Lenders on IntraLinks, Syndtrak, ClearPar or a similar electronic transmission system, but which shall not apply retroactively to disqualify any persons that have previously acquired an assignment or participation interest in the Loans and/or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during continuation of an Event of Default, the Company may not designate any additional Persons as Disqualified Institutions.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at any time, (a) with respect to any amount denominated in Dollars, such amount, and (b) with respect to any amount denominated in any Alternative Currency, the equivalent amount thereof in Dollars as determined in good faith by the Administrative Agent or the L/C Issuer, as the case may be, at such time on the basis of the Spot Rate (determined in respect of the most recent Revaluation Date) for the purchase of Dollars with such Alternative Currency.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Borrower</w:t>
      </w:r>
      <w:r>
        <w:rPr>
          <w:rFonts w:ascii="Times New Roman" w:cs="Times New Roman" w:eastAsia="Times New Roman" w:hAnsi="Times New Roman"/>
          <w:sz w:val="20"/>
          <w:szCs w:val="20"/>
          <w:color w:val="auto"/>
        </w:rPr>
        <w:t>” means, collectively, the Company and each Designated Borrower that is a Domestic Subsidiary.</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any state of the United States or the District of Columbia.</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3"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Sections 11.06(b)(iii)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11.06(b)(iii)</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EMU Legislation</w:t>
      </w:r>
      <w:r>
        <w:rPr>
          <w:rFonts w:ascii="Times New Roman" w:cs="Times New Roman" w:eastAsia="Times New Roman" w:hAnsi="Times New Roman"/>
          <w:sz w:val="20"/>
          <w:szCs w:val="20"/>
          <w:color w:val="auto"/>
        </w:rPr>
        <w:t>” means the legislative measures of the European Council for the introduction of, changeover to or operation of a single or unified European currency.</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Claims</w:t>
      </w:r>
      <w:r>
        <w:rPr>
          <w:rFonts w:ascii="Times New Roman" w:cs="Times New Roman" w:eastAsia="Times New Roman" w:hAnsi="Times New Roman"/>
          <w:sz w:val="20"/>
          <w:szCs w:val="20"/>
          <w:color w:val="auto"/>
        </w:rPr>
        <w:t>” means all claims, however asserted, by any Governmental Authority or other Person alleging potential liability or responsibility for violation of any Environmental Law, or for release of Hazardous Substances or injury to the environment.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federal, state or local Laws, statutes, common law duties, rules, regulations, ordinances and codes, together with all administrative orders, directed and enforceable duties, licenses, authorizations and permits of, and agreements with, any Governmental Authority, in each case relating to environmental matters.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 Rate</w:t>
      </w:r>
      <w:r>
        <w:rPr>
          <w:rFonts w:ascii="Times New Roman" w:cs="Times New Roman" w:eastAsia="Times New Roman" w:hAnsi="Times New Roman"/>
          <w:sz w:val="20"/>
          <w:szCs w:val="20"/>
          <w:color w:val="auto"/>
        </w:rPr>
        <w:t>” means, with respect to any Term Benchmark Borrowing denominated in euro and for any Interest Period, the EURIBOR Screen Rate at approximately 11:00 a.m., Brussels time, two (2) TARGET2 Days prior to the commencement of such Interest Period.</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means, for any day and time, with respect to any Term Benchmark Borrowing denominated in euro and for any Interest Period, the euro interbank offered rate administered by the European Money Markets Institute (or any other person which takes over the administration of such rate) for euro for the relevant period displayed on page EURIBOR01 of the Reuters screen (or any replacement Reuters page which displays that rate) or on the appropriate page of such other information service which publishes that rate from time to time in place of Reuters as published at approximately 11:00 a.m., Brussels time, two (2) TARGET2 Days prior to the commencement of such Interest Period. If such page or service ceases to be available, the Administrative Agent may specify another page or service displaying the relevant rate after consultation with the Company. If the EURIBOR Screen Rate as so determined would be less than zero, such rate shall be deemed to be zero for the purposes of this Agreement.</w:t>
      </w:r>
    </w:p>
    <w:p>
      <w:pPr>
        <w:spacing w:after="0" w:line="195"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mean the lawful currency of the Participating Member States introduced in accordance with the EMU Legislation.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(i) each Subsidiary that is a captive insurance company, (ii) each Securitization Subsidiary, and (iii) each other Subsidiary (other than any Loan Party) having assets with a net book value of less than $2,000,000, calculated in accordance with GAAP.</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 xml:space="preserve">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Hedging Agreement, such exclusion shall apply to only the portion of such Swap Obligation that is attributable to Hedging Agreements for which such Guaranty or security interest is or becomes illegal.</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or taxing authority subdivision thereof or therein)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19"/>
          <w:szCs w:val="19"/>
          <w:u w:val="single" w:color="auto"/>
          <w:color w:val="auto"/>
        </w:rPr>
        <w:t>Section 11.14</w:t>
      </w:r>
      <w:r>
        <w:rPr>
          <w:rFonts w:ascii="Times New Roman" w:cs="Times New Roman" w:eastAsia="Times New Roman" w:hAnsi="Times New Roman"/>
          <w:sz w:val="19"/>
          <w:szCs w:val="19"/>
          <w:color w:val="auto"/>
        </w:rPr>
        <w:t xml:space="preserve">) or (ii) such Lender changes its Lending Office, except in each case to the extent that, pursuant to </w:t>
      </w:r>
      <w:r>
        <w:rPr>
          <w:rFonts w:ascii="Times New Roman" w:cs="Times New Roman" w:eastAsia="Times New Roman" w:hAnsi="Times New Roman"/>
          <w:sz w:val="19"/>
          <w:szCs w:val="19"/>
          <w:u w:val="single" w:color="auto"/>
          <w:color w:val="auto"/>
        </w:rPr>
        <w:t>Section 3.01(a)(ii)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3.01(a)(iii)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3.01(c)</w:t>
      </w:r>
      <w:r>
        <w:rPr>
          <w:rFonts w:ascii="Times New Roman" w:cs="Times New Roman" w:eastAsia="Times New Roman" w:hAnsi="Times New Roman"/>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xml:space="preserve"> and (d) any U.S. federal withholding Taxes imposed pursuant to FATCA.</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the chief financial officer, the chief executive officer, the chief accounting officer, the president, any senior vice president, the treasurer or any assistant treasurer of the Company.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the Credit Agreement dated as of September 25, 2015 among the Company, various Subsidiaries of the Company, various financial institutions and Bank of America, N.A., as administrative agent, swing line lender and letter of credit issuer.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letters of credit listed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 842</w:t>
      </w:r>
      <w:r>
        <w:rPr>
          <w:rFonts w:ascii="Times New Roman" w:cs="Times New Roman" w:eastAsia="Times New Roman" w:hAnsi="Times New Roman"/>
          <w:sz w:val="20"/>
          <w:szCs w:val="20"/>
          <w:color w:val="auto"/>
        </w:rPr>
        <w:t>” means the Accounting Standards Codification of the Financial Accounting Standards Board, Accounting Standards Update 2016-02,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Internal Revenue Code, as of the Second Amendment Effective Date (or any amended or successor version that is substantively comparable and not materially more onerous to comply with) and any current or future regulations or official interpretations thereof and any agreement entered into pursuant to Section 1471(b)(1) of the Internal Revenue Code.</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equal to the weighted average of the rates on overnight federal funds transactions with members of the Federal Reserve System, as published by the FRB on the Business Day next succeeding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BMO on such day on such transactions as determined by the Administrative Agent. For the avoidance of doubt, if the Federal Funds Rate shall be less than zero, such rate shall be deemed to be zero for purposes of this Agreement.</w:t>
      </w:r>
    </w:p>
    <w:p>
      <w:pPr>
        <w:spacing w:after="0" w:line="19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mandate letter, dated May 9, 2019 and accepted and agreed to on May 15, 2019, among the Company, the Administrative Agent and BMO Capital Markets Corp.</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 Fiscal Year.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the Company and its Subsidiaries, which period shall be the twelve-month period ending on July 31 of each year or, at the Company’s election, an alternative year-end date (so long as such election is consistent with the Company’s filings with the SEC).</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Base Rate, the Relevant Rate or the Central Bank Rate, as applicable. For the avoidance of doubt, as of the Second Amendment Effective Date, the initial Floor for each of the Base Rate, the Relevant Rate and the Central Bank Rate shall be 0.00%.</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 For purposes of this definition, (i) the United States, each State thereof and the District of Columbia shall be deemed to constitute a single jurisdiction and (ii) “Lender” shall include the L/C Issuer.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Loan Parties</w:t>
      </w:r>
      <w:r>
        <w:rPr>
          <w:rFonts w:ascii="Times New Roman" w:cs="Times New Roman" w:eastAsia="Times New Roman" w:hAnsi="Times New Roman"/>
          <w:sz w:val="20"/>
          <w:szCs w:val="20"/>
          <w:color w:val="auto"/>
        </w:rPr>
        <w:t>” means, collectively, the Foreign Subsidiaries of the Company that are Designated Borrowers.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 (or any successor thereto).</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the L/C Issuer, such Defaulting Lender’s Pro Rata Share of the Outstanding Amount of all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3" w:right="339" w:bottom="1440" w:gutter="0" w:footer="0" w:header="0"/>
        </w:sectPr>
      </w:pPr>
    </w:p>
    <w:bookmarkStart w:id="39" w:name="page40"/>
    <w:bookmarkEnd w:id="39"/>
    <w:p>
      <w:pPr>
        <w:jc w:val="both"/>
        <w:spacing w:after="0" w:line="283" w:lineRule="auto"/>
        <w:rPr>
          <w:sz w:val="20"/>
          <w:szCs w:val="20"/>
          <w:color w:val="auto"/>
        </w:rPr>
      </w:pPr>
      <w:r>
        <w:rPr>
          <w:rFonts w:ascii="Times New Roman" w:cs="Times New Roman" w:eastAsia="Times New Roman" w:hAnsi="Times New Roman"/>
          <w:sz w:val="20"/>
          <w:szCs w:val="20"/>
          <w:color w:val="auto"/>
        </w:rPr>
        <w:t>than Swing Line Loans as to which such Defaulting Lender’s participation obligation has been reallocated to other Lenders in accordance with the terms hereof.</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financial statements of Foreign Subsidiaries (except to the extent included in the consolidated financial statements of the Company), “GAAP” shall mean the generally accepted accounting principles in the relevant foreign jurisdiction which are set forth from time to time in the opinions and pronouncements of the applicable accounting standards board (or similar agency) of such foreign jurisdiction which are applicable to the circumstances as of the date of determination.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 any nation or government, any state or other political subdivision thereof, any central bank (or similar monetary or regulatory authority) thereof and any entity exercising executive, legislative, judicial, regulatory or administrative functions of or pertaining to government (including any supra-national bodies such as the European Union or the European Central Bank) and (b) the National Association of Insurance Commissioners.</w:t>
      </w:r>
    </w:p>
    <w:p>
      <w:pPr>
        <w:spacing w:after="0" w:line="18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xml:space="preserve">” means (a) with respect to all Obligations, each Domestic Subsidiary of the Company that is not an Excluded Subsidiary and is identified as a “Guarantor” on the signature pages hereto and each other Person that joins as a Guarantor pursuant to </w:t>
      </w:r>
      <w:r>
        <w:rPr>
          <w:rFonts w:ascii="Times New Roman" w:cs="Times New Roman" w:eastAsia="Times New Roman" w:hAnsi="Times New Roman"/>
          <w:sz w:val="19"/>
          <w:szCs w:val="19"/>
          <w:u w:val="single" w:color="auto"/>
          <w:color w:val="auto"/>
        </w:rPr>
        <w:t>Section 7.16</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jc w:val="both"/>
        <w:ind w:firstLine="8"/>
        <w:spacing w:after="0" w:line="250" w:lineRule="auto"/>
        <w:tabs>
          <w:tab w:leader="none" w:pos="2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for purposes of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with respect to (i) the Obligations owing by the Designated Borrowers that are Foreign Subsidiaries, (ii) Obligations under any Hedging Agreement between any Loan Party or any Subsidiary and any Hedge Bank, (iii) Obligations under any Treasury Management Agreement between any Loan Party or any Subsidiary and any Treasury Management Bank and (iv) any Swap Obligation of a Specified Loan Party (determined before giving effect to </w:t>
      </w:r>
      <w:r>
        <w:rPr>
          <w:rFonts w:ascii="Times New Roman" w:cs="Times New Roman" w:eastAsia="Times New Roman" w:hAnsi="Times New Roman"/>
          <w:sz w:val="20"/>
          <w:szCs w:val="20"/>
          <w:u w:val="single" w:color="auto"/>
          <w:color w:val="auto"/>
        </w:rPr>
        <w:t>Sections 4.01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4.08</w:t>
      </w:r>
      <w:r>
        <w:rPr>
          <w:rFonts w:ascii="Times New Roman" w:cs="Times New Roman" w:eastAsia="Times New Roman" w:hAnsi="Times New Roman"/>
          <w:sz w:val="20"/>
          <w:szCs w:val="20"/>
          <w:color w:val="auto"/>
        </w:rPr>
        <w:t>) under the Guaranty, each Domestic Borrower, in each case, together with their successors and permitted assigns. For the avoidance of doubt, in no event shall a Foreign Subsidiary be a Guarantor.</w:t>
      </w:r>
    </w:p>
    <w:p>
      <w:pPr>
        <w:spacing w:after="0" w:line="18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the Guaranty made by the Guarantors in favor of the Administrative Agent and the other holders of the Obligations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Substances</w:t>
      </w:r>
      <w:r>
        <w:rPr>
          <w:rFonts w:ascii="Times New Roman" w:cs="Times New Roman" w:eastAsia="Times New Roman" w:hAnsi="Times New Roman"/>
          <w:sz w:val="20"/>
          <w:szCs w:val="20"/>
          <w:color w:val="auto"/>
        </w:rPr>
        <w:t>” means any hazardous waste, as defined by 42 U.S.C. §6903(5), any hazardous substance as defined by 42 U.S.C. §9601(14), any pollutant or contaminant as defined by 42 U.S.C. §9601(33) or any toxic substance, oil or hazardous material or other chemical or substance regulated by any Environmental Law, excluding household hazardous waste.</w:t>
      </w:r>
    </w:p>
    <w:p>
      <w:pPr>
        <w:spacing w:after="0" w:line="1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means (a) any interest rate, currency or commodity swap agreement, cap agreement or collar agreement, and any other agreement or arrangement designed to protect against fluctuations in interest rates, currency exchange rates or commodity prices,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83" w:lineRule="auto"/>
        <w:rPr>
          <w:sz w:val="20"/>
          <w:szCs w:val="20"/>
          <w:color w:val="auto"/>
        </w:rPr>
      </w:pPr>
      <w:r>
        <w:rPr>
          <w:rFonts w:ascii="Times New Roman" w:cs="Times New Roman" w:eastAsia="Times New Roman" w:hAnsi="Times New Roman"/>
          <w:sz w:val="20"/>
          <w:szCs w:val="20"/>
          <w:color w:val="auto"/>
        </w:rPr>
        <w:t>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that (i) at the time it enters into a Hedging Agreement, is a Lender or the Administrative Agent or an Affiliate of a Lender or the Administrative Agent, (ii) in the case of any Hedging Agreement in effect on or prior to the Closing Date, is, as of the Closing Date or within 30 days thereafter, a Lender or the Administrative Agent or an Affiliate of a Lender or the Administrative Agent and a party to a Hedging Agreement or (iii) within 30 days after the time it enters into the applicable Hedging Agreement, becomes a Lender, the Administrative Agent or an Affiliate of a Lender or the Administrative Agent, in each case, in its capacity as a party to such Hedging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the case of a Hedging Agreement with a Person who is no longer a Lender (or Affiliate of a Lender), such Person shall be considered a Hedge Bank only through the stated termination date (without extension or renewal) of such Hedging Agreement.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Person, all liabilities of such Person under Hedging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means international accounting standards within the meaning of IAS Regulation 1606/2002 to the extent applicable to the relevant financial statements delivered under or referred to herein.</w:t>
      </w:r>
    </w:p>
    <w:p>
      <w:pPr>
        <w:spacing w:after="0" w:line="14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 other than Excluded Taxes.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Auditor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xml:space="preserve">” means (a) as to any Term Benchmark Loan, the last day of each Interest Period applicable to such Loan and the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any Interest Period for a Term Benchmark Loan exceeds three months, the respective dates that fall every three months after the beginning of such Interest Period shall also be Interest Payment Dates; (b) as to any Base Rate Loan (including a Swing Line Loan), the last Business Day of each March, June, September and December and the Maturity Date; and (c) as to any RFR Loan, each date that is on the numerically corresponding day in each calendar month that is one month after the Borrowing of such RFR Loan and the Maturity Date (or, if there is no such numerically corresponding day in such month, then the last day of such month).</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Benchmark Loan, the period commencing on the date such Term Benchmark Loan is disbursed or converted to or continued as a Term Benchmark Loan and ending on the numerically corresponding day in the calendar month that is one, three or six months thereafter (or such other period as all Lenders may agree) (in each case, subject to availability) as selected by the applicable Borrower in its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6" w:lineRule="exact"/>
        <w:rPr>
          <w:sz w:val="20"/>
          <w:szCs w:val="20"/>
          <w:color w:val="auto"/>
        </w:rPr>
      </w:pPr>
    </w:p>
    <w:p>
      <w:pPr>
        <w:ind w:left="660" w:firstLine="644"/>
        <w:spacing w:after="0" w:line="269" w:lineRule="auto"/>
        <w:tabs>
          <w:tab w:leader="none" w:pos="183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3"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20"/>
          <w:szCs w:val="20"/>
          <w:color w:val="auto"/>
        </w:rPr>
        <w:t>calendar month, in which case such Interest Period shall end on the immediately preceding Business Day;</w:t>
      </w:r>
    </w:p>
    <w:p>
      <w:pPr>
        <w:spacing w:after="0" w:line="229" w:lineRule="exact"/>
        <w:rPr>
          <w:sz w:val="20"/>
          <w:szCs w:val="20"/>
          <w:color w:val="auto"/>
        </w:rPr>
      </w:pPr>
    </w:p>
    <w:p>
      <w:pPr>
        <w:jc w:val="both"/>
        <w:ind w:left="660" w:right="20" w:firstLine="644"/>
        <w:spacing w:after="0" w:line="261" w:lineRule="auto"/>
        <w:tabs>
          <w:tab w:leader="none" w:pos="186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67"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 and</w:t>
      </w:r>
    </w:p>
    <w:p>
      <w:pPr>
        <w:spacing w:after="0" w:line="229"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tenor that has been removed from this definition pursuant to Section 3.07(e) shall be available.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as to any Person, any acquisition or investment by such Person, whether by means of (a) the purchase or other acquisition of Capital Stock of another Person, (b) a loan, advance or capital contribution to, incurrence of Suretyship Liability in respect of,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applicable Borrower (or any Subsidiary) or in favor of the L/C Issuer and relating to any such Letter of Credit.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7.16</w:t>
      </w:r>
      <w:r>
        <w:rPr>
          <w:rFonts w:ascii="Times New Roman" w:cs="Times New Roman" w:eastAsia="Times New Roman" w:hAnsi="Times New Roman"/>
          <w:sz w:val="20"/>
          <w:szCs w:val="20"/>
          <w:color w:val="auto"/>
        </w:rPr>
        <w:t xml:space="preserve"> executed and delivered by a Domestic Subsidiary in accordance with the provisions of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Pro Rata Share. All L/C Advances shall be denominated in Dollars.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each of BMO and Bank of America, in each case through itself or through one of its designated Affiliates or branch offices, in its capacity as an issuer of Letters of Credit hereunder, or any successor issuer of Letters of Credit hereunder. The term “L/C Issuer” when used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9"/>
          <w:szCs w:val="19"/>
          <w:color w:val="auto"/>
        </w:rPr>
        <w:t>respect to a Letter of Credit or the L/C Obligations relating to a Letter of Credit shall refer to the L/C Issuer that issued such Letter of Credit.</w:t>
      </w:r>
    </w:p>
    <w:p>
      <w:pPr>
        <w:spacing w:after="0" w:line="2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undrawn amount of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an agreement where a Governmental Authority is an account obligor), in each case whether or not having the force of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each of the Persons identified as a “Lender” on the signature pages hereto, each other Person that becomes a “Lender” in accordance with this Agreement and their successors and assigns and, unless the context requires otherwise, includes the Swing Line Lender and any foreign branch or Affiliate of a Lender as is referenced in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branch or Affiliate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hereunder providing for the payment of cash upon the honoring of a presentation thereunder and shall include the Existing Letters of Credit. A Letter of Credit may be a commercial letter of credit or a standby letter of credit.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 with such modifications as the Company and the L/C Issuer may reasonably approve.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Maturity Date then in effect (or, if such day is not a Business Day, the immediately preceding Business Day).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the lesser of (a) the Aggregate Revolving Commitments and (b) $25,000,000.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Letter of Credit Sublimit is part of, and not in addition to, the Aggregate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43" w:name="page44"/>
    <w:bookmarkEnd w:id="43"/>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for security purposes, deposit arrangement,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(but excluding the interest of a lessor under an operating lease)).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Loan or a Swing Line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each Note, each Issuer Document, each Designated Borrower Joinder Agreement, each Joinder Agreement, any agreement entered into by a Loan Party creating or perfecting rights in Cash Collateral pursuant to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the Fee Letter.</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Borrowing of Revolving Loans, (b) a conversion of Loans from one Type to the other, or (c) a continuation of Term Benchmark Loans or RFR Loans, in each case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2.02</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each Borrower and each Guarantor.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w:t>
      </w:r>
      <w:r>
        <w:rPr>
          <w:rFonts w:ascii="Times New Roman" w:cs="Times New Roman" w:eastAsia="Times New Roman" w:hAnsi="Times New Roman"/>
          <w:sz w:val="20"/>
          <w:szCs w:val="20"/>
          <w:color w:val="auto"/>
        </w:rPr>
        <w:t>” means the Grand Duchy of Luxembourg.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Companies Register</w:t>
      </w:r>
      <w:r>
        <w:rPr>
          <w:rFonts w:ascii="Times New Roman" w:cs="Times New Roman" w:eastAsia="Times New Roman" w:hAnsi="Times New Roman"/>
          <w:sz w:val="20"/>
          <w:szCs w:val="20"/>
          <w:color w:val="auto"/>
        </w:rPr>
        <w:t>” means the Luxembourg Register of Commerce and Companies.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Insolvency Event</w:t>
      </w:r>
      <w:r>
        <w:rPr>
          <w:rFonts w:ascii="Times New Roman" w:cs="Times New Roman" w:eastAsia="Times New Roman" w:hAnsi="Times New Roman"/>
          <w:sz w:val="20"/>
          <w:szCs w:val="20"/>
          <w:color w:val="auto"/>
        </w:rPr>
        <w:t>” means, in relation to a Luxembourg Loan Party or any of its assets, any corporate action, legal proceedings or other procedure or step in relation to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insolvency, liquidation, composition with creditors (</w:t>
      </w:r>
      <w:r>
        <w:rPr>
          <w:rFonts w:ascii="Times New Roman" w:cs="Times New Roman" w:eastAsia="Times New Roman" w:hAnsi="Times New Roman"/>
          <w:sz w:val="20"/>
          <w:szCs w:val="20"/>
          <w:i w:val="1"/>
          <w:iCs w:val="1"/>
          <w:color w:val="auto"/>
        </w:rPr>
        <w:t>concordat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préventif de faillite</w:t>
      </w:r>
      <w:r>
        <w:rPr>
          <w:rFonts w:ascii="Times New Roman" w:cs="Times New Roman" w:eastAsia="Times New Roman" w:hAnsi="Times New Roman"/>
          <w:sz w:val="20"/>
          <w:szCs w:val="20"/>
          <w:color w:val="auto"/>
        </w:rPr>
        <w:t>), moratorium or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fraudulent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conveyance (</w:t>
      </w:r>
      <w:r>
        <w:rPr>
          <w:rFonts w:ascii="Times New Roman" w:cs="Times New Roman" w:eastAsia="Times New Roman" w:hAnsi="Times New Roman"/>
          <w:sz w:val="20"/>
          <w:szCs w:val="20"/>
          <w:i w:val="1"/>
          <w:iCs w:val="1"/>
          <w:color w:val="auto"/>
        </w:rPr>
        <w:t>action paulienne</w:t>
      </w:r>
      <w:r>
        <w:rPr>
          <w:rFonts w:ascii="Times New Roman" w:cs="Times New Roman" w:eastAsia="Times New Roman" w:hAnsi="Times New Roman"/>
          <w:sz w:val="20"/>
          <w:szCs w:val="20"/>
          <w:color w:val="auto"/>
        </w:rPr>
        <w:t>) within the meaning of Article 448 of the Luxembourg Code of Commerce, general settlement with creditors, reorganisation or similar laws affecting the rights of creditors generally.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Loan Party</w:t>
      </w:r>
      <w:r>
        <w:rPr>
          <w:rFonts w:ascii="Times New Roman" w:cs="Times New Roman" w:eastAsia="Times New Roman" w:hAnsi="Times New Roman"/>
          <w:sz w:val="20"/>
          <w:szCs w:val="20"/>
          <w:color w:val="auto"/>
        </w:rPr>
        <w:t>” means a Loan Party that is organized under the laws of Luxembourg.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any “margin stock” as defined in Regulation U of the FRB.</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has the meaning specified in the definition of “Hedging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business, assets, liabilities (actual or contingent), operations or financial condition of the Company and its Subsidiaries taken as a whole or (b) a material adverse effect upon the legality, validity, binding effect or enforceability against the Company or any other Loan Party of any Loan Document to which it is a party.</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November 14, 2027, subject to extension in accordance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such date is not a Business Day, the Maturity Date shall be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3"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Minimum Collateral Amount</w:t>
      </w:r>
      <w:r>
        <w:rPr>
          <w:rFonts w:ascii="Times New Roman" w:cs="Times New Roman" w:eastAsia="Times New Roman" w:hAnsi="Times New Roman"/>
          <w:sz w:val="19"/>
          <w:szCs w:val="19"/>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(or 103% of the Fronting Exposure in the case of a Letter of Credit denominated in an Alternative Currency)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9"/>
          <w:szCs w:val="19"/>
          <w:u w:val="single" w:color="auto"/>
          <w:color w:val="auto"/>
        </w:rPr>
        <w:t>Section 2.03(a)(ii)(B)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2.15(a)(i)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(a)(iii)</w:t>
      </w:r>
      <w:r>
        <w:rPr>
          <w:rFonts w:ascii="Times New Roman" w:cs="Times New Roman" w:eastAsia="Times New Roman" w:hAnsi="Times New Roman"/>
          <w:sz w:val="19"/>
          <w:szCs w:val="19"/>
          <w:color w:val="auto"/>
        </w:rPr>
        <w:t>, an amount equal to the 100% of the Outstanding Amount of all L/C Obligations (or 103% of the Outstanding Amount in the case of L/C Obligations denominated in an Alternative Currency), and (c) otherwise, an amount determined by the Administrative Agent and the L/C Issuer in their sole discretion.</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Pension Plan</w:t>
      </w:r>
      <w:r>
        <w:rPr>
          <w:rFonts w:ascii="Times New Roman" w:cs="Times New Roman" w:eastAsia="Times New Roman" w:hAnsi="Times New Roman"/>
          <w:sz w:val="20"/>
          <w:szCs w:val="20"/>
          <w:color w:val="auto"/>
        </w:rPr>
        <w:t>” means a multiemployer plan, as such term is defined in Section 4001(a)(3) of ERISA, and to which the Company or any member of the Controlled Group may have any liability.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directly affected Lenders in accordance with the terms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(b) has been approved by the Required Lenders.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“Non-Quoted Currency</w:t>
      </w:r>
      <w:r>
        <w:rPr>
          <w:rFonts w:ascii="Times New Roman" w:cs="Times New Roman" w:eastAsia="Times New Roman" w:hAnsi="Times New Roman"/>
          <w:sz w:val="20"/>
          <w:szCs w:val="20"/>
          <w:color w:val="auto"/>
        </w:rPr>
        <w:t>” means any currency other than a Quoted Currency.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 Purchase Agreement</w:t>
      </w:r>
      <w:r>
        <w:rPr>
          <w:rFonts w:ascii="Times New Roman" w:cs="Times New Roman" w:eastAsia="Times New Roman" w:hAnsi="Times New Roman"/>
          <w:sz w:val="20"/>
          <w:szCs w:val="20"/>
          <w:color w:val="auto"/>
        </w:rPr>
        <w:t xml:space="preserve">” means (a) the Note Purchase Agreement dated as of May 13, 2010 among the Company, Worldwide, Tricor and the purchasers of notes issued pursuant thereto and any supplement thereto from time to time and (b) any other note purchase agreement entered into after the Closing Date pursuant to which one or more investors purchase unsecured notes issued by the Company and/or one or more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note purchase agreement shall not be on terms materially less favorable to the Company and its Subsidiaries than the Note Purchase Agreement identified in clause (a) above.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all advances to, and debts, liabilities, obligations, covenants and duties of, any Loan Party arising under any Loan Document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Hedging Agreement between any Loan Party or any Subsidiary and any Hedge Bank and (b) all obligations under any Treasury Management Agreement between any Loan Party or any Subsidiary and Treasury Management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“Obligations” of a Loan Party shall exclude any Excluded Swap Obligations with respect to such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3"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(i)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and (ii) Excluded Taxes.</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any Revolving Loans on any date, the Dollar Equivalent amount of the aggregate outstanding principal amount thereof after giving effect to any borrowings and prepayments or repayments of any Revolving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Federal Funds Rate,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BMO in the applicable offshore interbank market for such currency to major banks in such interbank market.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each state so described in any EMU Legislation.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and any entity succeeding to any or all of its functions under ERISA.</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 “pension plan”, as such term is defined in Section 3(2) of ERISA, which is subject to Title IV of ERISA (other than a Multiemployer Pension Plan), and to which the Company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“Periodic Term CORRA Determination Day” has the meaning assigned to such term in the definition of “Term CORRA”.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means any Acquisition by the Company or a Subsidiary which satisfies each of the following requirements:</w:t>
      </w:r>
    </w:p>
    <w:p>
      <w:pPr>
        <w:spacing w:after="0" w:line="40" w:lineRule="exact"/>
        <w:rPr>
          <w:sz w:val="20"/>
          <w:szCs w:val="20"/>
          <w:color w:val="auto"/>
        </w:rPr>
      </w:pPr>
    </w:p>
    <w:p>
      <w:pPr>
        <w:jc w:val="both"/>
        <w:ind w:firstLine="8"/>
        <w:spacing w:after="0" w:line="249" w:lineRule="auto"/>
        <w:tabs>
          <w:tab w:leader="none" w:pos="2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has occurred and is continuing at the time of, or immediately after giving effect to, such Acquisition; (b) the Person to be acquired is in, or the assets to be acquired are for use in, the same or a similar line of business as the Company and its Subsidiaries or a reasonable extension thereof; (c) upon giving effect to such Acquisition on a pro forma basis, the Loan Parties would be in compliance with the financial covenants set forth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(and if the aggregate consideration (including cash and non-cash consideration, any assumption of Debt, any acquired Debt, deferred purchase price and any earn out payments) paid by the Company or any Subsidiary for any such Acquisition exceeds $100,000,000, the Company shall have delivered to the Administrative Agent a certificate demonstrating such compliance); (d) the representations and warranties made by the Loan Parties in each Loan Document shall be true and correct in all material respects at and as if made as of the date of such Acquisition (after giving effect thereto) except to the extent such representations and warranties expressly relate to an earlier date in which case they shall be true and correct in all material respects as of such earlier date; and (e) if such transaction involves the purchase of an interest in a partnership between the Company (or a Subsidiary) as a general partner and entities unaffiliated with the Company or such Subsidiary as the other partners, such transaction shall be effected by having such equity interest acquired by a corporate holding company directly or indirectly wholly-owned by the Company newly formed for the sole purpose of effecting such transaction.</w:t>
      </w:r>
    </w:p>
    <w:p>
      <w:pPr>
        <w:spacing w:after="0" w:line="18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at any time, Liens in respect of property of the Company or any of its Subsidiaries permitted to exist at such time pursuant to the terms of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Securitization</w:t>
      </w:r>
      <w:r>
        <w:rPr>
          <w:rFonts w:ascii="Times New Roman" w:cs="Times New Roman" w:eastAsia="Times New Roman" w:hAnsi="Times New Roman"/>
          <w:sz w:val="20"/>
          <w:szCs w:val="20"/>
          <w:color w:val="auto"/>
        </w:rPr>
        <w:t>” means any program providing for (a) the direct or indirect sale, contribution and/or transfer to a Securitization Subsidiary, in one or more related and substantially concurrent transactions, of accounts receivable, general intangibles, chattel paper or other financial assets (including rights in respect of Capital Leases) and related rights of the Company or any Subsidiary in transactions intended to constitute (and opined by outside legal counsel reasonably satisfactory to the Administrative Agent in connection therewith to constitute) true sales or true contributions to such Securitization Subsidiary and (b) the provision of financing secured by the assets so sold, contributed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or transferred, whether in the form of secured loans or the acquisition of undivided interests in such assets.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w:t>
      </w:r>
      <w:r>
        <w:rPr>
          <w:rFonts w:ascii="Times New Roman" w:cs="Times New Roman" w:eastAsia="Times New Roman" w:hAnsi="Times New Roman"/>
          <w:sz w:val="20"/>
          <w:szCs w:val="20"/>
          <w:color w:val="auto"/>
        </w:rPr>
        <w:t>” means the U.S. Department of Labor regulation located at 29 C.F.R. Section 2510.3-101, or any successor regulation thereto, as in effect at the time of reference, as modified by Section 3(42) of ERISA.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Assets</w:t>
      </w:r>
      <w:r>
        <w:rPr>
          <w:rFonts w:ascii="Times New Roman" w:cs="Times New Roman" w:eastAsia="Times New Roman" w:hAnsi="Times New Roman"/>
          <w:sz w:val="20"/>
          <w:szCs w:val="20"/>
          <w:color w:val="auto"/>
        </w:rPr>
        <w:t>” means “plan assets” as defined in the Plan Asset Regulation.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has the meaning specified in Section 7.01.</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xml:space="preserve">” means, as to each Lender at any time, a fraction (expressed as a percentage, carried out to the ninth decimal place), the numerator of which is the amount of the Revolving Commitment of such Lender at such time and the denominator of which is the amount of the Aggregate Revolving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commitment of each Lender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 The Pro Rata Shares shall be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at any time, each Loan Party (other than a Foreign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6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Quoted Currency</w:t>
      </w:r>
      <w:r>
        <w:rPr>
          <w:rFonts w:ascii="Times New Roman" w:cs="Times New Roman" w:eastAsia="Times New Roman" w:hAnsi="Times New Roman"/>
          <w:sz w:val="20"/>
          <w:szCs w:val="20"/>
          <w:color w:val="auto"/>
        </w:rPr>
        <w:t>” means Dollars, Euros, Sterling and Japanese Yen and each other currency for which there is a published reference rate, in each case as long as there is a published reference rate acceptable to the Administrative Agent with respect thereto.</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means two (2)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such other day as otherwise reasonably determined by the Administrative Agent).</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pacing w:after="0" w:line="128" w:lineRule="exact"/>
        <w:rPr>
          <w:sz w:val="20"/>
          <w:szCs w:val="20"/>
          <w:color w:val="auto"/>
        </w:rPr>
      </w:pPr>
    </w:p>
    <w:p>
      <w:pPr>
        <w:ind w:left="6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means (1) if such Benchmark is the Term SOFR Rate,</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5:00 a.m., Chicago time, on the day that is two U.S. Government Securities Business Days preceding the date of such setting, (2) if such Benchmark is the EURIBO Rate, 11:00 a.m. (Brussels time) two TARGET2 Days preceding the date of such setting, (3) if such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3"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is TIBO Rate, 11:00 a.m. Japan time two Business Days preceding the date of such setting, (4) if the RFR for such Benchmark is SONIA, then four RFR Business Days prior to such setting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(5</w:t>
      </w:r>
      <w:r>
        <w:rPr>
          <w:rFonts w:ascii="Times New Roman" w:cs="Times New Roman" w:eastAsia="Times New Roman" w:hAnsi="Times New Roman"/>
          <w:sz w:val="20"/>
          <w:szCs w:val="20"/>
          <w:u w:val="single" w:color="auto"/>
          <w:color w:val="0000FF"/>
        </w:rPr>
        <w:t>) if such Benchmark is the Adjusted Term CORRA Rate, 1:00 p.m. Toronto local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time on the day that is two Business Days preceding the date of such setting or (6</w:t>
      </w:r>
      <w:r>
        <w:rPr>
          <w:rFonts w:ascii="Times New Roman" w:cs="Times New Roman" w:eastAsia="Times New Roman" w:hAnsi="Times New Roman"/>
          <w:sz w:val="20"/>
          <w:szCs w:val="20"/>
          <w:color w:val="000000"/>
        </w:rPr>
        <w:t>) if such Benchmark is none of the Term SOFR Rate,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EURIBO Rate, the TIBO Rate </w:t>
      </w:r>
      <w:r>
        <w:rPr>
          <w:rFonts w:ascii="Times New Roman" w:cs="Times New Roman" w:eastAsia="Times New Roman" w:hAnsi="Times New Roman"/>
          <w:sz w:val="20"/>
          <w:szCs w:val="20"/>
          <w:color w:val="EE2724"/>
        </w:rPr>
        <w:t>or</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 SONIA </w:t>
      </w:r>
      <w:r>
        <w:rPr>
          <w:rFonts w:ascii="Times New Roman" w:cs="Times New Roman" w:eastAsia="Times New Roman" w:hAnsi="Times New Roman"/>
          <w:sz w:val="20"/>
          <w:szCs w:val="20"/>
          <w:color w:val="0000FF"/>
        </w:rPr>
        <w:t>or the Adjusted Term CORRA Rate</w:t>
      </w:r>
      <w:r>
        <w:rPr>
          <w:rFonts w:ascii="Times New Roman" w:cs="Times New Roman" w:eastAsia="Times New Roman" w:hAnsi="Times New Roman"/>
          <w:sz w:val="20"/>
          <w:szCs w:val="20"/>
          <w:color w:val="000000"/>
        </w:rPr>
        <w:t>, the time determined by the Administrative Agent in its reasonable good faith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-531495</wp:posOffset>
            </wp:positionV>
            <wp:extent cx="212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-231775</wp:posOffset>
            </wp:positionV>
            <wp:extent cx="153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-180340</wp:posOffset>
            </wp:positionV>
            <wp:extent cx="1929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9765" cy="8255"/>
                    </a:xfrm>
                    <a:prstGeom prst="rect">
                      <a:avLst/>
                    </a:prstGeom>
                    <a:noFill/>
                  </pic:spPr>
                </pic:pic>
              </a:graphicData>
            </a:graphic>
          </wp:anchor>
        </w:drawing>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xml:space="preserve">” means (i) with respect to a Benchmark Replacement in respect of Loans denominated in Dollars, the FRB and/or the NYFRB, or a committee officially endorsed or convened by the FRB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Japanese Yen, the Bank of Japan, or a committee officially endorsed or convened by the Bank of Japan or, in each case, any successor thereto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(v</w:t>
      </w:r>
      <w:r>
        <w:rPr>
          <w:rFonts w:ascii="Times New Roman" w:cs="Times New Roman" w:eastAsia="Times New Roman" w:hAnsi="Times New Roman"/>
          <w:sz w:val="20"/>
          <w:szCs w:val="20"/>
          <w:u w:val="single" w:color="auto"/>
          <w:color w:val="0000FF"/>
        </w:rPr>
        <w:t>) with respect to a Benchmark Replacement in respect of Loans denominated in Canadian Dollars, the Bank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Canada, or a committee officially endorsed or convened by the Bank of Canada or, in each case, any successor thereto and (vi</w:t>
      </w:r>
      <w:r>
        <w:rPr>
          <w:rFonts w:ascii="Times New Roman" w:cs="Times New Roman" w:eastAsia="Times New Roman" w:hAnsi="Times New Roman"/>
          <w:sz w:val="20"/>
          <w:szCs w:val="20"/>
          <w:color w:val="000000"/>
        </w:rPr>
        <w:t>) with respect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-1134745</wp:posOffset>
            </wp:positionV>
            <wp:extent cx="229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9870" cy="8890"/>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Rate</w:t>
      </w:r>
      <w:r>
        <w:rPr>
          <w:rFonts w:ascii="Times New Roman" w:cs="Times New Roman" w:eastAsia="Times New Roman" w:hAnsi="Times New Roman"/>
          <w:sz w:val="19"/>
          <w:szCs w:val="19"/>
          <w:color w:val="auto"/>
        </w:rPr>
        <w:t>” means (i) with respect to any Term Benchmark Borrowing denominated in Dollars, the Adjusted Term SOFR Rate,</w:t>
      </w:r>
    </w:p>
    <w:p>
      <w:pPr>
        <w:spacing w:after="0" w:line="33" w:lineRule="exact"/>
        <w:rPr>
          <w:sz w:val="20"/>
          <w:szCs w:val="20"/>
          <w:color w:val="auto"/>
        </w:rPr>
      </w:pPr>
    </w:p>
    <w:p>
      <w:pPr>
        <w:jc w:val="both"/>
        <w:ind w:firstLine="8"/>
        <w:spacing w:after="0" w:line="249" w:lineRule="auto"/>
        <w:tabs>
          <w:tab w:leader="none" w:pos="32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Term Benchmark Borrowing denominated in euro, the Adjusted EURIBO Rate, (iii) with respect to any Term Benchmark Borrowing denominated in Japanese Yen, the Adjusted TIBO Rate, (iv) with respect to any Term Benchmark Borrowing denominated in Canadian Dollars, the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xml:space="preserve"> Rate, (v) with respect to any Term Benchmark Borrowing denominated in Australian Dollars, the BBSY Rate, (vi) in the case of any other Term Benchmark Borrowing denominated in an Alternative Currency (other than those specified above), the rate designated with respect to such Alternative Currency at the time such Alternative Currency is approved by the Administrative Agent and the Lenders pursuant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or (vii) with respect to any RFR Loan denominated in Sterling, Daily Simple SONIA, as applicable.</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means (i) with respect to any Term Benchmark Borrowing denominated in Dollars, the Term SOFR Reference Rate, (ii) with respect to any Term Benchmark Borrowing denominated in euro, the EURIBOR Screen Rate, (iii) with respect to any Term Benchmark Borrowing denominated in Japanese Yen, the TIBOR Screen Rate, (iv) with respect to any Term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49" w:name="page50"/>
    <w:bookmarkEnd w:id="49"/>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Borrowing denominated in Canadian Dollars, </w:t>
      </w:r>
      <w:r>
        <w:rPr>
          <w:rFonts w:ascii="Times New Roman" w:cs="Times New Roman" w:eastAsia="Times New Roman" w:hAnsi="Times New Roman"/>
          <w:sz w:val="20"/>
          <w:szCs w:val="20"/>
          <w:color w:val="FF0000"/>
          <w:strike w:val="1"/>
        </w:rPr>
        <w:t>the CDOR Screen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and (v) with respect to any Term Benchmark Borrowing denominated in Australian Dollars, the BBSY Screen Rate, as applicable.</w:t>
      </w:r>
    </w:p>
    <w:p>
      <w:pPr>
        <w:spacing w:after="0" w:line="146" w:lineRule="exact"/>
        <w:rPr>
          <w:sz w:val="20"/>
          <w:szCs w:val="20"/>
          <w:color w:val="auto"/>
        </w:rPr>
      </w:pPr>
    </w:p>
    <w:p>
      <w:pPr>
        <w:jc w:val="both"/>
        <w:ind w:right="2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Request for Credit Extension</w:t>
      </w:r>
      <w:r>
        <w:rPr>
          <w:rFonts w:ascii="Times New Roman" w:cs="Times New Roman" w:eastAsia="Times New Roman" w:hAnsi="Times New Roman"/>
          <w:sz w:val="19"/>
          <w:szCs w:val="19"/>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holding in the aggregate more than fifty percent (50%) of (a) the Aggregate Revolving Commitments or (b) if the Aggregate Revolving Commitments have been terminated, the outstanding Loans, L/C Obligations, Swing Line Loans and participations therein. The Commitments of, and the outstanding Loans held or deemed held by, any Defaulting Lender shall be disregarded for purposes of making a determination of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any Executive Officer, and, solely for purposes of the delivery of incumbency certificates, the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of the applicable Loan Party so designated by any of the foregoing officers in a notice to the Administrative Agent or any other officer or employee of the applicable Loan Party designated as such in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With respect to a Luxembourg Loan Party a “Responsible Officer” means a person who is authorized to represent that Loan Party.</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Loan, each of the following: (i) each date of a Borrowing of a Term Benchmark Loan denominated in an Alternative Currency, (ii) each date of a continuation of a Term Benchmark Loan denominated in an Alternative Currency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(iii) such additional dates as the Administrative Agent shall reasonably determine or the Required Lenders shall reasonably require; and (b) with respect to any Letter of Credit, each of the following: (i) each date of an issuance of a Letter of Credit denominated in an Alternative Currency, (ii) each date of an amendment of any such Letter of Credit having the effect of increasing the amount thereof (solely with respect to the increased amount), (iii) each date of any payment by the L/C Issuer of any Letter of Credit denominated in an Alternative Currency, (iv) in the case of the Existing Letters of Credit, the Closing Date and (v) such additional dates as the Administrative Agent or the L/C Issuer shall reasonably determine or the Required Lenders shall reasonably require.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as to each Lender, its obligation to (a) make Revolving Loans to the Borrowers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in any documentation executed by such Lender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or in the Assignment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50" w:name="page51"/>
    <w:bookmarkEnd w:id="50"/>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Assumption pursuant to which such Lender becomes a party hereto, as applicable, as such amount may be adjusted from time to time in accordance with this Agreement.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means, for any RFR Loan denominated in Sterling, SONIA.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Business Day</w:t>
      </w:r>
      <w:r>
        <w:rPr>
          <w:rFonts w:ascii="Times New Roman" w:cs="Times New Roman" w:eastAsia="Times New Roman" w:hAnsi="Times New Roman"/>
          <w:sz w:val="20"/>
          <w:szCs w:val="20"/>
          <w:color w:val="auto"/>
        </w:rPr>
        <w:t>” means, for any Loan denominated in Sterling, any day except for (i) a Saturday, (ii) a Sunday or (iii) a day on which banks are closed for general business in London.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SONIA”.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Daily Simple SONIA.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The McGraw-Hill Companies, Inc. and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in good faith by the Administrative Agent or the L/C Issuer,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sanction administered or enforced by the United States Government, including OFAC, the United Nations Security Council, the European Union, His Majesty’s Treasury (“HMT”) or other relevant sanctions authority.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or any Governmental Authority succeeding to any of its principal functions.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 means November 14, 2022.</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Obligations</w:t>
      </w:r>
      <w:r>
        <w:rPr>
          <w:rFonts w:ascii="Times New Roman" w:cs="Times New Roman" w:eastAsia="Times New Roman" w:hAnsi="Times New Roman"/>
          <w:sz w:val="20"/>
          <w:szCs w:val="20"/>
          <w:color w:val="auto"/>
        </w:rPr>
        <w:t>” means the aggregate investment or claim (as opposed to the value of the underlying assets subject to the applicable Permitted Securitization) held at any time by all purchasers, assignees or transferees of (or of interests in), or holders of obligations that are supported or secured by, accounts receivable, general intangibles, chattel paper or other financial assets (including rights in respect of Capital Leases) and related rights of the Company or any Subsidiary in connection with Permitted Securitizations.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Subsidiary</w:t>
      </w:r>
      <w:r>
        <w:rPr>
          <w:rFonts w:ascii="Times New Roman" w:cs="Times New Roman" w:eastAsia="Times New Roman" w:hAnsi="Times New Roman"/>
          <w:sz w:val="20"/>
          <w:szCs w:val="20"/>
          <w:color w:val="auto"/>
        </w:rPr>
        <w:t>” means a special purpose, bankruptcy remote, directly or indirectly wholly-owned Subsidiary of the Company that is formed for the sole and exclusive purpose of engaging in activities in connection with the purchase, contribution, transfer, sale and financing of assets and related rights in connection with and pursuant to one or more Permitted Securitizations.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w:t>
      </w:r>
      <w:r>
        <w:rPr>
          <w:rFonts w:ascii="Times New Roman" w:cs="Times New Roman" w:eastAsia="Times New Roman" w:hAnsi="Times New Roman"/>
          <w:sz w:val="20"/>
          <w:szCs w:val="20"/>
          <w:color w:val="auto"/>
        </w:rPr>
        <w:t>” means any note issued pursuant to a Note Purchase Agreement.</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at any time, (a) any Subsidiary having (i) assets (after intercompany eliminations) with a value not less than 2.5% of the total value of the consolidated assets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and its Subsidiaries, taken as a whole, or (ii) revenues (after elimination of intercompany revenues) not less than 2.5% of the consolidated revenues of the Company and its Subsidiaries, taken as a whole, in each case for, or as of the end of, the most recently ended Computation Period, as the case may be, and (b) any Subsidiary that is a Loan Party.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4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 Average).</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4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Cash</w:t>
      </w:r>
      <w:r>
        <w:rPr>
          <w:rFonts w:ascii="Times New Roman" w:cs="Times New Roman" w:eastAsia="Times New Roman" w:hAnsi="Times New Roman"/>
          <w:sz w:val="19"/>
          <w:szCs w:val="19"/>
          <w:color w:val="auto"/>
        </w:rPr>
        <w:t xml:space="preserve">” means the aggregate amount of unrestricted cash and Cash Equivalents of the Company and its Domestic Subsidiaries (other than Excluded Subsidiaries) not exceeding the greater of (a) $75,000,000 and (b) 25% of Consolidated EBITDA as of the last day of the Fiscal Quarter most recently ended for which financial statements have been delivered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7.01(b)</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Loan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Spot Rate</w:t>
      </w:r>
      <w:r>
        <w:rPr>
          <w:rFonts w:ascii="Times New Roman" w:cs="Times New Roman" w:eastAsia="Times New Roman" w:hAnsi="Times New Roman"/>
          <w:sz w:val="19"/>
          <w:szCs w:val="19"/>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L/C Issuer may use such spot rate quoted on the date as of which the foreign exchange computation is made in the case of any Letter of Credit denominated in an Alternative Currency.</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means a fraction (expressed as a decimal), the numerator of which is the number one and the denominator of which is the number one minus the aggregate of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20"/>
          <w:szCs w:val="20"/>
          <w:color w:val="auto"/>
        </w:rPr>
        <w:t>reserve percentage (including any marginal, special, emergency or supplemental reserves) expressed as a decimal established by the FRB to which the Administrative Agent is subject with respect to the Adjusted EURIBO Rate or the Adjusted TIBO Rate, as applicable, for eurocurrency funding (currently referred to as “Eurocurrency liabilities” in Regulation D of the FRB) or any other reserve ratio or analogous requirement of any central banking or financial regulatory authority imposed in respect of the maintenance of the Commitments or the funding of the Loans. Such reserve percentage shall include those imposed pursuant to Regulation D of the FRB.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FRB or any comparable regulation. The Statutory Reserve Rate shall be adjusted automatically on and as of the effective date of any change in any reserve percentage, and the Administrative Agent shall notify the Company promptly of any such adjustment.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means any Debt of the Company or any Subsidiary that (a) is subordinated to the Obligations in a manner approved in writing by the Required Lenders and (b) has (i) no amortization prior to the date that is at least 91 days after the Maturity Date,</w:t>
      </w:r>
    </w:p>
    <w:p>
      <w:pPr>
        <w:spacing w:after="0" w:line="1" w:lineRule="exact"/>
        <w:rPr>
          <w:sz w:val="20"/>
          <w:szCs w:val="20"/>
          <w:color w:val="auto"/>
        </w:rPr>
      </w:pPr>
    </w:p>
    <w:p>
      <w:pPr>
        <w:ind w:right="20" w:firstLine="8"/>
        <w:spacing w:after="0" w:line="253" w:lineRule="auto"/>
        <w:tabs>
          <w:tab w:leader="none" w:pos="3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covenants and events of default (and related definitions) that are acceptable to the Required Lenders and (iii) no limitation on senior Debt (or any guaranty thereof) that is unacceptable to the Required Lenders.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Voting Stock is at the time beneficially owned, directly, or indirectly through one or more intermediaries, or both, by such Person. Unless otherwise specified, all references herein to a “Subsidiary” or to “Subsidiaries” shall refer to a Subsidiary or Subsidiaries of the Company.</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Suretyship Liability</w:t>
      </w:r>
      <w:r>
        <w:rPr>
          <w:rFonts w:ascii="Times New Roman" w:cs="Times New Roman" w:eastAsia="Times New Roman" w:hAnsi="Times New Roman"/>
          <w:sz w:val="20"/>
          <w:szCs w:val="20"/>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equal to the lesser of (i) the stated or determinable amount of the related primary obligation, or portion thereof, in respect of which such Suretyship Liability is incurred or, if not stated or determinable, the maximum reasonably anticipated liability in respect thereof, and (ii) the stated amount of such Suretyship Liability.</w:t>
      </w:r>
    </w:p>
    <w:p>
      <w:pPr>
        <w:spacing w:after="0" w:line="19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83" w:lineRule="auto"/>
        <w:rPr>
          <w:sz w:val="20"/>
          <w:szCs w:val="20"/>
          <w:color w:val="auto"/>
        </w:rPr>
      </w:pPr>
      <w:r>
        <w:rPr>
          <w:rFonts w:ascii="Times New Roman" w:cs="Times New Roman" w:eastAsia="Times New Roman" w:hAnsi="Times New Roman"/>
          <w:sz w:val="20"/>
          <w:szCs w:val="20"/>
          <w:color w:val="auto"/>
        </w:rPr>
        <w:t>such Hedging Agreements, as determined based upon one or more mid-market or other readily available quotations provided by any recognized dealer in such Hedging Agreements (which may include a Lender or any Affiliate of a Lender).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BMO in its capacity as provider of Swing Line Loans, or any successor swing line lender hereunder.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Borrowing of Swing Line Loans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2.04</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$40,000,000 and (b) the Aggregate Revolving Commitments. The Swing Line Sublimit is part of, and not in addition to, the Aggregate Revolving Commitments.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w:t>
      </w:r>
      <w:r>
        <w:rPr>
          <w:rFonts w:ascii="Times New Roman" w:cs="Times New Roman" w:eastAsia="Times New Roman" w:hAnsi="Times New Roman"/>
          <w:sz w:val="20"/>
          <w:szCs w:val="20"/>
          <w:color w:val="auto"/>
        </w:rPr>
        <w:t>” means the Trans-European Automated Real-time Gross Settlement Express Transfer (TARGET2) payment system (or, if such payment system ceases to be operative, such other payment system (if any) reasonably determined (such determination to be consistent with such determination generally under other syndicated credit facilities for which BMO acts as administrative agent) by the Administrative Agent to be a suitable replacement) for the settlement of payments in euro.</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 Day</w:t>
      </w:r>
      <w:r>
        <w:rPr>
          <w:rFonts w:ascii="Times New Roman" w:cs="Times New Roman" w:eastAsia="Times New Roman" w:hAnsi="Times New Roman"/>
          <w:sz w:val="20"/>
          <w:szCs w:val="20"/>
          <w:color w:val="auto"/>
        </w:rPr>
        <w:t>” means a day that TARGET2 is open for the settlement of payments in euro.</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w:t>
      </w:r>
      <w:r>
        <w:rPr>
          <w:rFonts w:ascii="Times New Roman" w:cs="Times New Roman" w:eastAsia="Times New Roman" w:hAnsi="Times New Roman"/>
          <w:sz w:val="19"/>
          <w:szCs w:val="19"/>
          <w:color w:val="auto"/>
        </w:rPr>
        <w:t xml:space="preserve">”, when used in reference to any Loan or Borrowing, means that such Loan, or the Loans comprising such Borrowing, bears interest at a rate determined by reference to the Adjusted Term SOFR Rate, the Adjusted EURIBO Rate, the Adjusted TIBO Rate, the </w:t>
      </w:r>
      <w:r>
        <w:rPr>
          <w:rFonts w:ascii="Times New Roman" w:cs="Times New Roman" w:eastAsia="Times New Roman" w:hAnsi="Times New Roman"/>
          <w:sz w:val="19"/>
          <w:szCs w:val="19"/>
          <w:color w:val="FF0000"/>
          <w:strike w:val="1"/>
        </w:rPr>
        <w:t>CDOR</w:t>
      </w:r>
      <w:r>
        <w:rPr>
          <w:rFonts w:ascii="Times New Roman" w:cs="Times New Roman" w:eastAsia="Times New Roman" w:hAnsi="Times New Roman"/>
          <w:sz w:val="19"/>
          <w:szCs w:val="19"/>
          <w:u w:val="single" w:color="auto"/>
          <w:color w:val="0000FF"/>
        </w:rPr>
        <w:t>Adjusted Term CORRA</w:t>
      </w:r>
      <w:r>
        <w:rPr>
          <w:rFonts w:ascii="Times New Roman" w:cs="Times New Roman" w:eastAsia="Times New Roman" w:hAnsi="Times New Roman"/>
          <w:sz w:val="19"/>
          <w:szCs w:val="19"/>
          <w:color w:val="auto"/>
        </w:rPr>
        <w:t xml:space="preserve"> Rate, the BBSY Rate or other Relevant Rate (other than Daily Simple SONIA), as applicable.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 Borrowing</w:t>
      </w:r>
      <w:r>
        <w:rPr>
          <w:rFonts w:ascii="Times New Roman" w:cs="Times New Roman" w:eastAsia="Times New Roman" w:hAnsi="Times New Roman"/>
          <w:sz w:val="20"/>
          <w:szCs w:val="20"/>
          <w:color w:val="auto"/>
        </w:rPr>
        <w:t>” means, as to any Borrowing, the Term Benchmark Loans comprising such Borrowing.</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 Loan</w:t>
      </w:r>
      <w:r>
        <w:rPr>
          <w:rFonts w:ascii="Times New Roman" w:cs="Times New Roman" w:eastAsia="Times New Roman" w:hAnsi="Times New Roman"/>
          <w:sz w:val="20"/>
          <w:szCs w:val="20"/>
          <w:color w:val="auto"/>
        </w:rPr>
        <w:t xml:space="preserve">” means a Loan that bears interest at the Term Benchmark. All Loans denominated in an Alternative Currency (other than Sterling) must be Term Benchmark Loans, except as provided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u w:val="single" w:color="auto"/>
          <w:color w:val="0000FF"/>
        </w:rPr>
        <w:t>“Term CORRA” means, with respect to any Term Benchmark Borrowing denominated in Canadian Dollars, the Term CORRA Reference Rate for a tenor comparable to the applicable Interest Period on the day (such day, the “Periodic Term CORRA Determination Day”)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0000FF"/>
        </w:rPr>
        <w:t>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“Term CORRA Administrator” means Candeal Benchmark Administration Services Inc., TSX Inc., or any successor administrator.</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u w:val="single" w:color="auto"/>
          <w:color w:val="0000FF"/>
        </w:rPr>
        <w:t>“Term CORRA Notice” means a notification by the Administrative Agent to the Lenders in consultation with the Company of the occurrence of a Term CORRA Reelection Event.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u w:val="single" w:color="auto"/>
          <w:color w:val="0000FF"/>
        </w:rPr>
        <w:t>“Term CORRA Reelection Event” means the determination by the Administrative Agent in consultation with the Company that (a) Term CORRA has been recommended for use by the Relevant Governmental Body, and is determinable for any Available Tenor, (b) the administration of Term CORRA is administratively feasible for the Administrative Agent and (c) a Benchmark Transition Event has previously occurred resulting in a Benchmark Replacement in accordance with Section 3.07 that is not Term CORRA.</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“Term CORRA Reference Rate” means the forward-looking term rate based on CORRA.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“Term SOFR Reference Rate” means, for any day and time (such day, the “Term SOFR Determination Day”), with respect to any Term Benchmark Borrowing denominated in Dollars and for any tenor comparable to the applicable Interest Period, the rate per annum published by the CME Term Administrator and identified reasonably and in good faith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Business Day is not more than five (5) U.S. Government Securities Business Day Business Days prior to such Term SOFR Determination Day.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“Third Amendment Effective Date” means October 10, 2024.</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TIBO Rate</w:t>
      </w:r>
      <w:r>
        <w:rPr>
          <w:rFonts w:ascii="Times New Roman" w:cs="Times New Roman" w:eastAsia="Times New Roman" w:hAnsi="Times New Roman"/>
          <w:sz w:val="20"/>
          <w:szCs w:val="20"/>
          <w:color w:val="auto"/>
        </w:rPr>
        <w:t>” means, with respect to any Term Benchmark Borrowing denominated in Japanese Yen and for any Interest Period, the TIBOR Screen Rate, two Business Days prior to the commencement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sectPr>
      </w:pPr>
    </w:p>
    <w:bookmarkStart w:id="55" w:name="page56"/>
    <w:bookmarkEnd w:id="55"/>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TIBOR Screen Rate</w:t>
      </w:r>
      <w:r>
        <w:rPr>
          <w:rFonts w:ascii="Times New Roman" w:cs="Times New Roman" w:eastAsia="Times New Roman" w:hAnsi="Times New Roman"/>
          <w:sz w:val="20"/>
          <w:szCs w:val="20"/>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If the TIBOR Screen Rate shall be less than zero, the TIBOR Screen Rate shall be deemed to be zero for purposes of this Agreement.</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all Swing Line Loans and all L/C Obligations.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Agreement</w:t>
      </w:r>
      <w:r>
        <w:rPr>
          <w:rFonts w:ascii="Times New Roman" w:cs="Times New Roman" w:eastAsia="Times New Roman" w:hAnsi="Times New Roman"/>
          <w:sz w:val="20"/>
          <w:szCs w:val="20"/>
          <w:color w:val="auto"/>
        </w:rPr>
        <w:t>” means any agreement governing the provision of treasury or cash management services, including deposit accounts, funds transfer, automated clearinghouse, zero balance accounts, returned check concentration, controlled disbursement, lockbox, account reconciliation, reporting and trade finance services, overnight draft, credit cards, debit cards, p-cards (including purchasing cards and commercial cards), e-payables and other treasury management services.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Bank</w:t>
      </w:r>
      <w:r>
        <w:rPr>
          <w:rFonts w:ascii="Times New Roman" w:cs="Times New Roman" w:eastAsia="Times New Roman" w:hAnsi="Times New Roman"/>
          <w:sz w:val="20"/>
          <w:szCs w:val="20"/>
          <w:color w:val="auto"/>
        </w:rPr>
        <w:t>” means any Person that (a) at the time it enters into a Treasury Management Agreement, is a Lender or the Administrative Agent or an Affiliate of a Lender or the Administrative Agent, (b) in the case of any Treasury Management Agreement in effect on or prior to the Closing Date, is, as of the Closing Date or within 30 days thereafter, a Lender or the Administrative Agent or an Affiliate of a Lender or the Administrative Agent and a party to a Treasury Management Agreement or (c) within 30 days after the time it enters into the applicable Treasury Management Agreement, becomes a Lender, the Administrative Agent or an Affiliate of a Lender or the Administrative Agent, in each case, in its capacity as a party to such Treasury Management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Tricor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any Loan, its character as a Base Rate Loan, RFR Loan or a Term Benchmark Loan.</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means, with respect to any Letter of Credit, the Uniform Customs and Practice for Documentary Credits, International Chamber of Commerce (“</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Publication No. 600 (or such later version thereof as may be in effect at the time of issuance).</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3"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Internal Revenue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with respect to any Person, Capital Stock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means any Person 100% of whose Capital Stock is at the time owned by the Company directly or indirectly through other Persons 100% of whose Capital Stock is at the time owned, directly or indirectly, by the Company.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Worldwide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Other Interpretive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reference to this Agreement and each other Loan Document, unless otherwise specified herein or in such other Loan Document:</w:t>
      </w:r>
    </w:p>
    <w:p>
      <w:pPr>
        <w:spacing w:after="0" w:line="241" w:lineRule="exact"/>
        <w:rPr>
          <w:sz w:val="20"/>
          <w:szCs w:val="20"/>
          <w:color w:val="auto"/>
        </w:rPr>
      </w:pPr>
    </w:p>
    <w:p>
      <w:pPr>
        <w:ind w:left="1060" w:hanging="404"/>
        <w:spacing w:after="0"/>
        <w:tabs>
          <w:tab w:leader="none" w:pos="10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10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words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hereto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refer to such Loan Document as a whole and not to any particular provision thereof.</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Section, Exhibit and Schedule references are to the Loan Document in which such reference appears.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3" w:right="339" w:bottom="1440" w:gutter="0" w:footer="0" w:header="0"/>
        </w:sectPr>
      </w:pPr>
    </w:p>
    <w:bookmarkStart w:id="57" w:name="page58"/>
    <w:bookmarkEnd w:id="57"/>
    <w:p>
      <w:pPr>
        <w:ind w:left="1780" w:hanging="476"/>
        <w:spacing w:after="0"/>
        <w:tabs>
          <w:tab w:leader="none" w:pos="17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is by way of example and not limitation.</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7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includes any and all instruments, documents, agreements, certificates, notices, reports, financial statements and other writings, however evidenced, whether in physical or electronic form.</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16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5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92" w:lineRule="exact"/>
        <w:rPr>
          <w:rFonts w:ascii="Times New Roman" w:cs="Times New Roman" w:eastAsia="Times New Roman" w:hAnsi="Times New Roman"/>
          <w:sz w:val="20"/>
          <w:szCs w:val="20"/>
          <w:color w:val="auto"/>
        </w:rPr>
      </w:pPr>
    </w:p>
    <w:p>
      <w:pPr>
        <w:ind w:firstLine="656"/>
        <w:spacing w:after="0" w:line="269" w:lineRule="auto"/>
        <w:tabs>
          <w:tab w:leader="none" w:pos="10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69" w:lineRule="auto"/>
        <w:tabs>
          <w:tab w:leader="none" w:pos="108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Notwithstanding anything to the contrary in this Agreement or any other Loan Document, for purposes of determining compliance with any covenant (including the computation of any financial covenant) contained in any Loan Document, Debt of the Loan Parties and their Subsidiaries shall be deemed to be carried at 100% of the outstanding principal amount thereof, and the effects of FASB ASC 825 on financial liabilities shall be disregarded.</w:t>
      </w:r>
    </w:p>
    <w:p>
      <w:pPr>
        <w:spacing w:after="0" w:line="177" w:lineRule="exact"/>
        <w:rPr>
          <w:rFonts w:ascii="Times New Roman" w:cs="Times New Roman" w:eastAsia="Times New Roman" w:hAnsi="Times New Roman"/>
          <w:sz w:val="19"/>
          <w:szCs w:val="19"/>
          <w:color w:val="auto"/>
        </w:rPr>
      </w:pPr>
    </w:p>
    <w:p>
      <w:pPr>
        <w:jc w:val="both"/>
        <w:ind w:firstLine="656"/>
        <w:spacing w:after="0" w:line="249" w:lineRule="auto"/>
        <w:tabs>
          <w:tab w:leader="none" w:pos="108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any change in GAAP would affect the computation of any financial ratio set forth in any Loan Document or the determination of compliance with any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operating leases shall continue to be treated in accordance with GAAP as in effect immediately prior to the Company’s adoption of FASB ASC 842;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for purposes of the financial statements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so long as the Compliance Certificate delivered by the Company in connection with such financial statements includes an explanation of the differences resulting from such treatment of leases in a manner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3" w:right="339" w:bottom="1440" w:gutter="0" w:footer="0" w:header="0"/>
        </w:sectPr>
      </w:pPr>
    </w:p>
    <w:bookmarkStart w:id="58" w:name="page59"/>
    <w:bookmarkEnd w:id="58"/>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u w:val="single" w:color="auto"/>
          <w:color w:val="auto"/>
        </w:rPr>
        <w:t>Rounding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u w:val="single" w:color="auto"/>
          <w:color w:val="auto"/>
        </w:rPr>
        <w:t>References to Agreements and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1" w:lineRule="auto"/>
        <w:tabs>
          <w:tab w:leader="none" w:pos="107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L/C Issuer, as applicable, shall determine in good faith the Spot Rates as of each Revaluation Date to be used for calculating Dollar Equivalent amounts of Credit Extensions and Outstanding Amounts denominated in Alternative Currencies (and, upon request, shall promptly notify the Company of such determination).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in good faith by the Administrative Agent or the L/C Issuer, as applicable.</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Term Benchmark Loan, RFR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 related to the establishment of the rates in the definition of “Relevant Rate” or with respect to any comparable or successor rate thereto.</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Additional Alternative Currencies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7" w:lineRule="auto"/>
        <w:tabs>
          <w:tab w:leader="none" w:pos="112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request that Term Benchmark Loans be made and/or Letters of Credit be issued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requested currency is a lawful currency (other than Dollars) that is readily available and freely transferable and convertible into Dollars and (ii) such requested currency shall only be a Quoted Currency to the extent that there is a published reference rate for such currency. In the case of any such request with respect to the making of Term Benchmark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3" w:right="339" w:bottom="1440" w:gutter="0" w:footer="0" w:header="0"/>
        </w:sectPr>
      </w:pPr>
    </w:p>
    <w:bookmarkStart w:id="59" w:name="page60"/>
    <w:bookmarkEnd w:id="59"/>
    <w:p>
      <w:pPr>
        <w:spacing w:after="0" w:line="283" w:lineRule="auto"/>
        <w:rPr>
          <w:sz w:val="20"/>
          <w:szCs w:val="20"/>
          <w:color w:val="auto"/>
        </w:rPr>
      </w:pPr>
      <w:r>
        <w:rPr>
          <w:rFonts w:ascii="Times New Roman" w:cs="Times New Roman" w:eastAsia="Times New Roman" w:hAnsi="Times New Roman"/>
          <w:sz w:val="20"/>
          <w:szCs w:val="20"/>
          <w:color w:val="auto"/>
        </w:rPr>
        <w:t>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46" w:lineRule="exact"/>
        <w:rPr>
          <w:sz w:val="20"/>
          <w:szCs w:val="20"/>
          <w:color w:val="auto"/>
        </w:rPr>
      </w:pPr>
    </w:p>
    <w:p>
      <w:pPr>
        <w:jc w:val="both"/>
        <w:ind w:firstLine="656"/>
        <w:spacing w:after="0" w:line="251" w:lineRule="auto"/>
        <w:tabs>
          <w:tab w:leader="none" w:pos="105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fifteen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Term Benchmark Loans, the Administrative Agent shall promptly notify each Lender thereof; and in the case of any such request pertaining to Letters of Credit, the Administrative Agent shall promptly notify the L/C Issuer thereof. Each Lender (in the case of any such request pertaining to Term Benchmark Loans) or the L/C Issuer (in the case of a request pertaining to Letters of Credit) shall notify the Administrative Agent, not later than 11:00 a.m., seven Business Days after receipt of such request whether it consents, in its sole discretion, to the making of Term Benchmark Loans or the issuance of Letters of Credit, as the case may be, in such requested currency.</w:t>
      </w:r>
    </w:p>
    <w:p>
      <w:pPr>
        <w:spacing w:after="0" w:line="195" w:lineRule="exact"/>
        <w:rPr>
          <w:rFonts w:ascii="Times New Roman" w:cs="Times New Roman" w:eastAsia="Times New Roman" w:hAnsi="Times New Roman"/>
          <w:sz w:val="20"/>
          <w:szCs w:val="20"/>
          <w:color w:val="auto"/>
        </w:rPr>
      </w:pPr>
    </w:p>
    <w:p>
      <w:pPr>
        <w:jc w:val="both"/>
        <w:ind w:firstLine="656"/>
        <w:spacing w:after="0" w:line="249" w:lineRule="auto"/>
        <w:tabs>
          <w:tab w:leader="none" w:pos="106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Lender or the L/C Issuer, as the case may be, to respond to such request within the time period specified in the preceding sentence shall be deemed to be a refusal by such Lender or the L/C Issuer, as the case may be, to permit Term Benchmark Loans to be made or Letters of Credit to be issued in such requested currency. If the Administrative Agent and all the Lenders consent to making Term Benchmark Loans in such requested currency and the Administrative Agent and such Lenders reasonably determine that a Relevant Rate is available to be used for such requested currency, the Administrative Agent shall so notify the Company and (i) the Administrative Agent and such Lenders may amend the definition of Relevant Rate for any Non-Quoted Currency to the extent necessary to add the applicable Relevant Rate for such currency and (ii) to the extent the definition of Relevant Rate reflects the appropriate interest rate for such currency or has been amended to reflect the appropriate rate for such currency, such currency shall thereupon be deemed for all purposes to be a Quoted Currency or a Non-Quoted Currency, as applicable, for purposes of any Borrowings of Term Benchmark Loans. If the Administrative Agent and the L/C Issuer consent to the issuance of Letters of Credit in such requested currency, the Administrative Agent shall so notify the Company and (A) the Administrative Agent and the L/C Issuer may amend the definition of Relevant Rate for any Non-Quoted Currency to the extent necessary to add the applicable Relevant Rate for such currency and (B) to the extent the definition of Relevant Rate reflects the appropriate interest rate for such currency or has been amended to reflect the appropriate rate for such currency, such currency shall thereupon be deemed for all purposes to be a Quoted Currency or a Non-Quoted Currency, as applicable, for purposes of any Letter of Credit issuances.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the Administrative Agent shall promptly so notify the Company.</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u w:val="single" w:color="auto"/>
          <w:color w:val="auto"/>
        </w:rPr>
        <w:t>Change of Currency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11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Borrowing in the currency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13" w:right="339" w:bottom="1440" w:gutter="0" w:footer="0" w:header="0"/>
        </w:sectPr>
      </w:pPr>
    </w:p>
    <w:bookmarkStart w:id="60" w:name="page61"/>
    <w:bookmarkEnd w:id="60"/>
    <w:p>
      <w:pPr>
        <w:spacing w:after="0" w:line="283" w:lineRule="auto"/>
        <w:rPr>
          <w:sz w:val="20"/>
          <w:szCs w:val="20"/>
          <w:color w:val="auto"/>
        </w:rPr>
      </w:pPr>
      <w:r>
        <w:rPr>
          <w:rFonts w:ascii="Times New Roman" w:cs="Times New Roman" w:eastAsia="Times New Roman" w:hAnsi="Times New Roman"/>
          <w:sz w:val="20"/>
          <w:szCs w:val="20"/>
          <w:color w:val="auto"/>
        </w:rPr>
        <w:t>such member state is outstanding immediately prior to such date, such replacement shall take effect, with respect to such Borrowing, at the end of the then current Interest Period.</w:t>
      </w:r>
    </w:p>
    <w:p>
      <w:pPr>
        <w:spacing w:after="0" w:line="146" w:lineRule="exact"/>
        <w:rPr>
          <w:sz w:val="20"/>
          <w:szCs w:val="20"/>
          <w:color w:val="auto"/>
        </w:rPr>
      </w:pPr>
    </w:p>
    <w:p>
      <w:pPr>
        <w:jc w:val="both"/>
        <w:ind w:firstLine="656"/>
        <w:spacing w:after="0" w:line="253" w:lineRule="auto"/>
        <w:tabs>
          <w:tab w:leader="none" w:pos="107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reasonably specify, in consultation with the Borrowers, to be appropriate to reflect (i) the adoption of the Euro by any member state of the European Union and any relevant market conventions or practices relating to the Euro and (ii) any change in currency of another country and any relevant market conventions or practices relating to the change in currency; provided, in each case, the Administrative Agent shall have generally implemented such changes of construction (with respect to the applicable currency) in other credit facilities under similar circumstances.</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u w:val="single" w:color="auto"/>
          <w:color w:val="auto"/>
        </w:rPr>
        <w:t>Times of Day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Central time (daylight or standard, as applicable).</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Letter of Credit Amounts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7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Luxembourg Terms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Without prejudice to the generality of any provision of this Agreement, in this Agreement where it relates to a Luxembourg Loan Party, a reference to: (a) a winding-up, administration or dissolution includes, without limitation,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liquidation,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a suspension of payments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procedure, controlled management (</w:t>
      </w:r>
      <w:r>
        <w:rPr>
          <w:rFonts w:ascii="Times New Roman" w:cs="Times New Roman" w:eastAsia="Times New Roman" w:hAnsi="Times New Roman"/>
          <w:sz w:val="20"/>
          <w:szCs w:val="20"/>
          <w:i w:val="1"/>
          <w:iCs w:val="1"/>
          <w:color w:val="auto"/>
        </w:rPr>
        <w:t>gestion controlée</w:t>
      </w:r>
      <w:r>
        <w:rPr>
          <w:rFonts w:ascii="Times New Roman" w:cs="Times New Roman" w:eastAsia="Times New Roman" w:hAnsi="Times New Roman"/>
          <w:sz w:val="20"/>
          <w:szCs w:val="20"/>
          <w:color w:val="auto"/>
        </w:rPr>
        <w:t xml:space="preserve">); (b) a receiver, administrative receiver, administrator, trustee, custodian, sequestrator, conservator or similar officer includes, without limitation, a </w:t>
      </w:r>
      <w:r>
        <w:rPr>
          <w:rFonts w:ascii="Times New Roman" w:cs="Times New Roman" w:eastAsia="Times New Roman" w:hAnsi="Times New Roman"/>
          <w:sz w:val="20"/>
          <w:szCs w:val="20"/>
          <w:i w:val="1"/>
          <w:iCs w:val="1"/>
          <w:color w:val="auto"/>
        </w:rPr>
        <w:t>juge délégué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commissaire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juge-commissaire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mandataire ad hoc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administrateur provisoire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liquidateur or curateur</w:t>
      </w:r>
      <w:r>
        <w:rPr>
          <w:rFonts w:ascii="Times New Roman" w:cs="Times New Roman" w:eastAsia="Times New Roman" w:hAnsi="Times New Roman"/>
          <w:sz w:val="20"/>
          <w:szCs w:val="20"/>
          <w:color w:val="auto"/>
        </w:rPr>
        <w:t>; (c) a lien or security interest includes any</w:t>
      </w:r>
      <w:r>
        <w:rPr>
          <w:rFonts w:ascii="Times New Roman" w:cs="Times New Roman" w:eastAsia="Times New Roman" w:hAnsi="Times New Roman"/>
          <w:sz w:val="20"/>
          <w:szCs w:val="20"/>
          <w:i w:val="1"/>
          <w:iCs w:val="1"/>
          <w:color w:val="auto"/>
        </w:rPr>
        <w:t xml:space="preserve"> hypothèque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nantissement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gage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privilège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sûreté réelle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droit de rétention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any type of security in rem (</w:t>
      </w:r>
      <w:r>
        <w:rPr>
          <w:rFonts w:ascii="Times New Roman" w:cs="Times New Roman" w:eastAsia="Times New Roman" w:hAnsi="Times New Roman"/>
          <w:sz w:val="20"/>
          <w:szCs w:val="20"/>
          <w:i w:val="1"/>
          <w:iCs w:val="1"/>
          <w:color w:val="auto"/>
        </w:rPr>
        <w:t>sûreté réelle</w:t>
      </w:r>
      <w:r>
        <w:rPr>
          <w:rFonts w:ascii="Times New Roman" w:cs="Times New Roman" w:eastAsia="Times New Roman" w:hAnsi="Times New Roman"/>
          <w:sz w:val="20"/>
          <w:szCs w:val="20"/>
          <w:color w:val="auto"/>
        </w:rPr>
        <w:t>) and any transfer of title by way of security; (d) a person being unable to pay its debts includes that person being a state of cessation de paiements; (e) creditors process means an executory attachment (</w:t>
      </w:r>
      <w:r>
        <w:rPr>
          <w:rFonts w:ascii="Times New Roman" w:cs="Times New Roman" w:eastAsia="Times New Roman" w:hAnsi="Times New Roman"/>
          <w:sz w:val="20"/>
          <w:szCs w:val="20"/>
          <w:i w:val="1"/>
          <w:iCs w:val="1"/>
          <w:color w:val="auto"/>
        </w:rPr>
        <w:t>saisie exécutoire</w:t>
      </w:r>
      <w:r>
        <w:rPr>
          <w:rFonts w:ascii="Times New Roman" w:cs="Times New Roman" w:eastAsia="Times New Roman" w:hAnsi="Times New Roman"/>
          <w:sz w:val="20"/>
          <w:szCs w:val="20"/>
          <w:color w:val="auto"/>
        </w:rPr>
        <w:t>) or conservatory attachment (</w:t>
      </w:r>
      <w:r>
        <w:rPr>
          <w:rFonts w:ascii="Times New Roman" w:cs="Times New Roman" w:eastAsia="Times New Roman" w:hAnsi="Times New Roman"/>
          <w:sz w:val="20"/>
          <w:szCs w:val="20"/>
          <w:i w:val="1"/>
          <w:iCs w:val="1"/>
          <w:color w:val="auto"/>
        </w:rPr>
        <w:t>saisie conservatoire</w:t>
      </w:r>
      <w:r>
        <w:rPr>
          <w:rFonts w:ascii="Times New Roman" w:cs="Times New Roman" w:eastAsia="Times New Roman" w:hAnsi="Times New Roman"/>
          <w:sz w:val="20"/>
          <w:szCs w:val="20"/>
          <w:color w:val="auto"/>
        </w:rPr>
        <w:t>); (f) a guarantee includes any guarantee which is independent from the debt to which it relates and excludes any suretyship (</w:t>
      </w:r>
      <w:r>
        <w:rPr>
          <w:rFonts w:ascii="Times New Roman" w:cs="Times New Roman" w:eastAsia="Times New Roman" w:hAnsi="Times New Roman"/>
          <w:sz w:val="20"/>
          <w:szCs w:val="20"/>
          <w:i w:val="1"/>
          <w:iCs w:val="1"/>
          <w:color w:val="auto"/>
        </w:rPr>
        <w:t>cautionnement</w:t>
      </w:r>
      <w:r>
        <w:rPr>
          <w:rFonts w:ascii="Times New Roman" w:cs="Times New Roman" w:eastAsia="Times New Roman" w:hAnsi="Times New Roman"/>
          <w:sz w:val="20"/>
          <w:szCs w:val="20"/>
          <w:color w:val="auto"/>
        </w:rPr>
        <w:t>) within the meaning of Articles 2011 and seq. of the Luxembourg Civil Code; and (g) by-laws or constitutional documents includes its up-to-date (restated) articles of association (</w:t>
      </w:r>
      <w:r>
        <w:rPr>
          <w:rFonts w:ascii="Times New Roman" w:cs="Times New Roman" w:eastAsia="Times New Roman" w:hAnsi="Times New Roman"/>
          <w:sz w:val="20"/>
          <w:szCs w:val="20"/>
          <w:i w:val="1"/>
          <w:iCs w:val="1"/>
          <w:color w:val="auto"/>
        </w:rPr>
        <w:t>statuts coordonnés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Interest Rates; Benchmark Notification.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interest rate on a Loan denominated in an Agreed Currency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20"/>
          <w:szCs w:val="20"/>
          <w:color w:val="0000FF"/>
        </w:rPr>
        <w:t>or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CORRA Reelection Event</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6904355</wp:posOffset>
            </wp:positionH>
            <wp:positionV relativeFrom="paragraph">
              <wp:posOffset>-195580</wp:posOffset>
            </wp:positionV>
            <wp:extent cx="231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3" w:right="339" w:bottom="1440" w:gutter="0" w:footer="0" w:header="0"/>
        </w:sectPr>
      </w:pPr>
    </w:p>
    <w:bookmarkStart w:id="61" w:name="page62"/>
    <w:bookmarkEnd w:id="61"/>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3.07(b)</w:t>
      </w:r>
      <w:r>
        <w:rPr>
          <w:rFonts w:ascii="Times New Roman" w:cs="Times New Roman" w:eastAsia="Times New Roman" w:hAnsi="Times New Roman"/>
          <w:sz w:val="20"/>
          <w:szCs w:val="20"/>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unrelated to the Company and this Agreement that affect the calculation of any interest rate used in this Agreement or any alternative, successor or alternative rate (including any Benchmark Replacement) and/or any relevant adjustments thereto, in each case, in a manner adverse to the Company. The Administrative Agent may select information sources or services in its reasonable good faith discretion to ascertain any interest rate used in this Agreement,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COMMITMENTS AND CREDIT EXTENSIONS</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u w:val="single" w:color="auto"/>
          <w:color w:val="auto"/>
        </w:rPr>
        <w:t>Revolving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0" w:lineRule="auto"/>
        <w:tabs>
          <w:tab w:leader="none" w:pos="108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Subject to the terms and conditions set forth herein, each Lender severally agrees to make loans (each such loan, a “</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to the Borrowers in Dollars or in one or more Alternative Currencies from time to time on any Business Day during the Availability Period in an aggregate amount not to exceed at any time outstanding the amount of such Lender’s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Borrowing of Revolving Loans, (i) the Total Revolving Outstandings shall not exceed the Aggregate Revolving Commitments, and (ii)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Swing Line Loans shall not exceed such Lender’s Revolving Commitment. Within the limits of each Lender’s Revolving Commitment,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Revolving Loans may be Base Rate Loans, Term Benchmark Loans or RFR Loans, as further provided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Loans to Brady Finance Luxembourg and Brady SARL that are denominated in Dollars shall be Term Benchmark Loans.</w:t>
      </w:r>
    </w:p>
    <w:p>
      <w:pPr>
        <w:spacing w:after="0" w:line="199" w:lineRule="exact"/>
        <w:rPr>
          <w:rFonts w:ascii="Times New Roman" w:cs="Times New Roman" w:eastAsia="Times New Roman" w:hAnsi="Times New Roman"/>
          <w:sz w:val="20"/>
          <w:szCs w:val="20"/>
          <w:color w:val="auto"/>
        </w:rPr>
      </w:pPr>
    </w:p>
    <w:p>
      <w:pPr>
        <w:jc w:val="both"/>
        <w:ind w:firstLine="656"/>
        <w:spacing w:after="0" w:line="251" w:lineRule="auto"/>
        <w:tabs>
          <w:tab w:leader="none" w:pos="109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of Aggregate Revolving Commitments</w:t>
      </w:r>
      <w:r>
        <w:rPr>
          <w:rFonts w:ascii="Times New Roman" w:cs="Times New Roman" w:eastAsia="Times New Roman" w:hAnsi="Times New Roman"/>
          <w:sz w:val="20"/>
          <w:szCs w:val="20"/>
          <w:color w:val="auto"/>
        </w:rPr>
        <w:t xml:space="preserve">. After the Second Amendment Effective Date, the Company may at any time and from time to time, upon prior written notice by the Company to the Administrative Agent, increase the Aggregate Revolving Commitments (but not the Letter of Credit Sublimit or Swing Line Sublimit) in an aggregate amount not to exceed the sum of (x) an unlimited amount so long as, after giving effect thereto, the Consolidated Net Leverage Ratio determined on a pro forma basis (assuming no cash netting of the proceeds thereof and full funding of such increase in the Revolving Commitments) would not exceed 2.50 to 1.00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$200,000,000, with additional Revolving Commitments from any existing Lender or new Revolving Commitments from any other Person selected by the Company that would qualify as an Eligible Assignee;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3" w:right="339" w:bottom="1440" w:gutter="0" w:footer="0" w:header="0"/>
        </w:sectPr>
      </w:pPr>
    </w:p>
    <w:bookmarkStart w:id="62" w:name="page63"/>
    <w:bookmarkEnd w:id="62"/>
    <w:p>
      <w:pPr>
        <w:ind w:left="660" w:right="20" w:firstLine="644"/>
        <w:spacing w:after="0" w:line="283" w:lineRule="auto"/>
        <w:tabs>
          <w:tab w:leader="none" w:pos="195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deemed to have availed itself of amounts under clause (b)(x) above (to the extent compliant therewith) prior to availing itself of amounts under clause (b)(y) above;</w:t>
      </w:r>
    </w:p>
    <w:p>
      <w:pPr>
        <w:spacing w:after="0" w:line="14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in a minimum principal amount of $5,000,000 and in integral multiples of $5,000,000 in</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excess thereof;</w:t>
      </w:r>
    </w:p>
    <w:p>
      <w:pPr>
        <w:spacing w:after="0" w:line="200"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be continuing at the time of any such increase;</w:t>
      </w:r>
    </w:p>
    <w:p>
      <w:pPr>
        <w:spacing w:after="0" w:line="229" w:lineRule="exact"/>
        <w:rPr>
          <w:rFonts w:ascii="Times New Roman" w:cs="Times New Roman" w:eastAsia="Times New Roman" w:hAnsi="Times New Roman"/>
          <w:sz w:val="20"/>
          <w:szCs w:val="20"/>
          <w:color w:val="auto"/>
        </w:rPr>
      </w:pPr>
    </w:p>
    <w:p>
      <w:pPr>
        <w:ind w:left="660" w:firstLine="644"/>
        <w:spacing w:after="0" w:line="283" w:lineRule="auto"/>
        <w:tabs>
          <w:tab w:leader="none" w:pos="19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increase its Revolving Commitment and any such decision whether to increase its Revolving Commitment shall be in such Lender’s sole and absolute discretion;</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new Lender shall join this Agreement by executing such joinder documents reasonably required by the Administrative Agent;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documents (including resolutions of the board of directors of the Loan Parties and opinions of counsel to the Loan Parties) it may reasonably request relating to the corporate or other necessary authority for such increase, and any other matters relevant thereto, all in form and substance reasonably satisfactory to the Administrative Agent; and</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Loans are outstanding at the time of the increase in the Aggregate Revolving Commitments, the Borrowers shall, if applicable due to a nonratable increase in the Commitments, prepay one or more existing Loans (such prepayment to be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in an amount necessary such that after giving effect to the increase in the Aggregate Revolving Commitments, each Lender will hold its Pro Rata Share (based on its Pro Rata Share of the increased Aggregate Revolving Commitments) of outstanding Loans.</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shall be deemed revised to include any increase in the Commitments under this Section and to include thereon any Person that becomes a Lender pursuant to this Section.</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u w:val="single" w:color="auto"/>
          <w:color w:val="auto"/>
        </w:rPr>
        <w:t>Borrowings, Conversions and Continuations of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1" w:lineRule="auto"/>
        <w:tabs>
          <w:tab w:leader="none" w:pos="107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each conversion of Loans from one Type to the other, and each continuation of Term Benchmark Loans shall be made upon the applicable Borrower’s irrevocable notice to the Administrative Agent, which may be given by (A) telephone or (B) a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Administrative Agent of a Loan Notice. Each such notice must be received by the Administrative Agent not later than 10:00 a.m. (i) two Business Days prior to the requested date of any Borrowing of, conversion to or continuation of, Term Benchmark Loans denominated in Dollars or of any conversion of Term Benchmark Loans denominated in Dollars to Base Rate Loans, (ii) four Business Days (or five Business Days in the case of a Special Notice Currency) prior to the requested date of any Borrowing of RFR Loans or any Borrowing or continuation of Term Benchmark Loans denominated in Alternative Currencies and (iii) on the requested date of any Borrowing of Base Rate Loans. Each Borrowing of RFR Loans and each Borrowing, conversion to or continuation of Term Benchmark Loans shall be in a principal amount of $1,000,000 or a whole multiple of $1,000,000 in excess thereof. Except as provided in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each Borrowing of or conversion to Base Rate Loans shall be in a principal amount of $1,000,000 or a whole multiple of $500,000 in excess thereof. Each Loan Notice shall specify (i) whether such Borrower is requesting a Borrowing, a conversion of Loans from one Type to the other, or a continuation of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color w:val="auto"/>
        </w:rPr>
        <w:t>Benchmark Loans, (ii) the requested date of the Borrowing, conversion or continuation, as the case may be (which shall be a Business Day),</w:t>
      </w:r>
    </w:p>
    <w:p>
      <w:pPr>
        <w:spacing w:after="0" w:line="28" w:lineRule="exact"/>
        <w:rPr>
          <w:sz w:val="20"/>
          <w:szCs w:val="20"/>
          <w:color w:val="auto"/>
        </w:rPr>
      </w:pPr>
    </w:p>
    <w:p>
      <w:pPr>
        <w:jc w:val="both"/>
        <w:ind w:firstLine="8"/>
        <w:spacing w:after="0" w:line="248" w:lineRule="auto"/>
        <w:tabs>
          <w:tab w:leader="none" w:pos="3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Loans to be borrowed, converted or continued, (iv) the Type of Loans to be borrowed or to which existing Loans are to be converted, (v) if applicable, the duration of the Interest Period with respect thereto, and (vi) the currency of the Loans to be borrowed. If the applicable Borrower fails to specify a currency in a Loan Notice requesting a Borrowing, then the Loans so requested shall be made in Dollars. If the applicable Borrower fails to specify a Type of a Loan in a Loan Notice or if such Borrower fails to give a timely notice requesting a conversion or continuation, then the applicable Loans shall be made as, or converted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a failure to timely request a continuation of Loans denominated in an Alternative Currency, such Loans shall be continued as Term Benchmark Loans with an Interest Period of one month or RFR Loans, as applicable, in their original currency. Any automatic conversion to Base Rate Loans shall be effective as of the last day of the Interest Period then in effect with respect to the applicable Term Benchmark Loans. If a Borrower requests a Borrowing of, conversion to, or continuation of Term Benchmark Loans in any Loan Notice, but fails to specify an Interest Period, it will be deemed to have specified an Interest Period of one month. No Loan may be converted into or continued as a Loan denominated in a different currency, but instead must be repaid in the original currency of such Loan and reborrowed in the other currency.</w:t>
      </w:r>
    </w:p>
    <w:p>
      <w:pPr>
        <w:spacing w:after="0" w:line="197" w:lineRule="exact"/>
        <w:rPr>
          <w:rFonts w:ascii="Times New Roman" w:cs="Times New Roman" w:eastAsia="Times New Roman" w:hAnsi="Times New Roman"/>
          <w:sz w:val="20"/>
          <w:szCs w:val="20"/>
          <w:color w:val="auto"/>
        </w:rPr>
      </w:pPr>
    </w:p>
    <w:p>
      <w:pPr>
        <w:jc w:val="both"/>
        <w:ind w:firstLine="656"/>
        <w:spacing w:after="0" w:line="249" w:lineRule="auto"/>
        <w:tabs>
          <w:tab w:leader="none" w:pos="108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Loan Notice, the Administrative Agent shall promptly notify each Lender of the amount (and currency) of its Pro Rata Share of the applicable Loans, and if no timely notice of a conversion or continuation is provided by the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denominated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the Administrative Agent shall make all funds so received available to the applicable Borrower in like funds as received by the Administrative Agent either by (i) crediting the account of such Borrower on the books of BMO with the amount of such funds or (ii) wire transfer of such funds, in each case in accordance with instructions provided to (and reasonably acceptable to) the Administrative Agent by such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date the Loan Notice with respect to a Borrowing of Revolving Loans denominated in Dollars is given by a Borrower, there are L/C Borrowings outstanding, then the proceeds of such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shall be made available to such Borrower as provided above. Each Lender, at its option, may make any Loan by causing any domestic or foreign branch or Affiliate of such Lender to make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applicable Borrower to repay such Loan in accordance with the terms of this Agreement.</w:t>
      </w:r>
    </w:p>
    <w:p>
      <w:pPr>
        <w:spacing w:after="0" w:line="19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4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 Term Benchmark Loan may be continued or converted only on the last day of the Interest Period for such Term Benchmark Loan. During the existence of a Default, no Loans may be requested as, converted to or continued as Term Benchmark Loans (whether in Dollars or an Alternative Currency) without the consent of the Required Lenders, and the Required Lenders may demand that any or all of the then outstanding Term Benchmark Loans denominated in an Alternative Currency be prepaid, or redenominated into Dollars in the amount of the Dollar Equivalent thereof, on the last day of the then current Interest Period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3" w:right="339" w:bottom="1440" w:gutter="0" w:footer="0" w:header="0"/>
        </w:sectPr>
      </w:pPr>
    </w:p>
    <w:bookmarkStart w:id="64" w:name="page65"/>
    <w:bookmarkEnd w:id="64"/>
    <w:p>
      <w:pPr>
        <w:jc w:val="both"/>
        <w:ind w:firstLine="656"/>
        <w:spacing w:after="0" w:line="258" w:lineRule="auto"/>
        <w:tabs>
          <w:tab w:leader="none" w:pos="111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Borrowers and the Lenders of the interest rate applicable to any Interest Period for Term Benchmark Loans upon determination of such interest rate. At any time that Base Rate Loans are outstanding, the Administrative Agent shall notify the Borrowers and the Lenders of any change in BMO’s prime rate used in determining the Base Rate promptly following the public announcement of such change.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6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Borrowings, all conversions of Loans from one Type to the other, and all continuations of Loans as the same Type, there shall not be more than 12 Interest Periods in effect with respect to Revolving Loans.</w:t>
      </w:r>
    </w:p>
    <w:p>
      <w:pPr>
        <w:spacing w:after="0" w:line="15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not apply to Swing Line Loans.</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60" w:hanging="404"/>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15"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(A) the L/C Issuer agrees, in reliance upon the agreements of the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(1) from time to time on any Business Day during the period from the Closing Date until the Letter of Credit Expiration Date, to issue Letters of Credit denominated in Dollars or in one or more Alternative Currencies for the account of the Borrowers or any of their Subsidiaries, and to amend or extend Letters of Credit previously issued by it, in accordance with subsection (b) below, and (2) to honor drawings under the Letters of Credit; and (B) the Lenders severally agree to participate in Letters of Credit issued for the account of the Borrowers or their Subsidiaries and any drawings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L/C Credit Extension with respect to any Letter of Credit, (w) the Total Revolving Outstandings shall not exceed the Aggregate Revolving Commitments, (x)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Share of the Outstanding Amount of all Swing Line Loans shall not exceed such Lender’s Revolving Commitment or (y) the Outstanding Amount of the L/C Obligations shall not exceed the Letter of Credit Sublimit.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7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issue any Letter of Credit if:</w:t>
      </w:r>
    </w:p>
    <w:p>
      <w:pPr>
        <w:spacing w:after="0" w:line="229" w:lineRule="exact"/>
        <w:rPr>
          <w:rFonts w:ascii="Times New Roman" w:cs="Times New Roman" w:eastAsia="Times New Roman" w:hAnsi="Times New Roman"/>
          <w:sz w:val="20"/>
          <w:szCs w:val="20"/>
          <w:color w:val="auto"/>
        </w:rPr>
      </w:pPr>
    </w:p>
    <w:p>
      <w:pPr>
        <w:ind w:left="1300" w:firstLine="652"/>
        <w:spacing w:after="0" w:line="283" w:lineRule="auto"/>
        <w:tabs>
          <w:tab w:leader="none" w:pos="2403"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such requested Letter of Credit would occur more than twelve months after the date of issuance or last extension, unless the Required Lenders have approved such expiry date; or</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392"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expiry date of such requested Letter of Credit would occur after the Letter of Credit Expiration Date, unless all the Lenders have approved such expiry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the agreement of the Borrowers set forth below in this clause (B), the L/C Issuer may issue Letters of Credit with an expiry date of up to one year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13" w:right="339" w:bottom="1440" w:gutter="0" w:footer="0" w:header="0"/>
        </w:sectPr>
      </w:pPr>
    </w:p>
    <w:bookmarkStart w:id="65" w:name="page66"/>
    <w:bookmarkEnd w:id="65"/>
    <w:p>
      <w:pPr>
        <w:jc w:val="both"/>
        <w:ind w:left="180"/>
        <w:spacing w:after="0" w:line="261" w:lineRule="auto"/>
        <w:rPr>
          <w:sz w:val="20"/>
          <w:szCs w:val="20"/>
          <w:color w:val="auto"/>
        </w:rPr>
      </w:pPr>
      <w:r>
        <w:rPr>
          <w:rFonts w:ascii="Times New Roman" w:cs="Times New Roman" w:eastAsia="Times New Roman" w:hAnsi="Times New Roman"/>
          <w:sz w:val="20"/>
          <w:szCs w:val="20"/>
          <w:color w:val="auto"/>
        </w:rPr>
        <w:t>the Letter of Credit Expiration Date (but the L/C Issuer shall not have an obligation to issue such Letter of Credit). Each Borrower hereby agrees that if any Letter of Credit is issued pursuant to the foregoing proviso, it shall Cash Collateralize such Letter of Credit on the date such Letter of Credit is issued in an amount equal to the Minimum Collateral Amount.</w:t>
      </w:r>
    </w:p>
    <w:p>
      <w:pPr>
        <w:spacing w:after="0" w:line="181" w:lineRule="exact"/>
        <w:rPr>
          <w:sz w:val="20"/>
          <w:szCs w:val="20"/>
          <w:color w:val="auto"/>
        </w:rPr>
      </w:pPr>
    </w:p>
    <w:p>
      <w:pPr>
        <w:ind w:left="660" w:hanging="476"/>
        <w:spacing w:after="0"/>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180" w:firstLine="652"/>
        <w:spacing w:after="0" w:line="252" w:lineRule="auto"/>
        <w:tabs>
          <w:tab w:leader="none" w:pos="129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Second Amendment Effective Date (or, if later, the date on which such Person became the L/C Issuer), or shall impose upon the L/C Issuer any unreimbursed loss, cost or expense which was not applicable on the Second Amendment Effective Date (or, if later, the date on which such Person became the L/C Issuer) and which the L/C Issuer in good faith deems material to it;</w:t>
      </w:r>
    </w:p>
    <w:p>
      <w:pPr>
        <w:spacing w:after="0" w:line="189" w:lineRule="exact"/>
        <w:rPr>
          <w:rFonts w:ascii="Times New Roman" w:cs="Times New Roman" w:eastAsia="Times New Roman" w:hAnsi="Times New Roman"/>
          <w:sz w:val="20"/>
          <w:szCs w:val="20"/>
          <w:color w:val="auto"/>
        </w:rPr>
      </w:pPr>
    </w:p>
    <w:p>
      <w:pPr>
        <w:ind w:left="180" w:firstLine="652"/>
        <w:spacing w:after="0" w:line="269" w:lineRule="auto"/>
        <w:tabs>
          <w:tab w:leader="none" w:pos="129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72" w:lineRule="exact"/>
        <w:rPr>
          <w:rFonts w:ascii="Times New Roman" w:cs="Times New Roman" w:eastAsia="Times New Roman" w:hAnsi="Times New Roman"/>
          <w:sz w:val="20"/>
          <w:szCs w:val="20"/>
          <w:color w:val="auto"/>
        </w:rPr>
      </w:pPr>
    </w:p>
    <w:p>
      <w:pPr>
        <w:jc w:val="both"/>
        <w:ind w:left="180" w:right="20" w:firstLine="652"/>
        <w:spacing w:after="0" w:line="261" w:lineRule="auto"/>
        <w:tabs>
          <w:tab w:leader="none" w:pos="127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such Letter of Credit is in an initial stated amount less than $100,000, in the case of a commercial Letter of Credit, or $500,000, in the case of a standby Letter of Credit;</w:t>
      </w:r>
    </w:p>
    <w:p>
      <w:pPr>
        <w:spacing w:after="0" w:line="181" w:lineRule="exact"/>
        <w:rPr>
          <w:rFonts w:ascii="Times New Roman" w:cs="Times New Roman" w:eastAsia="Times New Roman" w:hAnsi="Times New Roman"/>
          <w:sz w:val="20"/>
          <w:szCs w:val="20"/>
          <w:color w:val="auto"/>
        </w:rPr>
      </w:pPr>
    </w:p>
    <w:p>
      <w:pPr>
        <w:ind w:left="180" w:firstLine="652"/>
        <w:spacing w:after="0" w:line="269" w:lineRule="auto"/>
        <w:tabs>
          <w:tab w:leader="none" w:pos="131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does not as of the issuance date of such requested Letter of Credit issue Letters of Credit in the requested currency;</w:t>
      </w:r>
    </w:p>
    <w:p>
      <w:pPr>
        <w:spacing w:after="0" w:line="172" w:lineRule="exact"/>
        <w:rPr>
          <w:rFonts w:ascii="Times New Roman" w:cs="Times New Roman" w:eastAsia="Times New Roman" w:hAnsi="Times New Roman"/>
          <w:sz w:val="20"/>
          <w:szCs w:val="20"/>
          <w:color w:val="auto"/>
        </w:rPr>
      </w:pPr>
    </w:p>
    <w:p>
      <w:pPr>
        <w:ind w:left="180" w:firstLine="652"/>
        <w:spacing w:after="0" w:line="269" w:lineRule="auto"/>
        <w:tabs>
          <w:tab w:leader="none" w:pos="1395"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 or</w:t>
      </w:r>
    </w:p>
    <w:p>
      <w:pPr>
        <w:spacing w:after="0" w:line="172"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277"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L/C Issuer has entered into arrangements, including the delivery of Cash Collateral, satisfactory to the L/C Issuer (in its sole discretion) with the applicable Borrower or such Defaulting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92" w:lineRule="exact"/>
        <w:rPr>
          <w:rFonts w:ascii="Times New Roman" w:cs="Times New Roman" w:eastAsia="Times New Roman" w:hAnsi="Times New Roman"/>
          <w:sz w:val="20"/>
          <w:szCs w:val="20"/>
          <w:color w:val="auto"/>
        </w:rPr>
      </w:pPr>
    </w:p>
    <w:p>
      <w:pPr>
        <w:ind w:left="-460" w:firstLine="644"/>
        <w:spacing w:after="0" w:line="269" w:lineRule="auto"/>
        <w:tabs>
          <w:tab w:leader="none" w:pos="65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amend any Letter of Credit if the L/C Issuer would not be permitted at such time to issue such Letter of Credit in its amended form under the terms hereof.</w:t>
      </w:r>
    </w:p>
    <w:p>
      <w:pPr>
        <w:spacing w:after="0" w:line="172" w:lineRule="exact"/>
        <w:rPr>
          <w:rFonts w:ascii="Times New Roman" w:cs="Times New Roman" w:eastAsia="Times New Roman" w:hAnsi="Times New Roman"/>
          <w:sz w:val="20"/>
          <w:szCs w:val="20"/>
          <w:color w:val="auto"/>
        </w:rPr>
      </w:pPr>
    </w:p>
    <w:p>
      <w:pPr>
        <w:ind w:left="-460" w:firstLine="644"/>
        <w:spacing w:after="0" w:line="269"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such Letter of Credit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120"/>
          </w:cols>
          <w:pgMar w:left="1440" w:top="1413" w:right="339" w:bottom="1440" w:gutter="0" w:footer="0" w:header="0"/>
        </w:sectPr>
      </w:pPr>
    </w:p>
    <w:bookmarkStart w:id="66" w:name="page67"/>
    <w:bookmarkEnd w:id="66"/>
    <w:p>
      <w:pPr>
        <w:ind w:left="4" w:right="20"/>
        <w:spacing w:after="0" w:line="283" w:lineRule="auto"/>
        <w:rPr>
          <w:sz w:val="20"/>
          <w:szCs w:val="20"/>
          <w:color w:val="auto"/>
        </w:rPr>
      </w:pPr>
      <w:r>
        <w:rPr>
          <w:rFonts w:ascii="Times New Roman" w:cs="Times New Roman" w:eastAsia="Times New Roman" w:hAnsi="Times New Roman"/>
          <w:sz w:val="20"/>
          <w:szCs w:val="20"/>
          <w:color w:val="auto"/>
        </w:rPr>
        <w:t>amended form under the terms hereof, or (B) the beneficiary of such Letter of Credit does not accept the proposed amendment to such Letter of Credit.</w:t>
      </w:r>
    </w:p>
    <w:p>
      <w:pPr>
        <w:spacing w:after="0" w:line="146" w:lineRule="exact"/>
        <w:rPr>
          <w:sz w:val="20"/>
          <w:szCs w:val="20"/>
          <w:color w:val="auto"/>
        </w:rPr>
      </w:pPr>
    </w:p>
    <w:p>
      <w:pPr>
        <w:jc w:val="both"/>
        <w:ind w:left="4" w:firstLine="644"/>
        <w:spacing w:after="0" w:line="251" w:lineRule="auto"/>
        <w:tabs>
          <w:tab w:leader="none" w:pos="1145"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included the L/C Issuer with respect to such acts or omissions (it being understood that this clause (A) shall apply to the relationship among the L/C Issuer and the Lenders and shall not impair the obligations of the L/C Issuer to the Company or any of its Subsidiaries under the terms of the applicable Letters of Credit and Issuer Documents) and (B) as additionally provided herein with respect to the L/C Issuer.</w:t>
      </w:r>
    </w:p>
    <w:p>
      <w:pPr>
        <w:spacing w:after="0" w:line="195" w:lineRule="exact"/>
        <w:rPr>
          <w:rFonts w:ascii="Times New Roman" w:cs="Times New Roman" w:eastAsia="Times New Roman" w:hAnsi="Times New Roman"/>
          <w:sz w:val="20"/>
          <w:szCs w:val="20"/>
          <w:color w:val="auto"/>
        </w:rPr>
      </w:pPr>
    </w:p>
    <w:p>
      <w:pPr>
        <w:ind w:left="404" w:hanging="404"/>
        <w:spacing w:after="0"/>
        <w:tabs>
          <w:tab w:leader="none" w:pos="4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 Credit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48" w:lineRule="auto"/>
        <w:tabs>
          <w:tab w:leader="none" w:pos="110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applicable Borrower delivered to the L/C Issuer (with a copy to the Administrative Agent) in the form of a Letter of Credit Application, appropriately completed and signed by a Responsible Officer of such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(A) not later than 11:00 a.m. at least two Business Days prior to the proposed issuance date or date of amendment, as the case may be, of any Letter of Credit denominated in Dollars, and (B) not later than 11:00 a.m. at least ten Business Days prior to the proposed issuance date or date of amendment, as the case may be, of any Letter of Credit denominated in an Alternative Currency; or in each case such later date and time as the Administrative Agent and the L/C Issuer may agree in a particular instance in their sole discretion.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84"/>
          </w:cols>
          <w:pgMar w:left="976" w:top="1413" w:right="339" w:bottom="1440" w:gutter="0" w:footer="0" w:header="0"/>
        </w:sectPr>
      </w:pPr>
    </w:p>
    <w:bookmarkStart w:id="67" w:name="page68"/>
    <w:bookmarkEnd w:id="67"/>
    <w:p>
      <w:pPr>
        <w:jc w:val="both"/>
        <w:ind w:left="4" w:firstLine="644"/>
        <w:spacing w:after="0" w:line="250" w:lineRule="auto"/>
        <w:tabs>
          <w:tab w:leader="none" w:pos="111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applicable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shall not be satisfied, then, 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times the amount of such Letter of Credit.</w:t>
      </w:r>
    </w:p>
    <w:p>
      <w:pPr>
        <w:spacing w:after="0" w:line="199" w:lineRule="exact"/>
        <w:rPr>
          <w:rFonts w:ascii="Times New Roman" w:cs="Times New Roman" w:eastAsia="Times New Roman" w:hAnsi="Times New Roman"/>
          <w:sz w:val="20"/>
          <w:szCs w:val="20"/>
          <w:color w:val="auto"/>
        </w:rPr>
      </w:pPr>
    </w:p>
    <w:p>
      <w:pPr>
        <w:jc w:val="both"/>
        <w:ind w:left="4" w:firstLine="644"/>
        <w:spacing w:after="0" w:line="248" w:lineRule="auto"/>
        <w:tabs>
          <w:tab w:leader="none" w:pos="116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Borrower so requests in any applicable Letter of Credit Application, the L/C Issuer may, in its sole and absolute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provided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last expiry date permitted under </w:t>
      </w:r>
      <w:r>
        <w:rPr>
          <w:rFonts w:ascii="Times New Roman" w:cs="Times New Roman" w:eastAsia="Times New Roman" w:hAnsi="Times New Roman"/>
          <w:sz w:val="20"/>
          <w:szCs w:val="20"/>
          <w:u w:val="single" w:color="auto"/>
          <w:color w:val="auto"/>
        </w:rPr>
        <w:t>Section 2.03(a)(ii)(B)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is not then satisfied, and in each case directing the L/C Issuer not to permit such extension.</w:t>
      </w:r>
    </w:p>
    <w:p>
      <w:pPr>
        <w:spacing w:after="0" w:line="207"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72"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181" w:lineRule="exact"/>
        <w:rPr>
          <w:rFonts w:ascii="Times New Roman" w:cs="Times New Roman" w:eastAsia="Times New Roman" w:hAnsi="Times New Roman"/>
          <w:sz w:val="20"/>
          <w:szCs w:val="20"/>
          <w:color w:val="auto"/>
        </w:rPr>
      </w:pPr>
    </w:p>
    <w:p>
      <w:pPr>
        <w:ind w:left="404" w:hanging="404"/>
        <w:spacing w:after="0"/>
        <w:tabs>
          <w:tab w:leader="none" w:pos="4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032"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drawing under such Letter of Credit, the L/C Issuer shall notify the applicable Borrower and the Administrative Agent thereof. In the case of a Letter of Credit denominated in an Alternative Currency, the applicable Borrower shall reimburse the L/C Issuer in such Alternative Currency, unless (A) the L/C Issuer (at its option) shall have specified in such notice that it will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84"/>
          </w:cols>
          <w:pgMar w:left="976" w:top="1413" w:right="339" w:bottom="1440" w:gutter="0" w:footer="0" w:header="0"/>
        </w:sectPr>
      </w:pPr>
    </w:p>
    <w:bookmarkStart w:id="68" w:name="page69"/>
    <w:bookmarkEnd w:id="68"/>
    <w:p>
      <w:pPr>
        <w:jc w:val="both"/>
        <w:spacing w:after="0" w:line="249" w:lineRule="auto"/>
        <w:rPr>
          <w:sz w:val="20"/>
          <w:szCs w:val="20"/>
          <w:color w:val="auto"/>
        </w:rPr>
      </w:pPr>
      <w:r>
        <w:rPr>
          <w:rFonts w:ascii="Times New Roman" w:cs="Times New Roman" w:eastAsia="Times New Roman" w:hAnsi="Times New Roman"/>
          <w:sz w:val="20"/>
          <w:szCs w:val="20"/>
          <w:color w:val="auto"/>
        </w:rPr>
        <w:t>reimbursement in Dollars, or (B) in the absence of any such requirement for reimbursement in Dollars, the Company shall have notified the L/C Issuer promptly following receipt of the notice of drawing that such Borrower will reimburse the L/C Issuer in Dollars. In the case of any such reimbursement in Dollars of a drawing under a Letter of Credit denominated in an Alternative Currency, the L/C Issuer shall notify the applicable Borrower of the Dollar Equivalent of the amount of the drawing promptly following the determination thereof. Not later than 11:00 a.m. on the Business Day following the date of any payment by the L/C Issuer under a Letter of Credit to be reimbursed in Dollars, or the Applicable Time on the Business Day following the date of any payment by the L/C Issuer under a Letter of Credit to be reimbursed in an Alternative Currency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the applicable Borrower shall reimburse the L/C Issuer through the Administrative Agent in an amount equal to the amount of such drawing and in the applicable currency (together with interest thereon). If the applicable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Lender’s Pro Rata Share thereof. In such event, the applicable Borrower shall be deemed to have requested a Borrowing of Revolving Loans that are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w:t>
      </w:r>
      <w:r>
        <w:rPr>
          <w:rFonts w:ascii="Times New Roman" w:cs="Times New Roman" w:eastAsia="Times New Roman" w:hAnsi="Times New Roman"/>
          <w:sz w:val="20"/>
          <w:szCs w:val="20"/>
          <w:color w:val="auto"/>
        </w:rPr>
        <w:t xml:space="preserve"> for the principal amount of Base Rate Loans, but subject to the unutilized portion of the Aggregate Revolving Commitments and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the delivery of a Loan Notice). Any notice given by the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(including by facsimile or e-mail if permitted by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92" w:lineRule="exact"/>
        <w:rPr>
          <w:sz w:val="20"/>
          <w:szCs w:val="20"/>
          <w:color w:val="auto"/>
        </w:rPr>
      </w:pPr>
    </w:p>
    <w:p>
      <w:pPr>
        <w:jc w:val="both"/>
        <w:ind w:firstLine="644"/>
        <w:spacing w:after="0" w:line="253" w:lineRule="auto"/>
        <w:tabs>
          <w:tab w:leader="none" w:pos="10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(and the Administrative Agent may apply Cash Collateral provided for this purpose) to the Administrative Agent for the account of the L/C Issuer, in Dollars, at the Administrative Agent’s Office for Dollar-denominated payments in an amount equal to its Pro Rata Share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Lender that so makes funds available shall be deemed to have made a Revolving Loan that is a Base Rate Loan to the applicable Borrower in such amount. The Administrative Agent shall remit the funds so received to the L/C Issuer in Dollars.</w:t>
      </w:r>
    </w:p>
    <w:p>
      <w:pPr>
        <w:spacing w:after="0" w:line="179" w:lineRule="exact"/>
        <w:rPr>
          <w:rFonts w:ascii="Times New Roman" w:cs="Times New Roman" w:eastAsia="Times New Roman" w:hAnsi="Times New Roman"/>
          <w:sz w:val="20"/>
          <w:szCs w:val="20"/>
          <w:color w:val="auto"/>
        </w:rPr>
      </w:pPr>
    </w:p>
    <w:p>
      <w:pPr>
        <w:jc w:val="both"/>
        <w:ind w:firstLine="644"/>
        <w:spacing w:after="0" w:line="253" w:lineRule="auto"/>
        <w:tabs>
          <w:tab w:leader="none" w:pos="117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Borrowing of Revolving Loans that are Base Rate Loans because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cannot be satisfied or for any other reason, the applicable Borrower shall be deemed to have incurred from the L/C Issuer an L/C Borrowing in the amount of the Unreimbursed Amount that is not so refinanced, which L/C Borrowing shall be due and payable promptly on demand (together with interest) and shall bear interest at the Default Rate. In such event, each Lender’s payment to the Administrative Agent for the account of the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80"/>
          </w:cols>
          <w:pgMar w:left="980" w:top="1413" w:right="339" w:bottom="1440" w:gutter="0" w:footer="0" w:header="0"/>
        </w:sectPr>
      </w:pPr>
    </w:p>
    <w:bookmarkStart w:id="69" w:name="page70"/>
    <w:bookmarkEnd w:id="69"/>
    <w:p>
      <w:pPr>
        <w:jc w:val="both"/>
        <w:ind w:left="4" w:right="20" w:firstLine="644"/>
        <w:spacing w:after="0" w:line="261" w:lineRule="auto"/>
        <w:tabs>
          <w:tab w:leader="none" w:pos="1185"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Lender funds its Revolving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L/C Issuer for any amount drawn under any Letter of Credit, interest in respect of such Lender’s Pro Rata Share of such amount shall be solely for the account of the L/C Issuer.</w:t>
      </w:r>
    </w:p>
    <w:p>
      <w:pPr>
        <w:spacing w:after="0" w:line="181" w:lineRule="exact"/>
        <w:rPr>
          <w:rFonts w:ascii="Times New Roman" w:cs="Times New Roman" w:eastAsia="Times New Roman" w:hAnsi="Times New Roman"/>
          <w:sz w:val="20"/>
          <w:szCs w:val="20"/>
          <w:color w:val="auto"/>
        </w:rPr>
      </w:pPr>
    </w:p>
    <w:p>
      <w:pPr>
        <w:jc w:val="both"/>
        <w:ind w:left="4" w:firstLine="644"/>
        <w:spacing w:after="0" w:line="252" w:lineRule="auto"/>
        <w:tabs>
          <w:tab w:leader="none" w:pos="110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L/C Advances to reimburse the L/C Issuer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L/C Issuer,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delivery by the applicable Borrower of a Loan Notice). No such making of an L/C Advance shall relieve or otherwise impair the obligation of any Borrower to reimburse the L/C Issuer for the amount of any payment made by the L/C Issuer under any Letter of Credit, together with interest as provided herein.</w:t>
      </w:r>
    </w:p>
    <w:p>
      <w:pPr>
        <w:spacing w:after="0" w:line="175" w:lineRule="exact"/>
        <w:rPr>
          <w:rFonts w:ascii="Times New Roman" w:cs="Times New Roman" w:eastAsia="Times New Roman" w:hAnsi="Times New Roman"/>
          <w:sz w:val="20"/>
          <w:szCs w:val="20"/>
          <w:color w:val="auto"/>
        </w:rPr>
      </w:pPr>
    </w:p>
    <w:p>
      <w:pPr>
        <w:jc w:val="both"/>
        <w:ind w:left="4" w:firstLine="644"/>
        <w:spacing w:after="0" w:line="250" w:lineRule="auto"/>
        <w:tabs>
          <w:tab w:leader="none" w:pos="1226"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2.03(c)(ii)</w:t>
      </w:r>
      <w:r>
        <w:rPr>
          <w:rFonts w:ascii="Times New Roman" w:cs="Times New Roman" w:eastAsia="Times New Roman" w:hAnsi="Times New Roman"/>
          <w:sz w:val="20"/>
          <w:szCs w:val="20"/>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196" w:lineRule="exact"/>
        <w:rPr>
          <w:rFonts w:ascii="Times New Roman" w:cs="Times New Roman" w:eastAsia="Times New Roman" w:hAnsi="Times New Roman"/>
          <w:sz w:val="20"/>
          <w:szCs w:val="20"/>
          <w:color w:val="auto"/>
        </w:rPr>
      </w:pPr>
    </w:p>
    <w:p>
      <w:pPr>
        <w:ind w:left="404" w:hanging="404"/>
        <w:spacing w:after="0"/>
        <w:tabs>
          <w:tab w:leader="none" w:pos="40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03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L/C Issuer has made a payment under any Letter of Credit and has received from any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Pro Rata Share thereof in Dollars and in the same funds as those received by the Administrative Agent.</w:t>
      </w:r>
    </w:p>
    <w:p>
      <w:pPr>
        <w:spacing w:after="0" w:line="178"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08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L/C Issuer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L/C Issuer in its discretion), each Lender shall pay to the Administrative Agent for the account of the L/C Issuer its Pro Rata Share thereof on demand of the Administrative Agent, plus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84"/>
          </w:cols>
          <w:pgMar w:left="976" w:top="1413" w:right="339" w:bottom="1440" w:gutter="0" w:footer="0" w:header="0"/>
        </w:sectPr>
      </w:pPr>
    </w:p>
    <w:bookmarkStart w:id="70" w:name="page71"/>
    <w:bookmarkEnd w:id="70"/>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81" w:lineRule="exact"/>
        <w:rPr>
          <w:sz w:val="20"/>
          <w:szCs w:val="20"/>
          <w:color w:val="auto"/>
        </w:rPr>
      </w:pPr>
    </w:p>
    <w:p>
      <w:pPr>
        <w:jc w:val="both"/>
        <w:ind w:firstLine="656"/>
        <w:spacing w:after="0" w:line="261" w:lineRule="auto"/>
        <w:tabs>
          <w:tab w:leader="none" w:pos="10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1"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4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5"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82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772"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any Borrower or any waiver by the L/C Issuer which does not in fact materially prejudice any Borrower;</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82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 form of a draft;</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69"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937"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Borrowers or any Subsidiary or in the relevant currency markets generally;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3" w:right="339" w:bottom="1440" w:gutter="0" w:footer="0" w:header="0"/>
        </w:sectPr>
      </w:pPr>
    </w:p>
    <w:bookmarkStart w:id="71" w:name="page72"/>
    <w:bookmarkEnd w:id="71"/>
    <w:p>
      <w:pPr>
        <w:ind w:left="660" w:right="20" w:firstLine="644"/>
        <w:spacing w:after="0" w:line="283" w:lineRule="auto"/>
        <w:tabs>
          <w:tab w:leader="none" w:pos="181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Borrowers or any Subsidiary.</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applicable Borrower shall promptly examine a copy of each Letter of Credit and each amendment thereto that is delivered to it and, in the event of any claim of noncompliance with such Borrower’s instructions or other irregularity, such Borrower will promptly notify the L/C Issuer. The Borrowers shall be conclusively deemed to have waived any such claim against the L/C Issuer and its correspondents unless such notice is given as aforesaid.</w:t>
      </w:r>
    </w:p>
    <w:p>
      <w:pPr>
        <w:spacing w:after="0" w:line="186" w:lineRule="exact"/>
        <w:rPr>
          <w:sz w:val="20"/>
          <w:szCs w:val="20"/>
          <w:color w:val="auto"/>
        </w:rPr>
      </w:pPr>
    </w:p>
    <w:p>
      <w:pPr>
        <w:jc w:val="both"/>
        <w:ind w:firstLine="656"/>
        <w:spacing w:after="0" w:line="248" w:lineRule="auto"/>
        <w:tabs>
          <w:tab w:leader="none" w:pos="105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w:t>
      </w:r>
      <w:r>
        <w:rPr>
          <w:rFonts w:ascii="Times New Roman" w:cs="Times New Roman" w:eastAsia="Times New Roman" w:hAnsi="Times New Roman"/>
          <w:sz w:val="20"/>
          <w:szCs w:val="20"/>
          <w:color w:val="auto"/>
        </w:rPr>
        <w:t xml:space="preserve">. Each Lender and each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any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212" w:lineRule="exact"/>
        <w:rPr>
          <w:rFonts w:ascii="Times New Roman" w:cs="Times New Roman" w:eastAsia="Times New Roman" w:hAnsi="Times New Roman"/>
          <w:sz w:val="20"/>
          <w:szCs w:val="20"/>
          <w:color w:val="auto"/>
        </w:rPr>
      </w:pPr>
    </w:p>
    <w:p>
      <w:pPr>
        <w:ind w:firstLine="656"/>
        <w:spacing w:after="0" w:line="269" w:lineRule="auto"/>
        <w:tabs>
          <w:tab w:leader="none" w:pos="107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w:t>
      </w:r>
      <w:r>
        <w:rPr>
          <w:rFonts w:ascii="Times New Roman" w:cs="Times New Roman" w:eastAsia="Times New Roman" w:hAnsi="Times New Roman"/>
          <w:sz w:val="20"/>
          <w:szCs w:val="20"/>
          <w:color w:val="auto"/>
        </w:rPr>
        <w:t>. Unless otherwise expressly agreed by the L/C Issuer and the applicable Borrower when a Letter of Credit is issued (including any such agreement applicable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52" w:lineRule="auto"/>
        <w:rPr>
          <w:sz w:val="20"/>
          <w:szCs w:val="20"/>
          <w:color w:val="auto"/>
        </w:rPr>
      </w:pPr>
      <w:r>
        <w:rPr>
          <w:rFonts w:ascii="Times New Roman" w:cs="Times New Roman" w:eastAsia="Times New Roman" w:hAnsi="Times New Roman"/>
          <w:sz w:val="20"/>
          <w:szCs w:val="20"/>
          <w:color w:val="auto"/>
        </w:rPr>
        <w:t>Existing Letter of Credit), (i) the rules of the ISP shall apply to each standby Letter of Credit, and (ii) the rules of the UCP shall apply to each commercial Letter of Credit (it being understood that the applicable Borrower may request that any particular Letter of Credit be governed by either the ISP or the UCP, as selected by such Borrower or the beneficiary of such Letter of Credit). Notwithstanding the foregoing, the L/C Issuer shall not be responsible to any Borrower for, and the L/C Issuer’s rights and remedies against such Borrower shall not be impaired by, any action or inaction of the L/C Issuer required under any Law or practice that is required to be applied to any Letter of Credit, including the Law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6" w:lineRule="exact"/>
        <w:rPr>
          <w:sz w:val="20"/>
          <w:szCs w:val="20"/>
          <w:color w:val="auto"/>
        </w:rPr>
      </w:pPr>
    </w:p>
    <w:p>
      <w:pPr>
        <w:jc w:val="both"/>
        <w:ind w:firstLine="656"/>
        <w:spacing w:after="0" w:line="266" w:lineRule="auto"/>
        <w:tabs>
          <w:tab w:leader="none" w:pos="1153"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Fees</w:t>
      </w:r>
      <w:r>
        <w:rPr>
          <w:rFonts w:ascii="Times New Roman" w:cs="Times New Roman" w:eastAsia="Times New Roman" w:hAnsi="Times New Roman"/>
          <w:sz w:val="19"/>
          <w:szCs w:val="19"/>
          <w:color w:val="auto"/>
        </w:rPr>
        <w:t xml:space="preserve">. The Borrowers shall pay to the Administrative Agent for the account of each Lender in accordance, subject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with its Pro Rata Share, in Dollars, a Letter of Credit fee (the “</w:t>
      </w:r>
      <w:r>
        <w:rPr>
          <w:rFonts w:ascii="Times New Roman" w:cs="Times New Roman" w:eastAsia="Times New Roman" w:hAnsi="Times New Roman"/>
          <w:sz w:val="19"/>
          <w:szCs w:val="19"/>
          <w:u w:val="single" w:color="auto"/>
          <w:color w:val="auto"/>
        </w:rPr>
        <w:t>Letter of Credit Fee</w:t>
      </w:r>
      <w:r>
        <w:rPr>
          <w:rFonts w:ascii="Times New Roman" w:cs="Times New Roman" w:eastAsia="Times New Roman" w:hAnsi="Times New Roman"/>
          <w:sz w:val="19"/>
          <w:szCs w:val="19"/>
          <w:color w:val="auto"/>
        </w:rPr>
        <w:t xml:space="preserve">”) for each Letter of Credit equal to the Applicable Rate times the Dollar Equivalent of the actual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9"/>
          <w:szCs w:val="19"/>
          <w:u w:val="single" w:color="auto"/>
          <w:color w:val="auto"/>
        </w:rPr>
        <w:t>Section 1.10</w:t>
      </w:r>
      <w:r>
        <w:rPr>
          <w:rFonts w:ascii="Times New Roman" w:cs="Times New Roman" w:eastAsia="Times New Roman" w:hAnsi="Times New Roman"/>
          <w:sz w:val="19"/>
          <w:szCs w:val="19"/>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70" w:lineRule="exact"/>
        <w:rPr>
          <w:rFonts w:ascii="Times New Roman" w:cs="Times New Roman" w:eastAsia="Times New Roman" w:hAnsi="Times New Roman"/>
          <w:sz w:val="19"/>
          <w:szCs w:val="19"/>
          <w:color w:val="auto"/>
        </w:rPr>
      </w:pPr>
    </w:p>
    <w:p>
      <w:pPr>
        <w:jc w:val="both"/>
        <w:ind w:firstLine="656"/>
        <w:spacing w:after="0" w:line="264" w:lineRule="auto"/>
        <w:tabs>
          <w:tab w:leader="none" w:pos="109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Fronting Fee and Documentary and Processing Charges Payable to L/C Issuer</w:t>
      </w:r>
      <w:r>
        <w:rPr>
          <w:rFonts w:ascii="Times New Roman" w:cs="Times New Roman" w:eastAsia="Times New Roman" w:hAnsi="Times New Roman"/>
          <w:sz w:val="19"/>
          <w:szCs w:val="19"/>
          <w:color w:val="auto"/>
        </w:rPr>
        <w:t xml:space="preserve">. The Borrowers shall pay directly to the L/C Issuer for its own account, in Dollars, a fronting fee (i) with respect to each commercial Letter of Credit, at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color w:val="auto"/>
        </w:rPr>
        <w:t xml:space="preserve"> rate </w:t>
      </w:r>
      <w:r>
        <w:rPr>
          <w:rFonts w:ascii="Times New Roman" w:cs="Times New Roman" w:eastAsia="Times New Roman" w:hAnsi="Times New Roman"/>
          <w:sz w:val="19"/>
          <w:szCs w:val="19"/>
          <w:color w:val="FF0000"/>
          <w:strike w:val="1"/>
        </w:rPr>
        <w:t>specified in the Fee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Letter</w:t>
      </w:r>
      <w:r>
        <w:rPr>
          <w:rFonts w:ascii="Times New Roman" w:cs="Times New Roman" w:eastAsia="Times New Roman" w:hAnsi="Times New Roman"/>
          <w:sz w:val="19"/>
          <w:szCs w:val="19"/>
          <w:u w:val="single" w:color="auto"/>
          <w:color w:val="0000FF"/>
        </w:rPr>
        <w:t>equal to 0.125%</w:t>
      </w:r>
      <w:r>
        <w:rPr>
          <w:rFonts w:ascii="Times New Roman" w:cs="Times New Roman" w:eastAsia="Times New Roman" w:hAnsi="Times New Roman"/>
          <w:sz w:val="19"/>
          <w:szCs w:val="19"/>
          <w:color w:val="000000"/>
        </w:rPr>
        <w:t>, computed on the Dollar Equivalent of the amount of such Letter of Credit, and payable upon the issuance thereof, (ii)</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with respect to any amendment of a commercial Letter of Credit increasing the amount of such Letter of Credit, at a rate </w:t>
      </w:r>
      <w:r>
        <w:rPr>
          <w:rFonts w:ascii="Times New Roman" w:cs="Times New Roman" w:eastAsia="Times New Roman" w:hAnsi="Times New Roman"/>
          <w:sz w:val="19"/>
          <w:szCs w:val="19"/>
          <w:color w:val="FF0000"/>
          <w:strike w:val="1"/>
        </w:rPr>
        <w:t>separately agreed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between the Borrowers and the L/C Issuer</w:t>
      </w:r>
      <w:r>
        <w:rPr>
          <w:rFonts w:ascii="Times New Roman" w:cs="Times New Roman" w:eastAsia="Times New Roman" w:hAnsi="Times New Roman"/>
          <w:sz w:val="19"/>
          <w:szCs w:val="19"/>
          <w:u w:val="single" w:color="auto"/>
          <w:color w:val="0000FF"/>
        </w:rPr>
        <w:t>equal to 0.125%</w:t>
      </w:r>
      <w:r>
        <w:rPr>
          <w:rFonts w:ascii="Times New Roman" w:cs="Times New Roman" w:eastAsia="Times New Roman" w:hAnsi="Times New Roman"/>
          <w:sz w:val="19"/>
          <w:szCs w:val="19"/>
          <w:color w:val="000000"/>
        </w:rPr>
        <w:t>, computed on the Dollar Equivalent of the amount of such increase, and payable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upon the effectiveness of such amendment, and (iii) with respect to each standby Letter of Credit, at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color w:val="000000"/>
        </w:rPr>
        <w:t xml:space="preserve"> rate </w:t>
      </w:r>
      <w:r>
        <w:rPr>
          <w:rFonts w:ascii="Times New Roman" w:cs="Times New Roman" w:eastAsia="Times New Roman" w:hAnsi="Times New Roman"/>
          <w:sz w:val="19"/>
          <w:szCs w:val="19"/>
          <w:color w:val="FF0000"/>
          <w:strike w:val="1"/>
        </w:rPr>
        <w:t>per annum specified in the Fee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Letter</w:t>
      </w:r>
      <w:r>
        <w:rPr>
          <w:rFonts w:ascii="Times New Roman" w:cs="Times New Roman" w:eastAsia="Times New Roman" w:hAnsi="Times New Roman"/>
          <w:sz w:val="19"/>
          <w:szCs w:val="19"/>
          <w:u w:val="single" w:color="auto"/>
          <w:color w:val="0000FF"/>
        </w:rPr>
        <w:t>equal to 0.125%</w:t>
      </w:r>
      <w:r>
        <w:rPr>
          <w:rFonts w:ascii="Times New Roman" w:cs="Times New Roman" w:eastAsia="Times New Roman" w:hAnsi="Times New Roman"/>
          <w:sz w:val="19"/>
          <w:szCs w:val="19"/>
          <w:color w:val="000000"/>
        </w:rPr>
        <w:t>, computed on the Dollar Equivalent of the daily amount available to be drawn under such Letter of Credit</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and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payable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on a quarterly basis in arrears. Such fronting fee for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9"/>
          <w:szCs w:val="19"/>
          <w:u w:val="single" w:color="auto"/>
          <w:color w:val="000000"/>
        </w:rPr>
        <w:t>Section 1.10</w:t>
      </w:r>
      <w:r>
        <w:rPr>
          <w:rFonts w:ascii="Times New Roman" w:cs="Times New Roman" w:eastAsia="Times New Roman" w:hAnsi="Times New Roman"/>
          <w:sz w:val="19"/>
          <w:szCs w:val="19"/>
          <w:color w:val="000000"/>
        </w:rPr>
        <w:t>. In addition, the Borrowers shall pay directly to the L/C Issuer for its own account the customary issuance, presentation, amendment and other processing fees, and other standard costs and charges, of the L/C Issuer relating to letters of credit as from time to time in effect, in Dollars or such Alternative Currency as shall be separately agreed. Such customary fees and standard costs and charges are due and payable promptly on demand and are nonrefundable.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13" w:right="339" w:bottom="1440" w:gutter="0" w:footer="0" w:header="0"/>
        </w:sectPr>
      </w:pPr>
    </w:p>
    <w:bookmarkStart w:id="73" w:name="page74"/>
    <w:bookmarkEnd w:id="73"/>
    <w:p>
      <w:pPr>
        <w:ind w:firstLine="656"/>
        <w:spacing w:after="0" w:line="283" w:lineRule="auto"/>
        <w:tabs>
          <w:tab w:leader="none" w:pos="101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05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Borrowers shall be obligated to reimburse the L/C Issuer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2" w:lineRule="auto"/>
        <w:tabs>
          <w:tab w:leader="none" w:pos="1196"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Swing Line Facility</w:t>
      </w:r>
      <w:r>
        <w:rPr>
          <w:rFonts w:ascii="Times New Roman" w:cs="Times New Roman" w:eastAsia="Times New Roman" w:hAnsi="Times New Roman"/>
          <w:sz w:val="19"/>
          <w:szCs w:val="19"/>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shall make loans (each such loan, a “</w:t>
      </w:r>
      <w:r>
        <w:rPr>
          <w:rFonts w:ascii="Times New Roman" w:cs="Times New Roman" w:eastAsia="Times New Roman" w:hAnsi="Times New Roman"/>
          <w:sz w:val="19"/>
          <w:szCs w:val="19"/>
          <w:u w:val="single" w:color="auto"/>
          <w:color w:val="auto"/>
        </w:rPr>
        <w:t>Swing Line Loan</w:t>
      </w:r>
      <w:r>
        <w:rPr>
          <w:rFonts w:ascii="Times New Roman" w:cs="Times New Roman" w:eastAsia="Times New Roman" w:hAnsi="Times New Roman"/>
          <w:sz w:val="19"/>
          <w:szCs w:val="19"/>
          <w:color w:val="auto"/>
        </w:rPr>
        <w:t xml:space="preserve">”) to the Domestic Borrowers in Dollars from time to time on any Business Day during the Availability Period in an Outstanding Amount not to exceed at any time outstanding the amount of the Swing Line Sublimit, notwithstanding the fact that such Swing Line Loans, when aggregated with the Pro Rata Share of the Outstanding Amount of Revolving Loans and L/C Obligations of the Swing Line Lender in its capacity as a Lender of Revolving Loans, may exceed the amount of such Lender’s Revolving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after giving effect to any Swing Line Loan, (A) the Total Revolving Outstandings shall not exceed the Aggregate Revolving Commitments and (B) the aggregate Outstanding Amount of the Revolving Loans of any Lender, plus such Lender’s Pro Rata Share of the Outstanding Amount of all L/C Obligations, plus such Lender’s Pro Rata Share of the Outstanding Amount of all Swing Line Loans shall not exceed such Lender’s Revolving Commitment, (ii) no Borrower shall use the proceeds of any Swing Line Loan to refinance any outstanding Swing Line Loan and</w:t>
      </w:r>
    </w:p>
    <w:p>
      <w:pPr>
        <w:spacing w:after="0" w:line="6" w:lineRule="exact"/>
        <w:rPr>
          <w:rFonts w:ascii="Times New Roman" w:cs="Times New Roman" w:eastAsia="Times New Roman" w:hAnsi="Times New Roman"/>
          <w:sz w:val="19"/>
          <w:szCs w:val="19"/>
          <w:color w:val="auto"/>
        </w:rPr>
      </w:pPr>
    </w:p>
    <w:p>
      <w:pPr>
        <w:jc w:val="both"/>
        <w:ind w:firstLine="8"/>
        <w:spacing w:after="0" w:line="248" w:lineRule="auto"/>
        <w:tabs>
          <w:tab w:leader="none" w:pos="3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shall not be under any obligation to make any Swing Line Loan if it shall reasonably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Each Swing Line Loan shall be a Base Rate Loan and bear interest at a rate per annum determined in accordance with </w:t>
      </w:r>
      <w:r>
        <w:rPr>
          <w:rFonts w:ascii="Times New Roman" w:cs="Times New Roman" w:eastAsia="Times New Roman" w:hAnsi="Times New Roman"/>
          <w:sz w:val="20"/>
          <w:szCs w:val="20"/>
          <w:u w:val="single" w:color="auto"/>
          <w:color w:val="auto"/>
        </w:rPr>
        <w:t>Section 2.08(a)</w:t>
      </w:r>
      <w:r>
        <w:rPr>
          <w:rFonts w:ascii="Times New Roman" w:cs="Times New Roman" w:eastAsia="Times New Roman" w:hAnsi="Times New Roman"/>
          <w:sz w:val="20"/>
          <w:szCs w:val="20"/>
          <w:color w:val="auto"/>
        </w:rPr>
        <w:t>.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times the amount of such Swing Line Loan.</w:t>
      </w:r>
    </w:p>
    <w:p>
      <w:pPr>
        <w:spacing w:after="0" w:line="197" w:lineRule="exact"/>
        <w:rPr>
          <w:rFonts w:ascii="Times New Roman" w:cs="Times New Roman" w:eastAsia="Times New Roman" w:hAnsi="Times New Roman"/>
          <w:sz w:val="20"/>
          <w:szCs w:val="20"/>
          <w:color w:val="auto"/>
        </w:rPr>
      </w:pPr>
    </w:p>
    <w:p>
      <w:pPr>
        <w:jc w:val="both"/>
        <w:ind w:firstLine="656"/>
        <w:spacing w:after="0" w:line="250" w:lineRule="auto"/>
        <w:tabs>
          <w:tab w:leader="none" w:pos="1072"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Borrowing of Swing Line Loans shall be made upon the applicable Borrower’s irrevocable notice to the Swing Line Lender and the Administrative Agent, which may be given by (A) telephone or (B) by a Swing Line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principal amount of $100,000 and integral multiples of $100,000 in excess thereof,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of any Lender) prior to 2:00 p.m. on the date of the proposed Borrowing of Swing Line Loans (A) directing the Swing Line Lender not to make such Swing Line Loan as a result of the limitations set forth in the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192" w:lineRule="exact"/>
        <w:rPr>
          <w:sz w:val="20"/>
          <w:szCs w:val="20"/>
          <w:color w:val="auto"/>
        </w:rPr>
      </w:pPr>
    </w:p>
    <w:p>
      <w:pPr>
        <w:ind w:left="1060" w:hanging="404"/>
        <w:spacing w:after="0"/>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0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the Borrowers (which hereby irrevocably request and authorize the Swing Line Lender to so request on their behalf), that each Lender make a Revolving Loan that is a Base Rate Loan in an amount equal to such Lender’s Pro Rata Share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The Swing Line Lender shall furnish the applicable Borrower with a copy of the applicable Loan Notice promptly after delivering such notice to the Administrative Agent. Each Lender shall make an amount equal to its Pro Rata Share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 denominated payments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Lender that so makes funds available shall be deemed to have made a Revolving Loan that is a Base Rate Loan to the applicable Borrower in such amount. The Administrative Agent shall remit the funds so received to the Swing Line Lender.</w:t>
      </w:r>
    </w:p>
    <w:p>
      <w:pPr>
        <w:spacing w:after="0" w:line="196"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7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Borrowing of Revolving Loans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893"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13" w:right="339" w:bottom="1440" w:gutter="0" w:footer="0" w:header="0"/>
        </w:sectPr>
      </w:pPr>
    </w:p>
    <w:bookmarkStart w:id="75" w:name="page76"/>
    <w:bookmarkEnd w:id="75"/>
    <w:p>
      <w:pPr>
        <w:jc w:val="both"/>
        <w:ind w:left="660" w:firstLine="644"/>
        <w:spacing w:after="0" w:line="251" w:lineRule="auto"/>
        <w:tabs>
          <w:tab w:leader="none" w:pos="182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that such Lender may have against the Swing Line Lender,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the delivery by the applicable Borrower of a Loan Notice). No such purchase or funding of risk participations shall relieve or otherwise impair the obligation of the Borrowers to repay Swing Line Loans, together with interest as provided herein.</w:t>
      </w:r>
    </w:p>
    <w:p>
      <w:pPr>
        <w:spacing w:after="0" w:line="195"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2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837"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0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Borrowers for interest on the Swing Line Loans. Until each Lender funds its Revolving Loans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Lender’s Pro Rata Share of any Swing Line Loan, interest in respect of such Pro Rata Share shall be solely for the account of the Swing Line Lender.</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9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Borrowers shall make all payments of principal and interest in respect of the Swing Line Loans directly to the Swing Line Lender.</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u w:val="single" w:color="auto"/>
          <w:color w:val="auto"/>
        </w:rPr>
        <w:t>Prepayments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60" w:hanging="404"/>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 of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02"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xml:space="preserve">. A Borrower may, upon notice from such Borrower to the Administrative Agent, at any time or from time to time voluntarily prepay Revolving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in a form reasonably acceptable to the Administrative Agent and be received by the Administrative Agent not later than 11:00 a.m. (1) three Business Days prior to any date of prepayment of Term Benchmark Loans denominated in Dollars, (2) four Business Days (or five,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13" w:right="339" w:bottom="1440" w:gutter="0" w:footer="0" w:header="0"/>
        </w:sectPr>
      </w:pPr>
    </w:p>
    <w:bookmarkStart w:id="76" w:name="page77"/>
    <w:bookmarkEnd w:id="76"/>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 xml:space="preserve">prepayment of Loans denominated in Special Notice Currencies) prior to any date of prepayment of Term Benchmark Loans denominated in Alternative Currencies or RFR Loans, and (3) on the date of prepayment of Base Rate Loans; (B) any such prepayment of Term Benchmark Loans denominated in Dollars shall be in a principal amount of $1,000,000 or a whole multiple of $500,000 in excess thereof (or, if less, the entire principal amount thereof then outstanding); (C) any prepayment of Term Benchmark Loans denominated in Alternative Currencies or RFR Loans shall be in a principal amount of $1,000,000 or a whole multiple of $500,000 in excess thereof (or, if less, the entire principal amount thereof then outstanding)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and (D) any prepayment of Base Rate Loans shall be in a principal amount of $500,000 or a whole multiple of $100,000 in excess thereof (or, if less, the entire principal amount thereof then outstanding). Each such notice shall specify the date and amount of such prepayment and the Type(s) of Loans to be prepaid and, if Term Benchmark Loans are to be prepaid, the Interest Period(s) of such Loans. The Administrative Agent will promptly notify each Lender of its receipt of each such notice, and of the amount of such Lender’s Pro Rata Share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Loans upon the consummation of replacement financing. Any prepayment of a Term Benchmark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each such prepayment shall be applied to the Loans of the Lenders in accordance with their respective Pro Rata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-1586230</wp:posOffset>
            </wp:positionV>
            <wp:extent cx="31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85" w:lineRule="exact"/>
        <w:rPr>
          <w:sz w:val="20"/>
          <w:szCs w:val="20"/>
          <w:color w:val="auto"/>
        </w:rPr>
      </w:pPr>
    </w:p>
    <w:p>
      <w:pPr>
        <w:jc w:val="both"/>
        <w:ind w:left="4" w:right="20" w:firstLine="644"/>
        <w:spacing w:after="0" w:line="267" w:lineRule="auto"/>
        <w:tabs>
          <w:tab w:leader="none" w:pos="108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 xml:space="preserve">. A Borrower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 w:lineRule="exact"/>
        <w:rPr>
          <w:rFonts w:ascii="Times New Roman" w:cs="Times New Roman" w:eastAsia="Times New Roman" w:hAnsi="Times New Roman"/>
          <w:sz w:val="19"/>
          <w:szCs w:val="19"/>
          <w:color w:val="auto"/>
        </w:rPr>
      </w:pPr>
    </w:p>
    <w:p>
      <w:pPr>
        <w:jc w:val="both"/>
        <w:ind w:left="4" w:hanging="4"/>
        <w:spacing w:after="0" w:line="250" w:lineRule="auto"/>
        <w:tabs>
          <w:tab w:leader="none" w:pos="25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notice must be received by the Swing Line Lender and the Administrative Agent not later than 1:00 p.m. on the date of the prepayment, and (ii) any such prepayment shall be in a minimum principal amount of $100,000 or a whole multiple of $100,000 in excess thereof (or, if less, the entire principal thereof then outstanding). Each such notice shall specify the date and amount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Swing Line Loans upon the consummation of replacement financing.</w:t>
      </w:r>
    </w:p>
    <w:p>
      <w:pPr>
        <w:spacing w:after="0" w:line="181" w:lineRule="exact"/>
        <w:rPr>
          <w:sz w:val="20"/>
          <w:szCs w:val="20"/>
          <w:color w:val="auto"/>
        </w:rPr>
      </w:pPr>
    </w:p>
    <w:p>
      <w:pPr>
        <w:ind w:left="404" w:hanging="404"/>
        <w:spacing w:after="0"/>
        <w:tabs>
          <w:tab w:leader="none" w:pos="40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 of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05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xml:space="preserve">. If the Administrative Agent notifies the Company at any time that the Total Revolving Outstandings at such time exceed the Aggregate Revolving Commitments then in effect, then, within two Business Days after receipt of such notice, the Borrowers shall prepay Loans and/or the Borrowers shall Cash Collateralize the L/C Obligations in an aggregate amount sufficient to reduce such Outstanding Amount as of such date of payment to an amount not to exceed 100% of the Aggregate Revolving Commitments then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Borrowers shall not be required to Cash Collateralize the L/C Obligations pursuant to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unless after such prepayment of the Loans the Total Revolving Outstandings exceed the Aggregate Revolving Commitments then in effect.</w:t>
      </w:r>
    </w:p>
    <w:p>
      <w:pPr>
        <w:spacing w:after="0" w:line="192" w:lineRule="exact"/>
        <w:rPr>
          <w:rFonts w:ascii="Times New Roman" w:cs="Times New Roman" w:eastAsia="Times New Roman" w:hAnsi="Times New Roman"/>
          <w:sz w:val="20"/>
          <w:szCs w:val="20"/>
          <w:color w:val="auto"/>
        </w:rPr>
      </w:pPr>
    </w:p>
    <w:p>
      <w:pPr>
        <w:ind w:left="4" w:firstLine="644"/>
        <w:spacing w:after="0" w:line="283" w:lineRule="auto"/>
        <w:tabs>
          <w:tab w:leader="none" w:pos="1181"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 xml:space="preserve">. All amounts required to be paid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to Revolving Loans and Swing Line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84"/>
          </w:cols>
          <w:pgMar w:left="976" w:top="1413"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20"/>
          <w:szCs w:val="20"/>
          <w:color w:val="auto"/>
        </w:rPr>
        <w:t>(after all Revolving Loans and all Swing Line Loans have been repaid) to Cash Collateralize L/C Obligations.</w:t>
      </w:r>
    </w:p>
    <w:p>
      <w:pPr>
        <w:spacing w:after="0" w:line="229"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shall be applied first to Base Rate Loans and then to Term Benchmark Loans in direct order of Interest Period maturities. All prepayments under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but otherwise without premium or penalty, and shall be accompanied by interest on the principal amount prepaid through the date of prepayment.</w:t>
      </w:r>
    </w:p>
    <w:p>
      <w:pPr>
        <w:spacing w:after="0" w:line="18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u w:val="single" w:color="auto"/>
          <w:color w:val="auto"/>
        </w:rPr>
        <w:t>Termination or Reduction of Aggregate Revolving Commitments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The Company may, upon notice to the Administrative Agent, terminate the Aggregate Revolving Commitments, or from time to time permanently reduce the Aggregate Revolving Commitments to an amount not less than the Outstanding Amount of Revolving Loans, Swing Line Loans and L/C Obligations (it being understood that such termination may be conditioned upon the consummation of replacement 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12:00 noon five (5) Business Days prior to the date of termination or reduction, (ii) any such partial reduction shall be in an aggregate amount of $2,000,000 or any whole multiple of $1,000,000 in excess thereof and (iii) if, after giving effect to any reduction or termination of the Aggregate Revolving Commitments, the Letter of Credit Sublimit or the Swing Line Sublimit exceeds the amount of the Aggregate Revolving Commitments, such sublimit shall be automatically reduced by the amount of such excess (which sublimits shall, subject to the approval (not to be unreasonably withheld or delayed) of the L/C Issuer or Swing Line Lender, as applicable, be increased in the event of any increase in the Aggregate Revolving Commitment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in an amount not to exceed the lesser of (i) the initial amounts of such sublimits as in effect on the Second Amendment Effective Date and (ii) the amount of such increase in the Aggregate Revolving Commitment). The Administrative Agent will promptly notify the Lenders of any such notice of termination or reduction of the Aggregate Revolving Commitments. The amount of any such Aggregate Revolving Commitment reduction shall not be applied to the Letter of Credit Sublimit unless otherwise specified by the Company. Any reduction of the Aggregate Revolving Commitments shall be applied to the Revolving Commitment of each Lender according to its Pro Rata Share. All fees accrued with respect thereto until the effective date of any termination of the Aggregate Revolving Commitments shall be paid on the effective date of such termination. If the Aggregate Revolving Commitments terminate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the Borrowers have paid all amounts payable hereunder and under the other Loan Documents (other than contingent indemnification and similar obligations not yet due and obligations that are Cash Collateralized), then this Agreement shall terminate (except for provisions hereof that survive termination hereof).</w:t>
      </w:r>
    </w:p>
    <w:p>
      <w:pPr>
        <w:spacing w:after="0" w:line="2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2.07</w:t>
      </w:r>
      <w:r>
        <w:rPr>
          <w:sz w:val="20"/>
          <w:szCs w:val="20"/>
          <w:color w:val="auto"/>
        </w:rPr>
        <w:tab/>
      </w:r>
      <w:r>
        <w:rPr>
          <w:rFonts w:ascii="Times New Roman" w:cs="Times New Roman" w:eastAsia="Times New Roman" w:hAnsi="Times New Roman"/>
          <w:sz w:val="19"/>
          <w:szCs w:val="19"/>
          <w:u w:val="single" w:color="auto"/>
          <w:color w:val="auto"/>
        </w:rPr>
        <w:t>Repayment of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56"/>
        <w:spacing w:after="0" w:line="283" w:lineRule="auto"/>
        <w:tabs>
          <w:tab w:leader="none" w:pos="118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The Borrowers shall repay to the Lenders on the Maturity Date the aggregate principal amount of all Revolving Loans outstanding on such date.</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9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Borrowers shall repay each Swing Line Loan on the earlier to occur of (i) the date ten Business Days after such Swing Line Loan is made and (ii)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13" w:right="339" w:bottom="1440" w:gutter="0" w:footer="0" w:header="0"/>
        </w:sectPr>
      </w:pPr>
    </w:p>
    <w:bookmarkStart w:id="78" w:name="page79"/>
    <w:bookmarkEnd w:id="78"/>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2.08</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1" w:lineRule="auto"/>
        <w:tabs>
          <w:tab w:leader="none" w:pos="128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subsection (b) below, (i) each Term Benchmark Loan shall bear interest on the outstanding principal amount thereof for each Interest Period at a rate per annum equal to the sum of the Relevant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 each Base Rate Loan shall bear interest on the outstanding principal amount thereof from the applicable borrowing date at a rate per annum equal to the sum of (A)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Applicable Rate; (iii) each RFR Loan shall bear interest on the outstanding principal amount thereof from the applicable borrowing date at a rate per annum equal to the sum of (A) Daily Simple SONIA plus (B) the Applicable Rate; and (iv) each Swing Line Loan shall bear interest on the outstanding principal amount thereof from the applicable borrowing date at a rate per annum equal to the sum of (A)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Applicable Rate.</w:t>
      </w:r>
    </w:p>
    <w:p>
      <w:pPr>
        <w:spacing w:after="0" w:line="192" w:lineRule="exact"/>
        <w:rPr>
          <w:rFonts w:ascii="Times New Roman" w:cs="Times New Roman" w:eastAsia="Times New Roman" w:hAnsi="Times New Roman"/>
          <w:sz w:val="20"/>
          <w:szCs w:val="20"/>
          <w:color w:val="auto"/>
        </w:rPr>
      </w:pPr>
    </w:p>
    <w:p>
      <w:pPr>
        <w:jc w:val="both"/>
        <w:ind w:left="660" w:hanging="4"/>
        <w:spacing w:after="0" w:line="261"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of principal of any Loan is not paid when due (without regard to any applicable grace periods), whether at stated maturity, by acceleration or otherwise, then such amount shall thereafter bear interest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2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the Borrowers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25"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(other than as set forth in clauses (b)(i) and (b)(ii) above), the Borrowers shall pay interest on the principal amount of all outstanding Obligations hereunder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841"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 to the fullest extent permitted by applicable Laws.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2.09</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subsections (h) and (i)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53" w:lineRule="auto"/>
        <w:tabs>
          <w:tab w:leader="none" w:pos="108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The Company shall pay to the Administrative Agent, for the account of each Lender in accordance with its Pro Rata Share, a commitment fee in Dollars equal to the product of (A)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(B) the actual daily amount by which the Aggregate Revolving Commitments exceed the sum of (1) the Outstanding Amount of Revolving Loans and (2) the Outstanding Amount of L/C Obligations,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Such commitment fee shall accrue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13" w:right="339" w:bottom="1440" w:gutter="0" w:footer="0" w:header="0"/>
        </w:sectPr>
      </w:pPr>
    </w:p>
    <w:bookmarkStart w:id="79" w:name="page80"/>
    <w:bookmarkEnd w:id="79"/>
    <w:p>
      <w:pPr>
        <w:jc w:val="both"/>
        <w:spacing w:after="0" w:line="253" w:lineRule="auto"/>
        <w:rPr>
          <w:sz w:val="20"/>
          <w:szCs w:val="20"/>
          <w:color w:val="auto"/>
        </w:rPr>
      </w:pPr>
      <w:r>
        <w:rPr>
          <w:rFonts w:ascii="Times New Roman" w:cs="Times New Roman" w:eastAsia="Times New Roman" w:hAnsi="Times New Roman"/>
          <w:sz w:val="20"/>
          <w:szCs w:val="20"/>
          <w:color w:val="auto"/>
        </w:rPr>
        <w:t>first such date to occur after the Closing Date, and on the last day of the Availability Period. Such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Swing Line Loans shall not be considered outstanding for purposes of determining the unused portion of the Aggregate Revolving Commitments.</w:t>
      </w:r>
    </w:p>
    <w:p>
      <w:pPr>
        <w:spacing w:after="0" w:line="192" w:lineRule="exact"/>
        <w:rPr>
          <w:sz w:val="20"/>
          <w:szCs w:val="20"/>
          <w:color w:val="auto"/>
        </w:rPr>
      </w:pPr>
    </w:p>
    <w:p>
      <w:pPr>
        <w:ind w:left="1060" w:hanging="404"/>
        <w:spacing w:after="0"/>
        <w:tabs>
          <w:tab w:leader="none" w:pos="10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29"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BMO Capital Markets and the Administrative Agent for their own respective accounts, in Dollars, fees in the amounts and at the times specified in the Fee Letter. Such fees shall be fully earned when paid and shall be non-refundable for any reason whatsoever.</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77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Computation of Interest and 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the Relevant Rate) and RFR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demonstrable error.</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Evidence of Debt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0" w:lineRule="auto"/>
        <w:tabs>
          <w:tab w:leader="none" w:pos="106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demonstrable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demonstrable error. Upon the request of any Lender made through the Administrative Agent, the Borrowers shall execute and deliver to such Lender (through the Administrative Agent) a promissory note, which shall evidence such Lender’s Loans in addition to such accounts or records. Each such promissory note shall be in the form of </w:t>
      </w:r>
      <w:r>
        <w:rPr>
          <w:rFonts w:ascii="Times New Roman" w:cs="Times New Roman" w:eastAsia="Times New Roman" w:hAnsi="Times New Roman"/>
          <w:sz w:val="20"/>
          <w:szCs w:val="20"/>
          <w:u w:val="single" w:color="auto"/>
          <w:color w:val="auto"/>
        </w:rPr>
        <w:t>Exhibit 2.11</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Each Lender may attach schedules to its Note and endorse thereon the date, Type (if applicable), amount, currency and maturity of its Loans and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13" w:right="339" w:bottom="1440" w:gutter="0" w:footer="0" w:header="0"/>
        </w:sectPr>
      </w:pPr>
    </w:p>
    <w:bookmarkStart w:id="80" w:name="page81"/>
    <w:bookmarkEnd w:id="80"/>
    <w:p>
      <w:pPr>
        <w:jc w:val="both"/>
        <w:ind w:firstLine="656"/>
        <w:spacing w:after="0" w:line="253" w:lineRule="auto"/>
        <w:tabs>
          <w:tab w:leader="none" w:pos="105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demonstrable error.</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Payments Generally; Administrative Agent’s Clawback</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3" w:lineRule="auto"/>
        <w:tabs>
          <w:tab w:leader="none" w:pos="1061"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 Borrower is prohibited by any Law from making any required payment hereunder in an Alternative Currency or any such payment would result in adverse consequences to any Borrower, such Borrower shall make such payment in Dollars in the Dollar Equivalent of the Alternative Currency payment amount. The Administrative Agent will promptly distribute to each Lender its Pro Rata Share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the definition of “Interest Period”,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72" w:lineRule="exact"/>
        <w:rPr>
          <w:rFonts w:ascii="Times New Roman" w:cs="Times New Roman" w:eastAsia="Times New Roman" w:hAnsi="Times New Roman"/>
          <w:sz w:val="19"/>
          <w:szCs w:val="19"/>
          <w:color w:val="auto"/>
        </w:rPr>
      </w:pPr>
    </w:p>
    <w:p>
      <w:pPr>
        <w:jc w:val="both"/>
        <w:ind w:left="660" w:hanging="4"/>
        <w:spacing w:after="0" w:line="250" w:lineRule="auto"/>
        <w:tabs>
          <w:tab w:leader="none" w:pos="111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Borrowing of Term Benchmark Loans or RFR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13" w:right="339" w:bottom="1440" w:gutter="0" w:footer="0" w:header="0"/>
        </w:sectPr>
      </w:pPr>
    </w:p>
    <w:bookmarkStart w:id="81" w:name="page82"/>
    <w:bookmarkEnd w:id="81"/>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95" w:lineRule="exact"/>
        <w:rPr>
          <w:sz w:val="20"/>
          <w:szCs w:val="20"/>
          <w:color w:val="auto"/>
        </w:rPr>
      </w:pPr>
    </w:p>
    <w:p>
      <w:pPr>
        <w:jc w:val="both"/>
        <w:ind w:left="660" w:firstLine="644"/>
        <w:spacing w:after="0" w:line="266" w:lineRule="auto"/>
        <w:tabs>
          <w:tab w:leader="none" w:pos="1797"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by Borrower; Presumption by Administrative Agent</w:t>
      </w:r>
      <w:r>
        <w:rPr>
          <w:rFonts w:ascii="Times New Roman" w:cs="Times New Roman" w:eastAsia="Times New Roman" w:hAnsi="Times New Roman"/>
          <w:sz w:val="19"/>
          <w:szCs w:val="19"/>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82" w:lineRule="exact"/>
        <w:rPr>
          <w:rFonts w:ascii="Times New Roman" w:cs="Times New Roman" w:eastAsia="Times New Roman" w:hAnsi="Times New Roman"/>
          <w:sz w:val="19"/>
          <w:szCs w:val="19"/>
          <w:color w:val="auto"/>
        </w:rPr>
      </w:pPr>
    </w:p>
    <w:p>
      <w:pPr>
        <w:ind w:left="660" w:firstLine="644"/>
        <w:spacing w:after="0" w:line="269" w:lineRule="auto"/>
        <w:tabs>
          <w:tab w:leader="none" w:pos="178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 notice of the Administrative Agent to any Lender or any Borrower with respect to any amount owing under this subsection (b) shall be conclusive, absent demonstrable error.</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and such funds are not made available to the applicable Borrower by the Administrative Agent because the conditions to the applicable Credit Extension set forth in Article V are not satisfied or waived in accordance with the terms hereof, the Administrative Agent shall return such funds (in like funds as received from such Lender) to such Lender, without interest.</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13" w:right="339" w:bottom="1440" w:gutter="0" w:footer="0" w:header="0"/>
        </w:sectPr>
      </w:pPr>
    </w:p>
    <w:bookmarkStart w:id="82" w:name="page83"/>
    <w:bookmarkEnd w:id="82"/>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Sharing of Payments by Lenders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rata</w:t>
      </w:r>
      <w:r>
        <w:rPr>
          <w:rFonts w:ascii="Times New Roman" w:cs="Times New Roman" w:eastAsia="Times New Roman" w:hAnsi="Times New Roman"/>
          <w:sz w:val="20"/>
          <w:szCs w:val="20"/>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182" w:lineRule="exact"/>
        <w:rPr>
          <w:sz w:val="20"/>
          <w:szCs w:val="20"/>
          <w:color w:val="auto"/>
        </w:rPr>
      </w:pPr>
    </w:p>
    <w:p>
      <w:pPr>
        <w:jc w:val="both"/>
        <w:ind w:left="660" w:firstLine="644"/>
        <w:spacing w:after="0" w:line="268" w:lineRule="auto"/>
        <w:tabs>
          <w:tab w:leader="none" w:pos="170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4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(A) any payment made by or on behalf of a Loan Party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or (C) any payment obtained by a Lender as consideration for the assignment of or sale of a participation in any of its Loans or subparticipations in L/C Obligations or Swing Line Loans to any assignee or participant, other than an assignment to any Loan Party or any Subsidiary (as to which the provisions of this Section shall apply).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Designated Borrowers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0" w:firstLine="656"/>
        <w:spacing w:after="0" w:line="261" w:lineRule="auto"/>
        <w:tabs>
          <w:tab w:leader="none" w:pos="106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Closing Date, each of Brady Worldwide, Inc., a Wisconsin corporation (“</w:t>
      </w:r>
      <w:r>
        <w:rPr>
          <w:rFonts w:ascii="Times New Roman" w:cs="Times New Roman" w:eastAsia="Times New Roman" w:hAnsi="Times New Roman"/>
          <w:sz w:val="20"/>
          <w:szCs w:val="20"/>
          <w:u w:val="single" w:color="auto"/>
          <w:color w:val="auto"/>
        </w:rPr>
        <w:t>Worldwide</w:t>
      </w:r>
      <w:r>
        <w:rPr>
          <w:rFonts w:ascii="Times New Roman" w:cs="Times New Roman" w:eastAsia="Times New Roman" w:hAnsi="Times New Roman"/>
          <w:sz w:val="20"/>
          <w:szCs w:val="20"/>
          <w:color w:val="auto"/>
        </w:rPr>
        <w:t>”), Tricor Direct, Inc., a Delaware corporation (“</w:t>
      </w:r>
      <w:r>
        <w:rPr>
          <w:rFonts w:ascii="Times New Roman" w:cs="Times New Roman" w:eastAsia="Times New Roman" w:hAnsi="Times New Roman"/>
          <w:sz w:val="20"/>
          <w:szCs w:val="20"/>
          <w:u w:val="single" w:color="auto"/>
          <w:color w:val="auto"/>
        </w:rPr>
        <w:t>Tricor</w:t>
      </w:r>
      <w:r>
        <w:rPr>
          <w:rFonts w:ascii="Times New Roman" w:cs="Times New Roman" w:eastAsia="Times New Roman" w:hAnsi="Times New Roman"/>
          <w:sz w:val="20"/>
          <w:szCs w:val="20"/>
          <w:color w:val="auto"/>
        </w:rPr>
        <w:t>”), Brady Finance Luxembourg and Brady SARL shall be a “Designated Borrower” hereunder and may receive Loans for its account on the terms and conditions set forth in this Agreement.</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15 Business Days’ notice from the Company to the Administrative Agent (or such shorter period as may be agreed by the Administrative Agent in its sole discretion), request the designation of any Wholly Owned Subsidiary of the Company that is not an Excluded Subsidiary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Loans and Letters of Credit hereunder by delivering to the Administrative Agent (which shall promptly deliver copies thereof to each Lender) a duly executed notice in substantially the form of </w:t>
      </w:r>
      <w:r>
        <w:rPr>
          <w:rFonts w:ascii="Times New Roman" w:cs="Times New Roman" w:eastAsia="Times New Roman" w:hAnsi="Times New Roman"/>
          <w:sz w:val="20"/>
          <w:szCs w:val="20"/>
          <w:u w:val="single" w:color="auto"/>
          <w:color w:val="auto"/>
        </w:rPr>
        <w:t>Exhibit 2.14(a)</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w:t>
      </w:r>
      <w:r>
        <w:rPr>
          <w:rFonts w:ascii="Times New Roman" w:cs="Times New Roman" w:eastAsia="Times New Roman" w:hAnsi="Times New Roman"/>
          <w:sz w:val="20"/>
          <w:szCs w:val="20"/>
          <w:color w:val="auto"/>
        </w:rPr>
        <w:t>”). If (i) in the case of a Foreign Subsidiary, the Administrative Agent and the Lenders, and (ii) in the case of a Domestic Subsidiary, the Administrative Agent and the Required Lenders, agree (which agreement shall not be unreasonably withheld or delayed) that an Applicant Borrower shall be entitled to receive Loans hereunder, then the Administrative Agent and the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13" w:right="339" w:bottom="1440" w:gutter="0" w:footer="0" w:header="0"/>
        </w:sectPr>
      </w:pPr>
    </w:p>
    <w:bookmarkStart w:id="83" w:name="page84"/>
    <w:bookmarkEnd w:id="83"/>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 Required Lenders, as applicable, shall send an agreement in substantially the form of </w:t>
      </w:r>
      <w:r>
        <w:rPr>
          <w:rFonts w:ascii="Times New Roman" w:cs="Times New Roman" w:eastAsia="Times New Roman" w:hAnsi="Times New Roman"/>
          <w:sz w:val="20"/>
          <w:szCs w:val="20"/>
          <w:u w:val="single" w:color="auto"/>
          <w:color w:val="auto"/>
        </w:rPr>
        <w:t>Exhibit 2.14(b)</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Joinder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to the Company specifying, if such Applicant Borrower is a Foreign Subsidiary, the additional terms and conditions applicable to extensions of credit to such Applicant Borrower. Upon the execution of such Designated Borrower Joinder Agreement by the Company, such Applicant Borrower and the Administrative Agent and the satisfaction of the conditions applicable to extensions of credit set forth in the Designated Borrower Joinder Agreement, such Applicant Borrower shall be a Designated Borrower and permitted to receive Loans hereunder, on the terms and conditions set forth herein and therein, and such Applicant Borrower otherwise shall be a Borrower for all purposes of this Agreement. The parties hereto acknowledge and agree that prior to any Designated Borrower becoming entitled to utilize the credit facility provided for in this Agreement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in its reasonable discretion.</w:t>
      </w:r>
    </w:p>
    <w:p>
      <w:pPr>
        <w:spacing w:after="0" w:line="196" w:lineRule="exact"/>
        <w:rPr>
          <w:sz w:val="20"/>
          <w:szCs w:val="20"/>
          <w:color w:val="auto"/>
        </w:rPr>
      </w:pPr>
    </w:p>
    <w:p>
      <w:pPr>
        <w:ind w:firstLine="656"/>
        <w:spacing w:after="0" w:line="283" w:lineRule="auto"/>
        <w:tabs>
          <w:tab w:leader="none" w:pos="112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Domestic Borrowers shall be joint and several in nature. The Obligations of each of the Designated Borrowers that is a Foreign Subsidiary shall be several in nature.</w:t>
      </w:r>
    </w:p>
    <w:p>
      <w:pPr>
        <w:spacing w:after="0" w:line="146" w:lineRule="exact"/>
        <w:rPr>
          <w:rFonts w:ascii="Times New Roman" w:cs="Times New Roman" w:eastAsia="Times New Roman" w:hAnsi="Times New Roman"/>
          <w:sz w:val="20"/>
          <w:szCs w:val="20"/>
          <w:color w:val="auto"/>
        </w:rPr>
      </w:pPr>
    </w:p>
    <w:p>
      <w:pPr>
        <w:jc w:val="both"/>
        <w:ind w:firstLine="656"/>
        <w:spacing w:after="0" w:line="250" w:lineRule="auto"/>
        <w:tabs>
          <w:tab w:leader="none" w:pos="108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the Company that is or becomes a “Designated Borrower”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(notwithstanding anything herein to the contrary, upon request of the Company, any Designated Borrower may receive the proceeds of any Loans made to it by the Lenders).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communication is directed to a specific Designated Borrower, it shall indicate to which Designated Borrower it is directed.</w:t>
      </w:r>
    </w:p>
    <w:p>
      <w:pPr>
        <w:spacing w:after="0" w:line="199" w:lineRule="exact"/>
        <w:rPr>
          <w:rFonts w:ascii="Times New Roman" w:cs="Times New Roman" w:eastAsia="Times New Roman" w:hAnsi="Times New Roman"/>
          <w:sz w:val="20"/>
          <w:szCs w:val="20"/>
          <w:color w:val="auto"/>
        </w:rPr>
      </w:pPr>
    </w:p>
    <w:p>
      <w:pPr>
        <w:jc w:val="both"/>
        <w:ind w:firstLine="656"/>
        <w:spacing w:after="0" w:line="251" w:lineRule="auto"/>
        <w:tabs>
          <w:tab w:leader="none" w:pos="108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is not required to cause any Subsidiary to become a party to this Agreement as a Designated Borrower and no Designated Borrower that is a Foreign Subsidiary shall be required to guarantee the Obligations. The Company may from time to time, upon not less than 10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or L/C Obligations payable by such Designated Borrower, or other amounts payable by such Designated Borrower on account of any Credit Extensions made to it, as of the effective date of such termination. The Administrative Agent will promptly notify the Lenders of any such termination of a Designated Borrower’s status.</w:t>
      </w:r>
    </w:p>
    <w:p>
      <w:pPr>
        <w:spacing w:after="0" w:line="1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8" w:lineRule="auto"/>
        <w:tabs>
          <w:tab w:leader="none" w:pos="10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applicable Borrower shall be required to provide Cash Collateral pursuant to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or (iv) there shall exist a Defaulting Lender, the applicable Borrower shall immediately (in the case of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13" w:right="339" w:bottom="1440" w:gutter="0" w:footer="0" w:header="0"/>
        </w:sectPr>
      </w:pPr>
    </w:p>
    <w:bookmarkStart w:id="84" w:name="page85"/>
    <w:bookmarkEnd w:id="84"/>
    <w:p>
      <w:pPr>
        <w:jc w:val="both"/>
        <w:ind w:firstLine="8"/>
        <w:spacing w:after="0" w:line="261" w:lineRule="auto"/>
        <w:tabs>
          <w:tab w:leader="none" w:pos="34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or within one Business Day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and any Cash Collateral provided by the Defaulting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50" w:lineRule="auto"/>
        <w:tabs>
          <w:tab w:leader="none" w:pos="105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Each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Times New Roman" w:cs="Times New Roman" w:eastAsia="Times New Roman" w:hAnsi="Times New Roman"/>
          <w:sz w:val="20"/>
          <w:szCs w:val="20"/>
          <w:u w:val="single" w:color="auto"/>
          <w:color w:val="auto"/>
        </w:rPr>
        <w:t>Section 7.08(a)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7.08(h)</w:t>
      </w:r>
      <w:r>
        <w:rPr>
          <w:rFonts w:ascii="Times New Roman" w:cs="Times New Roman" w:eastAsia="Times New Roman" w:hAnsi="Times New Roman"/>
          <w:sz w:val="20"/>
          <w:szCs w:val="20"/>
          <w:color w:val="auto"/>
        </w:rPr>
        <w:t>), or that the total amount of such Cash Collateral is less than the Minimum Collateral Amount, the applicable Borrower or the relevant Defaulting Lender will, promptly upon demand by the Administrative Agent (which demand shall include a reasonably detailed accounting of the amount so demanded), pay or provide to the Administrative Agent additional Cash Collateral in an amount sufficient to eliminate such deficiency. All Cash Collateral (other than credit support not constituting funds subject to deposit) shall be maintained in one or more Controlled Accounts at BMO. The applicable Borrower or the relevant Defaulting Lender shall pay promptly on demand therefor from time to time all customary account opening, activity and other administrative fees and charges in connection with the maintenance and disbursement of Cash Collateral.</w:t>
      </w:r>
    </w:p>
    <w:p>
      <w:pPr>
        <w:spacing w:after="0" w:line="193"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8" w:lineRule="exact"/>
        <w:rPr>
          <w:rFonts w:ascii="Times New Roman" w:cs="Times New Roman" w:eastAsia="Times New Roman" w:hAnsi="Times New Roman"/>
          <w:sz w:val="20"/>
          <w:szCs w:val="20"/>
          <w:color w:val="auto"/>
        </w:rPr>
      </w:pPr>
    </w:p>
    <w:p>
      <w:pPr>
        <w:jc w:val="both"/>
        <w:ind w:firstLine="656"/>
        <w:spacing w:after="0" w:line="252" w:lineRule="auto"/>
        <w:tabs>
          <w:tab w:leader="none" w:pos="123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11.06(b)(vi))</w:t>
      </w:r>
      <w:r>
        <w:rPr>
          <w:rFonts w:ascii="Times New Roman" w:cs="Times New Roman" w:eastAsia="Times New Roman" w:hAnsi="Times New Roman"/>
          <w:sz w:val="20"/>
          <w:szCs w:val="20"/>
          <w:color w:val="auto"/>
        </w:rPr>
        <w:t xml:space="preserve">) or (ii) the good faith determination by the Administrative Agent and, to the extent the Cash Collateral was provided for the benefit of the L/C Issuer, the L/C Issuer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68" w:lineRule="auto"/>
        <w:tabs>
          <w:tab w:leader="none" w:pos="104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or any other Loan Document, if any Lender becomes a Defaulting Lender, then, until such time as that Lender is no longer a Defaulting Lender,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13" w:right="339" w:bottom="1440" w:gutter="0" w:footer="0" w:header="0"/>
        </w:sectPr>
      </w:pPr>
    </w:p>
    <w:bookmarkStart w:id="85" w:name="page86"/>
    <w:bookmarkEnd w:id="85"/>
    <w:p>
      <w:pPr>
        <w:ind w:left="-460" w:firstLine="644"/>
        <w:spacing w:after="0" w:line="283" w:lineRule="auto"/>
        <w:tabs>
          <w:tab w:leader="none" w:pos="56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left="-460" w:firstLine="644"/>
        <w:spacing w:after="0" w:line="248" w:lineRule="auto"/>
        <w:tabs>
          <w:tab w:leader="none" w:pos="63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L/C Issuer or Swing 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2.16(a)(ii)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217" w:lineRule="exact"/>
        <w:rPr>
          <w:rFonts w:ascii="Times New Roman" w:cs="Times New Roman" w:eastAsia="Times New Roman" w:hAnsi="Times New Roman"/>
          <w:sz w:val="20"/>
          <w:szCs w:val="20"/>
          <w:color w:val="auto"/>
        </w:rPr>
      </w:pPr>
    </w:p>
    <w:p>
      <w:pPr>
        <w:ind w:left="660" w:hanging="476"/>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80" w:firstLine="652"/>
        <w:spacing w:after="0" w:line="268" w:lineRule="auto"/>
        <w:tabs>
          <w:tab w:leader="none" w:pos="131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120"/>
          </w:cols>
          <w:pgMar w:left="1440" w:top="1413" w:right="339" w:bottom="1440" w:gutter="0" w:footer="0" w:header="0"/>
        </w:sectPr>
      </w:pPr>
    </w:p>
    <w:bookmarkStart w:id="86" w:name="page87"/>
    <w:bookmarkEnd w:id="86"/>
    <w:p>
      <w:pPr>
        <w:jc w:val="both"/>
        <w:ind w:left="1300" w:right="20" w:firstLine="652"/>
        <w:spacing w:after="0" w:line="261" w:lineRule="auto"/>
        <w:tabs>
          <w:tab w:leader="none" w:pos="2486"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39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Letter of Credit Fee not required to be paid to any Defaulting Lender pursuant to clause (B) above, the Borrowers shall (x) pay to each Non-Defaulting Lender that portion of any such fee otherwise payable to such Defaulting Lender with respect to such Defaulting Lender’s participation in L/C Obligations that has been reallocated to such Non-Defaulting Lender pursuant to clause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below, (y) 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178" w:lineRule="exact"/>
        <w:rPr>
          <w:rFonts w:ascii="Times New Roman" w:cs="Times New Roman" w:eastAsia="Times New Roman" w:hAnsi="Times New Roman"/>
          <w:sz w:val="20"/>
          <w:szCs w:val="20"/>
          <w:color w:val="auto"/>
        </w:rPr>
      </w:pPr>
    </w:p>
    <w:p>
      <w:pPr>
        <w:jc w:val="both"/>
        <w:ind w:firstLine="656"/>
        <w:spacing w:after="0" w:line="252" w:lineRule="auto"/>
        <w:tabs>
          <w:tab w:leader="none" w:pos="107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Pro Rata Shares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(x)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5.02</w:t>
      </w:r>
      <w:r>
        <w:rPr>
          <w:rFonts w:ascii="Times New Roman" w:cs="Times New Roman" w:eastAsia="Times New Roman" w:hAnsi="Times New Roman"/>
          <w:sz w:val="20"/>
          <w:szCs w:val="20"/>
          <w:color w:val="auto"/>
        </w:rPr>
        <w:t xml:space="preserve"> are satisfied at the time of such reallocation (and, unless the Company shall have otherwise notified the Administrative Agent at such time, the Borrowers shall be deemed to have represented and warranted that such conditions are satisfied at such time), and (y) such reallocation does not cause the portion of the Total Revolving Outstandings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Times New Roman" w:cs="Times New Roman" w:eastAsia="Times New Roman" w:hAnsi="Times New Roman"/>
          <w:sz w:val="20"/>
          <w:szCs w:val="20"/>
          <w:color w:val="auto"/>
        </w:rPr>
      </w:pPr>
    </w:p>
    <w:p>
      <w:pPr>
        <w:jc w:val="both"/>
        <w:ind w:firstLine="656"/>
        <w:spacing w:after="0" w:line="254" w:lineRule="auto"/>
        <w:tabs>
          <w:tab w:leader="none" w:pos="104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cannot, or can only partially, be effected, the Borrowers shall, without prejudice to any right or remedy available to it hereunder or under applicable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 Line Loans in an amount equal to the Swing 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656"/>
        <w:spacing w:after="0" w:line="265" w:lineRule="auto"/>
        <w:tabs>
          <w:tab w:leader="none" w:pos="111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The Administrative Agent agrees to promptly notify the Company upon the Administrative Agent’s actual knowledge of any Lender becoming a Defaulting Lender and the Administrative Agent’s actual knowledge of the occurrence of any Lender ceasing to be a Defaulting Lender. If the Company,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Pro Rata Shares (without giving effect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xml:space="preserve"> as to such Lender),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3" w:right="339" w:bottom="1440" w:gutter="0" w:footer="0" w:header="0"/>
        </w:sectPr>
      </w:pPr>
    </w:p>
    <w:bookmarkStart w:id="87" w:name="page88"/>
    <w:bookmarkEnd w:id="87"/>
    <w:p>
      <w:pPr>
        <w:spacing w:after="0" w:line="283" w:lineRule="auto"/>
        <w:rPr>
          <w:sz w:val="20"/>
          <w:szCs w:val="20"/>
          <w:color w:val="auto"/>
        </w:rPr>
      </w:pPr>
      <w:r>
        <w:rPr>
          <w:rFonts w:ascii="Times New Roman" w:cs="Times New Roman" w:eastAsia="Times New Roman" w:hAnsi="Times New Roman"/>
          <w:sz w:val="20"/>
          <w:szCs w:val="20"/>
          <w:color w:val="auto"/>
        </w:rPr>
        <w:t>Defaulting Lender to Lender will constitute a waiver or release of any claim of any party hereunder arising from that Lender having been a Defaulting Lender.</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u w:val="single" w:color="auto"/>
          <w:color w:val="auto"/>
        </w:rPr>
        <w:t>Extension of Maturity Date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15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Requests for Extension</w:t>
      </w:r>
      <w:r>
        <w:rPr>
          <w:rFonts w:ascii="Times New Roman" w:cs="Times New Roman" w:eastAsia="Times New Roman" w:hAnsi="Times New Roman"/>
          <w:sz w:val="20"/>
          <w:szCs w:val="20"/>
          <w:color w:val="auto"/>
        </w:rPr>
        <w:t>. After the Second Amendment Effective Date, the Company may, no more than two (2) times, by delivering written notice (an “</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to the Administrative Agent (who shall promptly notify the Lenders) no earlier than the second anniversary of the Second Amendment Effective Date and not later than 45 days prior to the Maturity Date then in effect hereunder (the “</w:t>
      </w:r>
      <w:r>
        <w:rPr>
          <w:rFonts w:ascii="Times New Roman" w:cs="Times New Roman" w:eastAsia="Times New Roman" w:hAnsi="Times New Roman"/>
          <w:sz w:val="20"/>
          <w:szCs w:val="20"/>
          <w:u w:val="single" w:color="auto"/>
          <w:color w:val="auto"/>
        </w:rPr>
        <w:t>Existing Maturity Date</w:t>
      </w:r>
      <w:r>
        <w:rPr>
          <w:rFonts w:ascii="Times New Roman" w:cs="Times New Roman" w:eastAsia="Times New Roman" w:hAnsi="Times New Roman"/>
          <w:sz w:val="20"/>
          <w:szCs w:val="20"/>
          <w:color w:val="auto"/>
        </w:rPr>
        <w:t>”), request that each Lender extend such Lender’s Maturity Date for an additional one-year period from the Existing Maturity Date. Subject to the provisions in this Section 2.17, such extension shall become effective on the date specified in the Extension Request (such date, the “</w:t>
      </w:r>
      <w:r>
        <w:rPr>
          <w:rFonts w:ascii="Times New Roman" w:cs="Times New Roman" w:eastAsia="Times New Roman" w:hAnsi="Times New Roman"/>
          <w:sz w:val="20"/>
          <w:szCs w:val="20"/>
          <w:u w:val="single" w:color="auto"/>
          <w:color w:val="auto"/>
        </w:rPr>
        <w:t>Extension Date</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4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Elections to Extend</w:t>
      </w:r>
      <w:r>
        <w:rPr>
          <w:rFonts w:ascii="Times New Roman" w:cs="Times New Roman" w:eastAsia="Times New Roman" w:hAnsi="Times New Roman"/>
          <w:sz w:val="20"/>
          <w:szCs w:val="20"/>
          <w:color w:val="auto"/>
        </w:rPr>
        <w:t>. Each Lender, acting in its sole and individual discretion, shall, by written notice to the Administrative Agent given not later than 21 days (the “</w:t>
      </w:r>
      <w:r>
        <w:rPr>
          <w:rFonts w:ascii="Times New Roman" w:cs="Times New Roman" w:eastAsia="Times New Roman" w:hAnsi="Times New Roman"/>
          <w:sz w:val="20"/>
          <w:szCs w:val="20"/>
          <w:u w:val="single" w:color="auto"/>
          <w:color w:val="auto"/>
        </w:rPr>
        <w:t>Notice Date</w:t>
      </w:r>
      <w:r>
        <w:rPr>
          <w:rFonts w:ascii="Times New Roman" w:cs="Times New Roman" w:eastAsia="Times New Roman" w:hAnsi="Times New Roman"/>
          <w:sz w:val="20"/>
          <w:szCs w:val="20"/>
          <w:color w:val="auto"/>
        </w:rPr>
        <w:t>”) after the date of the Company’s notice, advise the Administrative Agent whether or not such Lender agrees to such extension, and each Lender that determines not to so extend its Maturity Date (a “</w:t>
      </w: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92"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14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by Administrative Agent</w:t>
      </w:r>
      <w:r>
        <w:rPr>
          <w:rFonts w:ascii="Times New Roman" w:cs="Times New Roman" w:eastAsia="Times New Roman" w:hAnsi="Times New Roman"/>
          <w:sz w:val="20"/>
          <w:szCs w:val="20"/>
          <w:color w:val="auto"/>
        </w:rPr>
        <w:t>. The Administrative Agent shall notify the Company of each Lender’s determination under this Section no later than 5 days after the Notice Date (or, if such date is not a Business Day, on the immediately preceding Business Day).</w:t>
      </w:r>
    </w:p>
    <w:p>
      <w:pPr>
        <w:spacing w:after="0" w:line="181" w:lineRule="exact"/>
        <w:rPr>
          <w:rFonts w:ascii="Times New Roman" w:cs="Times New Roman" w:eastAsia="Times New Roman" w:hAnsi="Times New Roman"/>
          <w:sz w:val="20"/>
          <w:szCs w:val="20"/>
          <w:color w:val="auto"/>
        </w:rPr>
      </w:pPr>
    </w:p>
    <w:p>
      <w:pPr>
        <w:jc w:val="both"/>
        <w:ind w:firstLine="656"/>
        <w:spacing w:after="0" w:line="250" w:lineRule="auto"/>
        <w:tabs>
          <w:tab w:leader="none" w:pos="115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Commitment Lenders</w:t>
      </w:r>
      <w:r>
        <w:rPr>
          <w:rFonts w:ascii="Times New Roman" w:cs="Times New Roman" w:eastAsia="Times New Roman" w:hAnsi="Times New Roman"/>
          <w:sz w:val="20"/>
          <w:szCs w:val="20"/>
          <w:color w:val="auto"/>
        </w:rPr>
        <w:t>. The Company shall have the right on or before the Extension Date to replace any Non-Extending Lender with, and add as “Lenders” under this Agreement in place thereof, one or more Eligible Assignees and/or one or more existing Lenders (each, an “</w:t>
      </w:r>
      <w:r>
        <w:rPr>
          <w:rFonts w:ascii="Times New Roman" w:cs="Times New Roman" w:eastAsia="Times New Roman" w:hAnsi="Times New Roman"/>
          <w:sz w:val="20"/>
          <w:szCs w:val="20"/>
          <w:u w:val="single" w:color="auto"/>
          <w:color w:val="auto"/>
        </w:rPr>
        <w:t>Additional Commitment Lender</w:t>
      </w:r>
      <w:r>
        <w:rPr>
          <w:rFonts w:ascii="Times New Roman" w:cs="Times New Roman" w:eastAsia="Times New Roman" w:hAnsi="Times New Roman"/>
          <w:sz w:val="20"/>
          <w:szCs w:val="20"/>
          <w:color w:val="auto"/>
        </w:rPr>
        <w:t xml:space="preserve">”) as provided in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each of which Additional Commitment Lenders shall have entered into an Assignment and Assumption with such Non-Extending Lender pursuant to which such Additional Commitment Lender shall, effective as of the Extension Date, undertake a Commitment (and, if any such Additional Commitment Lender is already a Lender, its Commitment shall be in addition to such Lender’s Commitment hereunder on such date). Prior to any Non-Extending Lender being replaced by one or more Additional Commitment Lenders pursuant hereto, such Non-Extending Lender may elect, in its sole discretion, by giving irrevocable notice thereof to the Administrative Agent and the Company, to become an Extending Lender, provided that the Company consents thereto in writing in its sole discretion.</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Extension Requirement</w:t>
      </w:r>
      <w:r>
        <w:rPr>
          <w:rFonts w:ascii="Times New Roman" w:cs="Times New Roman" w:eastAsia="Times New Roman" w:hAnsi="Times New Roman"/>
          <w:sz w:val="20"/>
          <w:szCs w:val="20"/>
          <w:color w:val="auto"/>
        </w:rPr>
        <w:t>. If (and only if) the total of the Commitments of the Lenders that have agreed so to extend their Existing Maturity Date (each, an “</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and the additional Commitments of the Additional Commitment Lenders shall be more than 50% of the aggregate amount of the Commitments in effect immediately prior to the Extension Date, then, effective as of the Extension Date, the Maturity Date of each Extending Lender and of each Additional Commitment Lender shall be extended to the date falling one year after the Existing Maturity Date (except that, if such date is not a Business Day, such Maturity Date as so extended shall be the immediately preceding Business Day) and each Additional Commitment Lender (if it is not already a Lender) shall thereupon become a “Lender” for all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13" w:right="339" w:bottom="1440" w:gutter="0" w:footer="0" w:header="0"/>
        </w:sectPr>
      </w:pPr>
    </w:p>
    <w:bookmarkStart w:id="88" w:name="page89"/>
    <w:bookmarkEnd w:id="88"/>
    <w:p>
      <w:pPr>
        <w:ind w:firstLine="656"/>
        <w:spacing w:after="0" w:line="283" w:lineRule="auto"/>
        <w:tabs>
          <w:tab w:leader="none" w:pos="10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Extensions</w:t>
      </w:r>
      <w:r>
        <w:rPr>
          <w:rFonts w:ascii="Times New Roman" w:cs="Times New Roman" w:eastAsia="Times New Roman" w:hAnsi="Times New Roman"/>
          <w:sz w:val="20"/>
          <w:szCs w:val="20"/>
          <w:color w:val="auto"/>
        </w:rPr>
        <w:t>. Notwithstanding the foregoing, the extension of the Maturity Date pursuant to this Section shall not be effective with respect to any Lender unless:</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4" w:lineRule="auto"/>
        <w:tabs>
          <w:tab w:leader="none" w:pos="1688"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have received (A) a certificate of the Company dated as of the Extension Date signed by a Responsible Officer of the Company certifying that, before and after giving effect to such extension, (1) the representations and warranties of the Loan Parties contained in this Agreement and the other Loan Documents are true and correct in all material respects on and as of the Extension Date as if made on and as of such date (or, if any such representation or warranty is expressly stated to have been made as of a specific date, as of such specific date), and except that, for purposes of this Section, the representations and warranties contained in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shall be deemed to refer to the most recent statements furnished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and</w:t>
      </w:r>
    </w:p>
    <w:p>
      <w:pPr>
        <w:spacing w:after="0" w:line="4" w:lineRule="exact"/>
        <w:rPr>
          <w:rFonts w:ascii="Times New Roman" w:cs="Times New Roman" w:eastAsia="Times New Roman" w:hAnsi="Times New Roman"/>
          <w:sz w:val="19"/>
          <w:szCs w:val="19"/>
          <w:color w:val="auto"/>
        </w:rPr>
      </w:pPr>
    </w:p>
    <w:p>
      <w:pPr>
        <w:jc w:val="both"/>
        <w:ind w:left="66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no Default has occurred and is continuing; (B) a duly executed Assignment and Assumption referred to in paragraph (d) of this Section from each Additional Commitment Lender; and (C) such other information or documentation as the Administrative Agent may reasonably request; and</w:t>
      </w:r>
    </w:p>
    <w:p>
      <w:pPr>
        <w:spacing w:after="0" w:line="188"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79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Extension Date, (1) the Borrowers shall have paid in full the principal of and interest on all of the Loans made by each Non-Extending Lender to them hereunder and (2) the Borrowers shall have paid in full all other amounts owing to such Non-Extending Lender hereunder.</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09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Sharing of Payments</w:t>
      </w:r>
      <w:r>
        <w:rPr>
          <w:rFonts w:ascii="Times New Roman" w:cs="Times New Roman" w:eastAsia="Times New Roman" w:hAnsi="Times New Roman"/>
          <w:sz w:val="20"/>
          <w:szCs w:val="20"/>
          <w:color w:val="auto"/>
        </w:rPr>
        <w:t xml:space="preserve">. In connection with any extension of the Maturity Date, the Borrowers, the Administrative Agent and each Extending Lender may make such amendments to this Agreement as the Administrative Agent determines to be reasonably necessary to evidence the extension. This Section shall supersede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III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TAXES, YIELD PROTECTION AND ILLEGALITY</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060" w:hanging="404"/>
        <w:spacing w:after="0"/>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15"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5" w:lineRule="auto"/>
        <w:tabs>
          <w:tab w:leader="none" w:pos="1783"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9"/>
          <w:szCs w:val="19"/>
          <w:u w:val="single" w:color="auto"/>
          <w:color w:val="auto"/>
        </w:rPr>
        <w:t>subsection (e)</w:t>
      </w:r>
      <w:r>
        <w:rPr>
          <w:rFonts w:ascii="Times New Roman" w:cs="Times New Roman" w:eastAsia="Times New Roman" w:hAnsi="Times New Roman"/>
          <w:sz w:val="19"/>
          <w:szCs w:val="19"/>
          <w:color w:val="auto"/>
        </w:rPr>
        <w:t xml:space="preserve"> below, (B) the Administrative Agent shall timely pay the full amount withheld or deducted to the relevant Governmental Authority in accordance with the Internal Revenue Code, and</w:t>
      </w:r>
    </w:p>
    <w:p>
      <w:pPr>
        <w:spacing w:after="0" w:line="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 to the extent that the withholding or deduction is made on account of Indemnified Taxes, the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13" w:right="339" w:bottom="1440" w:gutter="0" w:footer="0" w:header="0"/>
        </w:sectPr>
      </w:pPr>
    </w:p>
    <w:bookmarkStart w:id="89" w:name="page90"/>
    <w:bookmarkEnd w:id="89"/>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 xml:space="preserve">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1" w:lineRule="exact"/>
        <w:rPr>
          <w:sz w:val="20"/>
          <w:szCs w:val="20"/>
          <w:color w:val="auto"/>
        </w:rPr>
      </w:pPr>
    </w:p>
    <w:p>
      <w:pPr>
        <w:jc w:val="both"/>
        <w:ind w:left="660" w:firstLine="644"/>
        <w:spacing w:after="0" w:line="252" w:lineRule="auto"/>
        <w:tabs>
          <w:tab w:leader="none" w:pos="1906"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7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81" w:lineRule="exact"/>
        <w:rPr>
          <w:rFonts w:ascii="Times New Roman" w:cs="Times New Roman" w:eastAsia="Times New Roman" w:hAnsi="Times New Roman"/>
          <w:sz w:val="20"/>
          <w:szCs w:val="20"/>
          <w:color w:val="auto"/>
        </w:rPr>
      </w:pPr>
    </w:p>
    <w:p>
      <w:pPr>
        <w:jc w:val="both"/>
        <w:ind w:left="660" w:hanging="4"/>
        <w:spacing w:after="0" w:line="250" w:lineRule="auto"/>
        <w:tabs>
          <w:tab w:leader="none" w:pos="11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 xml:space="preserve">. (i) Without duplication of amounts paid pursuant to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each of the Loan Parties shall, and does hereby, jointly and severally indemnify each Recipient, and shall make payment in respect thereof within ten Business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penalties, interest and reasonable expenses arising therefrom or with respect thereto (other than penalties, interest and expenses attributable to gross negligence or willful misconduct of the Recipient), whether or not such Indemnified Taxes were correctly or legally imposed or asserted by the relevant Governmental Authority. A certificate as to the amount of such payment or liability delivered to the Company by a Lender or the L/C Issuer (with a copy to the Administrative Agent), or by the Administrative Agent on its own behalf or on behalf of a Lender or the L/C Issuer, shall be conclusive absent demonstrable error. Each of the Loan Parties shall, and does hereby, jointly and severally indemnify the Administrative Agent, and shall make payment in respect thereof within ten Business Days after demand therefor, for any amount which a Lender or the L/C Issuer (other than a Lender or L/C Issuer that is also serving as the Administrative Agent at such time) for any reason fails to pay to the Administrative Agent as required pursuant to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 xml:space="preserve"> below.</w:t>
      </w:r>
    </w:p>
    <w:p>
      <w:pPr>
        <w:spacing w:after="0" w:line="193" w:lineRule="exact"/>
        <w:rPr>
          <w:rFonts w:ascii="Times New Roman" w:cs="Times New Roman" w:eastAsia="Times New Roman" w:hAnsi="Times New Roman"/>
          <w:sz w:val="20"/>
          <w:szCs w:val="20"/>
          <w:color w:val="auto"/>
        </w:rPr>
      </w:pPr>
    </w:p>
    <w:p>
      <w:pPr>
        <w:jc w:val="both"/>
        <w:ind w:left="660" w:firstLine="644"/>
        <w:spacing w:after="0" w:line="270" w:lineRule="auto"/>
        <w:tabs>
          <w:tab w:leader="none" w:pos="1743"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 w:cs="Times New Roman" w:eastAsia="Times New Roman" w:hAnsi="Times New Roman"/>
          <w:sz w:val="19"/>
          <w:szCs w:val="19"/>
          <w:u w:val="single" w:color="auto"/>
          <w:color w:val="auto"/>
        </w:rPr>
        <w:t>Section 11.06(d)</w:t>
      </w:r>
      <w:r>
        <w:rPr>
          <w:rFonts w:ascii="Times New Roman" w:cs="Times New Roman" w:eastAsia="Times New Roman" w:hAnsi="Times New Roman"/>
          <w:sz w:val="19"/>
          <w:szCs w:val="19"/>
          <w:color w:val="auto"/>
        </w:rPr>
        <w:t xml:space="preserve">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13" w:right="339" w:bottom="1440" w:gutter="0" w:footer="0" w:header="0"/>
        </w:sectPr>
      </w:pPr>
    </w:p>
    <w:bookmarkStart w:id="90" w:name="page91"/>
    <w:bookmarkEnd w:id="90"/>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 xml:space="preserve">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shall be conclusive absent demonstrable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656"/>
        <w:spacing w:after="0" w:line="270" w:lineRule="auto"/>
        <w:tabs>
          <w:tab w:leader="none" w:pos="1072"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Evidence of Payments</w:t>
      </w:r>
      <w:r>
        <w:rPr>
          <w:rFonts w:ascii="Times New Roman" w:cs="Times New Roman" w:eastAsia="Times New Roman" w:hAnsi="Times New Roman"/>
          <w:sz w:val="19"/>
          <w:szCs w:val="19"/>
          <w:color w:val="auto"/>
        </w:rPr>
        <w:t xml:space="preserve">. Upon request by any Loan Party or the Administrative Agent, as the case may be, after any payment of Taxes by such Loan Party or by the Administrative Agent to a Governmental Authority as provided in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175"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67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and, to the extent the L/C Issuer is not also a Lender under this Agreement, the L/C Issuer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and, to the extent the L/C Issuer is not also a Lender under this Agreement, the L/C Issuer,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or the L/C Issuer, as applicable,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3.01(e)(ii)(B)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3.01(e)(ii)(D)</w:t>
      </w:r>
      <w:r>
        <w:rPr>
          <w:rFonts w:ascii="Times New Roman" w:cs="Times New Roman" w:eastAsia="Times New Roman" w:hAnsi="Times New Roman"/>
          <w:sz w:val="20"/>
          <w:szCs w:val="20"/>
          <w:color w:val="auto"/>
        </w:rPr>
        <w:t xml:space="preserve"> below) shall not be required if in the Lender’s or the L/C Issuer’s reasonable judgment such completion, execution or submission would subject such Lender or the L/C Issuer, as applicable, to any material unreimbursed cost or expense or would materially prejudice the legal or commercial position of such Lender or the L/C Issuer, as applicable.</w:t>
      </w:r>
    </w:p>
    <w:p>
      <w:pPr>
        <w:spacing w:after="0" w:line="19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a Borrower is a U.S. Person,</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416"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and, to the extent the L/C Issuer is not also a Lender under this Agreement, the L/C Issuer that is a U.S. Person shall deliver to such Borrower and the Administrative Agent on or prior to the date on which such Lender becomes a Lender under this Agreement (and from time to time thereafter upon the reasonable request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13" w:right="339" w:bottom="1440" w:gutter="0" w:footer="0" w:header="0"/>
        </w:sectPr>
      </w:pPr>
    </w:p>
    <w:bookmarkStart w:id="91" w:name="page92"/>
    <w:bookmarkEnd w:id="91"/>
    <w:p>
      <w:pPr>
        <w:ind w:left="180"/>
        <w:spacing w:after="0" w:line="283" w:lineRule="auto"/>
        <w:rPr>
          <w:sz w:val="20"/>
          <w:szCs w:val="20"/>
          <w:color w:val="auto"/>
        </w:rPr>
      </w:pPr>
      <w:r>
        <w:rPr>
          <w:rFonts w:ascii="Times New Roman" w:cs="Times New Roman" w:eastAsia="Times New Roman" w:hAnsi="Times New Roman"/>
          <w:sz w:val="20"/>
          <w:szCs w:val="20"/>
          <w:color w:val="auto"/>
        </w:rPr>
        <w:t>such Borrower or the Administrative Agent), executed copies of IRS Form W-9 certifying that such Lender is exempt from U.S. federal backup withholding tax;</w:t>
      </w:r>
    </w:p>
    <w:p>
      <w:pPr>
        <w:spacing w:after="0" w:line="146" w:lineRule="exact"/>
        <w:rPr>
          <w:sz w:val="20"/>
          <w:szCs w:val="20"/>
          <w:color w:val="auto"/>
        </w:rPr>
      </w:pPr>
    </w:p>
    <w:p>
      <w:pPr>
        <w:jc w:val="both"/>
        <w:ind w:left="180" w:firstLine="652"/>
        <w:spacing w:after="0" w:line="258" w:lineRule="auto"/>
        <w:tabs>
          <w:tab w:leader="none" w:pos="140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85" w:lineRule="exact"/>
        <w:rPr>
          <w:rFonts w:ascii="Times New Roman" w:cs="Times New Roman" w:eastAsia="Times New Roman" w:hAnsi="Times New Roman"/>
          <w:sz w:val="20"/>
          <w:szCs w:val="20"/>
          <w:color w:val="auto"/>
        </w:rPr>
      </w:pPr>
    </w:p>
    <w:p>
      <w:pPr>
        <w:jc w:val="both"/>
        <w:ind w:left="840" w:firstLine="640"/>
        <w:spacing w:after="0" w:line="251" w:lineRule="auto"/>
        <w:tabs>
          <w:tab w:leader="none" w:pos="189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executed copies of IRS Form W-8BEN or W-8BEN-E, as applicable, establishing an exemption from, or reduction of, U.S. federal withholding Tax pursuant to the “business profits” or “other income” article of such tax treaty;</w:t>
      </w:r>
    </w:p>
    <w:p>
      <w:pPr>
        <w:spacing w:after="0" w:line="192" w:lineRule="exact"/>
        <w:rPr>
          <w:rFonts w:ascii="Times New Roman" w:cs="Times New Roman" w:eastAsia="Times New Roman" w:hAnsi="Times New Roman"/>
          <w:sz w:val="20"/>
          <w:szCs w:val="20"/>
          <w:color w:val="auto"/>
        </w:rPr>
      </w:pPr>
    </w:p>
    <w:p>
      <w:pPr>
        <w:ind w:left="1900" w:hanging="420"/>
        <w:spacing w:after="0"/>
        <w:tabs>
          <w:tab w:leader="none" w:pos="19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840" w:firstLine="640"/>
        <w:spacing w:after="0" w:line="269" w:lineRule="auto"/>
        <w:tabs>
          <w:tab w:leader="none" w:pos="1993"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Internal Revenue Code, (x) a certificate substantially in the form of </w:t>
      </w:r>
      <w:r>
        <w:rPr>
          <w:rFonts w:ascii="Times New Roman" w:cs="Times New Roman" w:eastAsia="Times New Roman" w:hAnsi="Times New Roman"/>
          <w:sz w:val="19"/>
          <w:szCs w:val="19"/>
          <w:u w:val="single" w:color="auto"/>
          <w:color w:val="auto"/>
        </w:rPr>
        <w:t>Exhibit 3.01-A</w:t>
      </w:r>
      <w:r>
        <w:rPr>
          <w:rFonts w:ascii="Times New Roman" w:cs="Times New Roman" w:eastAsia="Times New Roman" w:hAnsi="Times New Roman"/>
          <w:sz w:val="19"/>
          <w:szCs w:val="19"/>
          <w:color w:val="auto"/>
        </w:rPr>
        <w:t xml:space="preserve"> to the effect that such Foreign Lender is not a “bank” within the meaning of Section 881(c)(3)(A) of the Internal Revenue Code, a “10 percent shareholder” of such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Tax Compliance Certificate</w:t>
      </w:r>
      <w:r>
        <w:rPr>
          <w:rFonts w:ascii="Times New Roman" w:cs="Times New Roman" w:eastAsia="Times New Roman" w:hAnsi="Times New Roman"/>
          <w:sz w:val="19"/>
          <w:szCs w:val="19"/>
          <w:color w:val="auto"/>
        </w:rPr>
        <w:t>”) and (y) executed copies of IRS Form W-8BEN or W-8BEN-E, as applicable; or</w:t>
      </w:r>
    </w:p>
    <w:p>
      <w:pPr>
        <w:spacing w:after="0" w:line="177" w:lineRule="exact"/>
        <w:rPr>
          <w:rFonts w:ascii="Times New Roman" w:cs="Times New Roman" w:eastAsia="Times New Roman" w:hAnsi="Times New Roman"/>
          <w:sz w:val="19"/>
          <w:szCs w:val="19"/>
          <w:color w:val="auto"/>
        </w:rPr>
      </w:pPr>
    </w:p>
    <w:p>
      <w:pPr>
        <w:jc w:val="both"/>
        <w:ind w:left="840" w:firstLine="640"/>
        <w:spacing w:after="0" w:line="251" w:lineRule="auto"/>
        <w:tabs>
          <w:tab w:leader="none" w:pos="1993"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W-8BEN-E, as applicable, a U.S. Tax Compliance Certificate substantially in the form of </w:t>
      </w:r>
      <w:r>
        <w:rPr>
          <w:rFonts w:ascii="Times New Roman" w:cs="Times New Roman" w:eastAsia="Times New Roman" w:hAnsi="Times New Roman"/>
          <w:sz w:val="20"/>
          <w:szCs w:val="20"/>
          <w:u w:val="single" w:color="auto"/>
          <w:color w:val="auto"/>
        </w:rPr>
        <w:t>Exhibit 3.01-B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3.01-C</w:t>
      </w:r>
      <w:r>
        <w:rPr>
          <w:rFonts w:ascii="Times New Roman" w:cs="Times New Roman" w:eastAsia="Times New Roman" w:hAnsi="Times New Roman"/>
          <w:sz w:val="20"/>
          <w:szCs w:val="20"/>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3.01-D</w:t>
      </w:r>
      <w:r>
        <w:rPr>
          <w:rFonts w:ascii="Times New Roman" w:cs="Times New Roman" w:eastAsia="Times New Roman" w:hAnsi="Times New Roman"/>
          <w:sz w:val="20"/>
          <w:szCs w:val="20"/>
          <w:color w:val="auto"/>
        </w:rPr>
        <w:t xml:space="preserve"> on behalf of each such direct and indirect partner;</w:t>
      </w:r>
    </w:p>
    <w:p>
      <w:pPr>
        <w:spacing w:after="0" w:line="192" w:lineRule="exact"/>
        <w:rPr>
          <w:rFonts w:ascii="Times New Roman" w:cs="Times New Roman" w:eastAsia="Times New Roman" w:hAnsi="Times New Roman"/>
          <w:sz w:val="20"/>
          <w:szCs w:val="20"/>
          <w:color w:val="auto"/>
        </w:rPr>
      </w:pPr>
    </w:p>
    <w:p>
      <w:pPr>
        <w:jc w:val="both"/>
        <w:ind w:left="180" w:firstLine="652"/>
        <w:spacing w:after="0" w:line="258" w:lineRule="auto"/>
        <w:tabs>
          <w:tab w:leader="none" w:pos="140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120"/>
          </w:cols>
          <w:pgMar w:left="1440" w:top="1413" w:right="339" w:bottom="1440" w:gutter="0" w:footer="0" w:header="0"/>
        </w:sectPr>
      </w:pPr>
    </w:p>
    <w:bookmarkStart w:id="92" w:name="page93"/>
    <w:bookmarkEnd w:id="92"/>
    <w:p>
      <w:pPr>
        <w:jc w:val="both"/>
        <w:ind w:left="1300" w:right="20"/>
        <w:spacing w:after="0" w:line="258" w:lineRule="auto"/>
        <w:rPr>
          <w:sz w:val="20"/>
          <w:szCs w:val="20"/>
          <w:color w:val="auto"/>
        </w:rPr>
      </w:pPr>
      <w:r>
        <w:rPr>
          <w:rFonts w:ascii="Times New Roman" w:cs="Times New Roman" w:eastAsia="Times New Roman" w:hAnsi="Times New Roman"/>
          <w:sz w:val="20"/>
          <w:szCs w:val="20"/>
          <w:color w:val="auto"/>
        </w:rPr>
        <w:t>originals, as required)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72" w:lineRule="exact"/>
        <w:rPr>
          <w:sz w:val="20"/>
          <w:szCs w:val="20"/>
          <w:color w:val="auto"/>
        </w:rPr>
      </w:pPr>
    </w:p>
    <w:p>
      <w:pPr>
        <w:jc w:val="both"/>
        <w:ind w:left="1300" w:firstLine="652"/>
        <w:spacing w:after="0" w:line="251" w:lineRule="auto"/>
        <w:tabs>
          <w:tab w:leader="none" w:pos="2443"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or the L/C Issuer under any Loan Document would be subject to U.S. federal withholding Tax imposed by FATCA if such Lender or the L/C Issuer were to fail to comply with the applicable reporting requirements of FATCA (including those contained in Section 1471(b) or 1472(b) of the Internal Revenue Code, as applicable), such Lender and, to the extent the L/C Issuer is not also a Lender under this Agreement, the L/C Issuer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and the Administrative Agent to comply with their obligations under FATCA and to determine that such Lender or the L/C Issuer, as applicable, has complied with such Lender’s or the L/C Issuer’s, as applicable, obligations under FATCA or to determine the amount to deduct and withhold from such payment. Solely for purposes of this clause (D), “FATCA” shall include any amendments made to FATCA after the Second Amendment Effective Date.</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81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to the extent the L/C Issuer is not also a Lender under this Agreement, the L/C Issuer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7" w:lineRule="exact"/>
        <w:rPr>
          <w:rFonts w:ascii="Times New Roman" w:cs="Times New Roman" w:eastAsia="Times New Roman" w:hAnsi="Times New Roman"/>
          <w:sz w:val="20"/>
          <w:szCs w:val="20"/>
          <w:color w:val="auto"/>
        </w:rPr>
      </w:pPr>
    </w:p>
    <w:p>
      <w:pPr>
        <w:jc w:val="both"/>
        <w:ind w:firstLine="656"/>
        <w:spacing w:after="0" w:line="249" w:lineRule="auto"/>
        <w:tabs>
          <w:tab w:leader="none" w:pos="116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(including any application or carryover of such refund amount to reduce any amount otherwise payable to the refunding Governmental Authority) of Taxes withheld or deducted from funds paid for the account of such Lender or the L/C Issuer, as the case may be. If any Recipient determines, in its sole discretion exercised in good faith, that it has received a refund of any Taxes or Other Taxes as to which it has been indemnified by any Loan Party or with respect to which any Loan Party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the Loan Party an amount equal to such refund (but only to the extent of indemnity payments made, or additional amounts paid, by a Loan Party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or Other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to the extent that the payment of such amount would place the Recipient in a less favorable net after Tax position that such Recipient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20"/>
          <w:szCs w:val="20"/>
          <w:color w:val="auto"/>
        </w:rPr>
        <w:t>in if the indemnification 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spacing w:after="0" w:line="181" w:lineRule="exact"/>
        <w:rPr>
          <w:sz w:val="20"/>
          <w:szCs w:val="20"/>
          <w:color w:val="auto"/>
        </w:rPr>
      </w:pPr>
    </w:p>
    <w:p>
      <w:pPr>
        <w:jc w:val="both"/>
        <w:ind w:firstLine="656"/>
        <w:spacing w:after="0" w:line="261" w:lineRule="auto"/>
        <w:tabs>
          <w:tab w:leader="none" w:pos="112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Loans whose interest rate is determined by reference to the Relevant Rate (whether denominated in Dollars or an Alternative Currency), or to determine or charge interest rates based upon the Relevant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Term Benchmark Loans in the affected currency or currencies or, in the case of Term Benchmark Loans denominated in Dollars, to convert Base Rate Loans to Term Benchmark Loans shall be suspended and (ii) if such notice asserts the illegality of such Lender making or maintaining Base Rate Loans the interest rate on which is determined by reference to the Relevant Rate component of the Base Rate, the interest rate on which Base Rate Loans of such Lender, shall, if necessary to avoid such illegality, be determined by the Administrative Agent without reference to the Relevant Rate component of the Base Rate, in each case until such Lender notifies the Administrative Agent and the Company that the circumstances giving rise to such determination no longer exist (and each Lender hereby agrees to provide such notice promptly upon such circumstances ceasing to exist). Upon receipt of such notice by the Company, (x) the Borrowers shall, upon demand from such Lender (with a copy to the Administrative Agent), prepay or, if applicable and such Loans are denominated in Dollars, convert all Term Benchmark Loans of such Lender to Base Rate Loans (the interest rate on which Base Rate Loans of such Lender shall, if necessary to avoid such illegality, be determined by the Administrative Agent without reference to the Relevant Rate component of the Base Rate), either on the last day of the Interest Period therefor, if such Lender may lawfully continue to maintain such Term Benchmark Loans to such day, or immediately, if such Lender may not lawfully continue to maintain such Term Benchmark Loans and (y) if such notice asserts the illegality of such Lender determining or charging interest rates based upon the Relevant Rate, the Administrative Agent shall during the period of such suspension compute the Base Rate applicable to such Lender without reference to the Relevant Rate component thereof until the Administrative Agent is advised in writing by such Lender that it is no longer illegal for such Lender to determine or charge interest rates based upon the Relevant Rate (and each Lender hereby agrees to provide notice to the Administrative Agent and the Company when such illegality ceases to exist). Upon any such prepayment or conversion, the Borrowers shall also pay accrued interest on the amount so prepaid or converted.</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Lender at its option may make any Credit Extension to any Borrower by causing any domestic or foreign branch or Affiliate of such Lender (each a “</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xml:space="preserve">”) to make such Credit Extension (and in the case of an Affiliate, the provisions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shall apply to such Affiliate to the same extent as to such Lender); provided that any exercise of such option shall not affect the obligation of the relevant Borrower to repay such Credit Extension in accordance with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any Lender or any Designated Lender determines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13" w:right="339" w:bottom="1440" w:gutter="0" w:footer="0" w:header="0"/>
        </w:sectPr>
      </w:pPr>
    </w:p>
    <w:bookmarkStart w:id="94" w:name="page95"/>
    <w:bookmarkEnd w:id="94"/>
    <w:p>
      <w:pPr>
        <w:jc w:val="both"/>
        <w:spacing w:after="0" w:line="253" w:lineRule="auto"/>
        <w:rPr>
          <w:sz w:val="20"/>
          <w:szCs w:val="20"/>
          <w:color w:val="auto"/>
        </w:rPr>
      </w:pPr>
      <w:r>
        <w:rPr>
          <w:rFonts w:ascii="Times New Roman" w:cs="Times New Roman" w:eastAsia="Times New Roman" w:hAnsi="Times New Roman"/>
          <w:sz w:val="20"/>
          <w:szCs w:val="20"/>
          <w:color w:val="auto"/>
        </w:rPr>
        <w:t>any Law has made it unlawful, or that any Governmental Authority has asserted that it is unlawful, for any Lender or its applicable Designated Lender to perform its obligations hereunder or to issue, make, maintain, fund or charge interest with respect to any Credit Extension to any Designated Borrower who is organized under the laws of a jurisdiction other than the United States, a State thereof or the District of Columbia then, on notice thereof by such Lender to the Company through the Administrative Agent, and until such notice by such Lender is revoked (and each Lender hereby agrees to make such revocation when such illegality ceases to exist), any obligation of such Lender to issue, make, maintain, fund or charge interest with respect to any such Credit Extension shall be suspended. Upon receipt of such notice, the Loan Parties shall, take all reasonable actions requested by such Lender to mitigate or avoid such illegality.</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3.04</w:t>
      </w:r>
      <w:r>
        <w:rPr>
          <w:sz w:val="20"/>
          <w:szCs w:val="20"/>
          <w:color w:val="auto"/>
        </w:rPr>
        <w:tab/>
      </w:r>
      <w:r>
        <w:rPr>
          <w:rFonts w:ascii="Times New Roman" w:cs="Times New Roman" w:eastAsia="Times New Roman" w:hAnsi="Times New Roman"/>
          <w:sz w:val="19"/>
          <w:szCs w:val="19"/>
          <w:u w:val="single" w:color="auto"/>
          <w:color w:val="auto"/>
        </w:rPr>
        <w:t>Increased Cost and Reduced Return; Capital Adequacy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60" w:hanging="404"/>
        <w:spacing w:after="0"/>
        <w:tabs>
          <w:tab w:leader="none" w:pos="10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6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Relevant Rate) or the L/C Issuer;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2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1"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7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or the applicable offshore interbank market for the applicable Agreed Currency any other condition, cost or expense (other than Taxes) affecting this Agreement or Term Benchmark Loans made by such Lender or any Letter of Credit or participation therein;</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and the result of any of the foregoing shall be to increase the cost to such Lender of making, converting to, continuing or maintaining any Loan the interest on which is determined by reference to the Relevant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within thirty days after receipt of the request of such Lender or the L/C Issuer (accompanied by a certificate as contemplated by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the Borrowers will pay to such Lender or the L/C Issuer, as the case may be, such additional amount or amounts as will compensate such Lender or the L/C Issuer, as the case may be, for such additional costs incurred or reduction suffered.</w:t>
      </w:r>
    </w:p>
    <w:p>
      <w:pPr>
        <w:spacing w:after="0" w:line="195" w:lineRule="exact"/>
        <w:rPr>
          <w:sz w:val="20"/>
          <w:szCs w:val="20"/>
          <w:color w:val="auto"/>
        </w:rPr>
      </w:pPr>
    </w:p>
    <w:p>
      <w:pPr>
        <w:jc w:val="both"/>
        <w:ind w:firstLine="656"/>
        <w:spacing w:after="0" w:line="254" w:lineRule="auto"/>
        <w:tabs>
          <w:tab w:leader="none" w:pos="111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L/C Issuer determines that any Change in Law affecting such Lender or the L/C Issuer or any Lending Office of such Lender or such Lender’s or the L/C Issuer’s holding company, if any, regarding capital or liquidity requirements has had the effect of reducing the rate of return on such Lender’s or the L/C Issuer’s capital or on the capital of such Lender’s or the L/C Issuer’s holding company, if any, as a consequence of this Agreement, the Commitments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13" w:right="339" w:bottom="1440" w:gutter="0" w:footer="0" w:header="0"/>
        </w:sectPr>
      </w:pPr>
    </w:p>
    <w:bookmarkStart w:id="95" w:name="page96"/>
    <w:bookmarkEnd w:id="9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Borrowers will pay to such Lender or the L/C Issuer, as the case may be, within thirty days after receipt of the request of such Lender or the L/C Issuer (accompanied by a certificate as contemplated by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such additional amount or amounts as will compensate such Lender or the L/C Issuer or such Lender’s or the L/C Issuer’s holding company for any such reduction suffered.</w:t>
      </w:r>
    </w:p>
    <w:p>
      <w:pPr>
        <w:spacing w:after="0" w:line="179" w:lineRule="exact"/>
        <w:rPr>
          <w:sz w:val="20"/>
          <w:szCs w:val="20"/>
          <w:color w:val="auto"/>
        </w:rPr>
      </w:pPr>
    </w:p>
    <w:p>
      <w:pPr>
        <w:jc w:val="both"/>
        <w:ind w:firstLine="656"/>
        <w:spacing w:after="0" w:line="253" w:lineRule="auto"/>
        <w:tabs>
          <w:tab w:leader="none" w:pos="115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shall not be required to compensate a Lender or the L/C Issuer pursuant to the foregoing provisions of this Section for any increased costs incurred or reductions suffered more than 120 days prior to the date that such Lender or the L/C Issuer, as the case may be, demands compensation pursuant to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in respect of the Change in Law giving rise to such increased costs or reductions (except that, if the Change in Law giving rise to such increased costs or reductions is retroactive, then the 120 day period referred to above shall be extended to include the period of retroactive effect thereof).</w:t>
      </w:r>
    </w:p>
    <w:p>
      <w:pPr>
        <w:spacing w:after="0" w:line="179" w:lineRule="exact"/>
        <w:rPr>
          <w:rFonts w:ascii="Times New Roman" w:cs="Times New Roman" w:eastAsia="Times New Roman" w:hAnsi="Times New Roman"/>
          <w:sz w:val="20"/>
          <w:szCs w:val="20"/>
          <w:color w:val="auto"/>
        </w:rPr>
      </w:pPr>
    </w:p>
    <w:p>
      <w:pPr>
        <w:ind w:firstLine="656"/>
        <w:spacing w:after="0" w:line="283" w:lineRule="auto"/>
        <w:tabs>
          <w:tab w:leader="none" w:pos="105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A Lender shall not be entitled to any compensation pursuant to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to the extent such Lender is not generally imposing such charges or requesting such compensation from other similarly situated borrowers under similar circumstances.</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3.05</w:t>
      </w:r>
      <w:r>
        <w:rPr>
          <w:sz w:val="20"/>
          <w:szCs w:val="20"/>
          <w:color w:val="auto"/>
        </w:rPr>
        <w:tab/>
      </w:r>
      <w:r>
        <w:rPr>
          <w:rFonts w:ascii="Times New Roman" w:cs="Times New Roman" w:eastAsia="Times New Roman" w:hAnsi="Times New Roman"/>
          <w:sz w:val="19"/>
          <w:szCs w:val="19"/>
          <w:u w:val="single" w:color="auto"/>
          <w:color w:val="auto"/>
        </w:rPr>
        <w:t>Compensation for Losses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Within 30 days after written demand of any Lender (with a copy to the Administrative Agent) from time to time, the Borrowers shall compensate such Lender for and hold such Lender harmless from any loss, cost or expense incurred by it as a result of:</w:t>
      </w:r>
    </w:p>
    <w:p>
      <w:pPr>
        <w:spacing w:after="0" w:line="146" w:lineRule="exact"/>
        <w:rPr>
          <w:sz w:val="20"/>
          <w:szCs w:val="20"/>
          <w:color w:val="auto"/>
        </w:rPr>
      </w:pPr>
    </w:p>
    <w:p>
      <w:pPr>
        <w:ind w:firstLine="656"/>
        <w:spacing w:after="0" w:line="283" w:lineRule="auto"/>
        <w:tabs>
          <w:tab w:leader="none" w:pos="106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11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Borrower (for a reason other than the failure of such Lender to make a Loan) to prepay, borrow, continue or convert any Loan other than a Base Rate Loan on the date or in the amount notified by such Borrower (and not revoked in accordance with the terms hereof);</w:t>
      </w:r>
    </w:p>
    <w:p>
      <w:pPr>
        <w:spacing w:after="0" w:line="161" w:lineRule="exact"/>
        <w:rPr>
          <w:rFonts w:ascii="Times New Roman" w:cs="Times New Roman" w:eastAsia="Times New Roman" w:hAnsi="Times New Roman"/>
          <w:sz w:val="20"/>
          <w:szCs w:val="20"/>
          <w:color w:val="auto"/>
        </w:rPr>
      </w:pPr>
    </w:p>
    <w:p>
      <w:pPr>
        <w:ind w:right="20" w:firstLine="656"/>
        <w:spacing w:after="0" w:line="283" w:lineRule="auto"/>
        <w:tabs>
          <w:tab w:leader="none" w:pos="115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Borrower to make payment of any Loan or drawing under any Letter of Credit (or interest due thereon) denominated in an Alternative Currency on its scheduled due date or any payment thereof in a different currency; or</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Benchmark Loan on a day other than the last day of the Interest Period therefor as a result of a request by the Company pursuant to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and excluding any loss of anticipated profits. The Borrowers shall also pay any customary administrative fees charged by such Lender in connection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13" w:right="339" w:bottom="1440" w:gutter="0" w:footer="0" w:header="0"/>
        </w:sectPr>
      </w:pPr>
    </w:p>
    <w:bookmarkStart w:id="96" w:name="page97"/>
    <w:bookmarkEnd w:id="96"/>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Borrowers to the Lenders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 Lender shall be deemed to have funded each Term Benchmark Loan made by it at the Relevant Rate used in determining the Relevant Rate for such Loan by a matching deposit or other borrowing in the offshore interbank market for such currency for a comparable amount and for a comparable period, whether or not such Term Benchmark Loan was in fact so funded.</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3.06</w:t>
      </w:r>
      <w:r>
        <w:rPr>
          <w:sz w:val="20"/>
          <w:szCs w:val="20"/>
          <w:color w:val="auto"/>
        </w:rPr>
        <w:tab/>
      </w:r>
      <w:r>
        <w:rPr>
          <w:rFonts w:ascii="Times New Roman" w:cs="Times New Roman" w:eastAsia="Times New Roman" w:hAnsi="Times New Roman"/>
          <w:sz w:val="19"/>
          <w:szCs w:val="19"/>
          <w:u w:val="single" w:color="auto"/>
          <w:color w:val="auto"/>
        </w:rPr>
        <w:t>Matters Applicable to all Requests for Compensation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9" w:lineRule="auto"/>
        <w:tabs>
          <w:tab w:leader="none" w:pos="1048"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the Administrative Agent, any Lender or the L/C Issuer claiming compensation under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and setting forth, in reasonable detail, the basis of any loss, cost or expense and the additional amount or amounts to be paid to it hereunder shall be conclusive in the absence of demonstrable error. In determining such amount, the Administrative Agent, such Lender or the L/C Issuer (i) may use reasonable averaging and attribution methods and (ii) shall act in good faith (and not on an arbitrary or capricious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none of the Administrative Agent, such Lender or the L/C Issuer, as applicable, shall be required to disclose any confidential or proprietary information in connection therewith. Any claim for compensation under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must be accompanied by such certificate.</w:t>
      </w:r>
    </w:p>
    <w:p>
      <w:pPr>
        <w:spacing w:after="0" w:line="177" w:lineRule="exact"/>
        <w:rPr>
          <w:rFonts w:ascii="Times New Roman" w:cs="Times New Roman" w:eastAsia="Times New Roman" w:hAnsi="Times New Roman"/>
          <w:sz w:val="19"/>
          <w:szCs w:val="19"/>
          <w:color w:val="auto"/>
        </w:rPr>
      </w:pPr>
    </w:p>
    <w:p>
      <w:pPr>
        <w:jc w:val="both"/>
        <w:ind w:firstLine="656"/>
        <w:spacing w:after="0" w:line="249" w:lineRule="auto"/>
        <w:tabs>
          <w:tab w:leader="none" w:pos="113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may make any Credit Extension to a Borrower through any Lending Office, provided that the exercise of this option shall not affect the obligation of such Borrower to repay the Credit Extension in accordance with the terms of this Agreement. If any Lender or the L/C Issuer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any Borrower is required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the Company,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Borrowers hereby agree to pay all reasonable costs and expenses incurred by any Lender or the L/C Issuer in connection with any such designation or assignment.</w:t>
      </w:r>
    </w:p>
    <w:p>
      <w:pPr>
        <w:spacing w:after="0" w:line="201" w:lineRule="exact"/>
        <w:rPr>
          <w:rFonts w:ascii="Times New Roman" w:cs="Times New Roman" w:eastAsia="Times New Roman" w:hAnsi="Times New Roman"/>
          <w:sz w:val="20"/>
          <w:szCs w:val="20"/>
          <w:color w:val="auto"/>
        </w:rPr>
      </w:pPr>
    </w:p>
    <w:p>
      <w:pPr>
        <w:ind w:right="20" w:firstLine="656"/>
        <w:spacing w:after="0" w:line="269" w:lineRule="auto"/>
        <w:tabs>
          <w:tab w:leader="none" w:pos="10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Lender’s making a claim for compensation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or giving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 Company may replace such Lender in accordance with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3.07</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40" w:hanging="684"/>
        <w:spacing w:after="0"/>
        <w:tabs>
          <w:tab w:leader="none" w:pos="13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clauses (b), (c), (d), (e) and (f) of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determines (which determination shall be conclusive absent demonstrable error) (A) prior to the commencement of any Interest Period for a Term Benchmark Borrowing, that adequate and reasonable means do not exist for ascertaining any Relevant Rate (including because the Relevant Screen Rate is not available or published on a current basis), for the applicable Agreed Currency and such Interest Period or (B)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13" w:right="339" w:bottom="1440" w:gutter="0" w:footer="0" w:header="0"/>
        </w:sectPr>
      </w:pPr>
    </w:p>
    <w:bookmarkStart w:id="97" w:name="page98"/>
    <w:bookmarkEnd w:id="97"/>
    <w:p>
      <w:pPr>
        <w:ind w:right="20"/>
        <w:spacing w:after="0" w:line="283" w:lineRule="auto"/>
        <w:rPr>
          <w:sz w:val="20"/>
          <w:szCs w:val="20"/>
          <w:color w:val="auto"/>
        </w:rPr>
      </w:pPr>
      <w:r>
        <w:rPr>
          <w:rFonts w:ascii="Times New Roman" w:cs="Times New Roman" w:eastAsia="Times New Roman" w:hAnsi="Times New Roman"/>
          <w:sz w:val="20"/>
          <w:szCs w:val="20"/>
          <w:color w:val="auto"/>
        </w:rPr>
        <w:t>that adequate and reasonable means do not exist for ascertaining the applicable Daily Simple SONIA or RFR for the applicable Agreed Currency; or</w:t>
      </w:r>
    </w:p>
    <w:p>
      <w:pPr>
        <w:spacing w:after="0" w:line="146" w:lineRule="exact"/>
        <w:rPr>
          <w:sz w:val="20"/>
          <w:szCs w:val="20"/>
          <w:color w:val="auto"/>
        </w:rPr>
      </w:pPr>
    </w:p>
    <w:p>
      <w:pPr>
        <w:jc w:val="both"/>
        <w:ind w:firstLine="644"/>
        <w:spacing w:after="0" w:line="253" w:lineRule="auto"/>
        <w:tabs>
          <w:tab w:leader="none" w:pos="135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is advised by the Required Lenders that (A) prior to the commencement of any Interest Period for a Term Benchmark Borrowing, the Relevant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SONIA or RFR for the applicable Agreed Currency will not adequately and fairly reflect the cost to such Lenders (or Lender) of making or maintaining their Loans (or its Loan) included in such Borrowing for the applicable Agreed Currency, as applicable;</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then the Administrative Agent shall give notice thereof to the Company and the Lenders by telephone, telecopy or electronic mail as promptly as practicable thereafter and, until the Administrative Agent notifies the Company and the Lenders that the circumstances giving rise to such notice no longer exist with respect to the relevant Benchmark (which notice shall be given by the Administrative Agent promptly after such circumstances cease to exist), (A) any Loan Notice that requests the conversion of any Borrowing to, or continuation of any Borrowing as, a Term Benchmark Borrowing shall be ineffective, (B) if any Loan Notice requests a Term Benchmark Borrowing in Dollars, such Borrowing shall be made as a Base Rate Loan and (C) if any Loan Notice requests a Term Benchmark Borrowing or an RFR Borrowing for the relevant rate above in an Applicable Currency, then such request shall be ineffective;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notice affect only one Type of Borrowing, then all other Types of Borrowings shall be permitted. Furthermore, if any Term Benchmark Loan or RFR Loan in any Agreed Currency is outstanding on the date of the Company’s receipt of the notice from the Administrative Agent referred to in this </w:t>
      </w:r>
      <w:r>
        <w:rPr>
          <w:rFonts w:ascii="Times New Roman" w:cs="Times New Roman" w:eastAsia="Times New Roman" w:hAnsi="Times New Roman"/>
          <w:sz w:val="20"/>
          <w:szCs w:val="20"/>
          <w:u w:val="single" w:color="auto"/>
          <w:color w:val="auto"/>
        </w:rPr>
        <w:t>Section 3.07 (a)</w:t>
      </w:r>
      <w:r>
        <w:rPr>
          <w:rFonts w:ascii="Times New Roman" w:cs="Times New Roman" w:eastAsia="Times New Roman" w:hAnsi="Times New Roman"/>
          <w:sz w:val="20"/>
          <w:szCs w:val="20"/>
          <w:color w:val="auto"/>
        </w:rPr>
        <w:t xml:space="preserve"> with respect to a Relevant Rate applicable to such Term Benchmark Loan or RFR Loan, then until the Administrative Agent notifies the Company and the Lenders that the circumstances giving rise to such notice no longer exist with respect to the relevant Benchmark (which notice shall be given by the Administrative Agent promptly after such circumstances cease to exist), (i) if such Term Benchmark Loan is denominated in Dollars, then on the last day of the Interest Period applicable to such Loan (or the next succeeding Business Day if such day is not a Business Day), such Loan shall be converted by the Administrative Agent to, and shall constitute, a Base Rate Loan denominated in Dollars on such day, (ii) if such Term Benchmark Loan is denominated in any Alternative Currency, then such Loan shall, on the last day of the Interest Period applicable to such Loan (or the next succeeding Business Day if such day is not a Business Day) bear interest at the Central Bank Rate for the applicable Agreed Currency plus the Applicable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reasonably and in good faith (which determination shall be conclusive and binding absent demonstrable error) that the Central Bank Rate for the applicable Agreed Currency cannot be determined, any outstanding affected Term Benchmark Loans denominated in any Alternative Currency shall, at the Company’s election prior to such day: (A) be prepaid by the applicable Borrower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or (iii) if such RFR Loan is denominated in any Alternative Currency, then such Loan shall bear interest at the Central Bank Rate for the applicable Agreed Currency plus the Applicable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reasonably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80"/>
          </w:cols>
          <w:pgMar w:left="980" w:top="1413" w:right="339" w:bottom="1440" w:gutter="0" w:footer="0" w:header="0"/>
        </w:sectPr>
      </w:pPr>
    </w:p>
    <w:bookmarkStart w:id="98" w:name="page99"/>
    <w:bookmarkEnd w:id="98"/>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good faith (which determination shall be conclusive and binding absent demonstrable error) that the Central Bank Rate for the applicable Agreed Currency cannot be determined, any outstanding affected RFR Loans denominated in any Alternative Currency, at the Company’s election, shall either (A) be converted into Base Rate Loans denominated in Dollars (in an amount equal to the Dollar Equivalent of such Applicable Currency) immediately or (B) be prepaid in full immediately</w:t>
      </w:r>
    </w:p>
    <w:p>
      <w:pPr>
        <w:spacing w:after="0" w:line="172" w:lineRule="exact"/>
        <w:rPr>
          <w:sz w:val="20"/>
          <w:szCs w:val="20"/>
          <w:color w:val="auto"/>
        </w:rPr>
      </w:pPr>
    </w:p>
    <w:p>
      <w:pPr>
        <w:jc w:val="both"/>
        <w:ind w:firstLine="656"/>
        <w:spacing w:after="0" w:line="240" w:lineRule="exact"/>
        <w:tabs>
          <w:tab w:leader="none" w:pos="1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(and any Hedging Agreement shall be deemed not to be a “Loan Document” for purposes of this Section 3.07), if a Benchmark Transition Event and its related Benchmark Replacement Date have occurred prior to the Reference Time in respect of any setting of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(Chicago time) on the 5th Business Day after the date notice of such Benchmark Replacement is provided by the Administrative Agent to the Lenders and the Company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w:t>
      </w:r>
    </w:p>
    <w:p>
      <w:pPr>
        <w:spacing w:after="0" w:line="229" w:lineRule="exact"/>
        <w:rPr>
          <w:sz w:val="20"/>
          <w:szCs w:val="20"/>
          <w:color w:val="auto"/>
        </w:rPr>
      </w:pPr>
    </w:p>
    <w:p>
      <w:pPr>
        <w:jc w:val="both"/>
        <w:ind w:left="660" w:firstLine="644"/>
        <w:spacing w:after="0" w:line="251" w:lineRule="auto"/>
        <w:tabs>
          <w:tab w:leader="none" w:pos="1954" w:val="left"/>
        </w:tabs>
        <w:numPr>
          <w:ilvl w:val="0"/>
          <w:numId w:val="9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 Loan Party shall be required to pay any “amendment fee” or other similar fee in connection with an amendment or other modification to this Agreement or any other Loan Document made solely in connection with the replacement of any Benchmark or any proposed Benchmark Replacement Conforming Changes related thereto.</w:t>
      </w:r>
    </w:p>
    <w:p>
      <w:pPr>
        <w:spacing w:after="0" w:line="192" w:lineRule="exact"/>
        <w:rPr>
          <w:rFonts w:ascii="Times New Roman" w:cs="Times New Roman" w:eastAsia="Times New Roman" w:hAnsi="Times New Roman"/>
          <w:sz w:val="20"/>
          <w:szCs w:val="20"/>
          <w:u w:val="single" w:color="auto"/>
          <w:color w:val="0000FF"/>
        </w:rPr>
      </w:pPr>
    </w:p>
    <w:p>
      <w:pPr>
        <w:jc w:val="both"/>
        <w:ind w:left="660" w:firstLine="644"/>
        <w:spacing w:after="0" w:line="251" w:lineRule="auto"/>
        <w:tabs>
          <w:tab w:leader="none" w:pos="1955" w:val="left"/>
        </w:tabs>
        <w:numPr>
          <w:ilvl w:val="0"/>
          <w:numId w:val="9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(c)(ii) shall not be effective unless the Administrative Agent has delivered to the Lenders and the Company a Term CORRA Notice. For the avoidance of doubt,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13" w:right="339" w:bottom="1440" w:gutter="0" w:footer="0" w:header="0"/>
        </w:sectPr>
      </w:pPr>
    </w:p>
    <w:bookmarkStart w:id="99" w:name="page100"/>
    <w:bookmarkEnd w:id="99"/>
    <w:p>
      <w:pPr>
        <w:ind w:left="660"/>
        <w:spacing w:after="0" w:line="283" w:lineRule="auto"/>
        <w:rPr>
          <w:sz w:val="20"/>
          <w:szCs w:val="20"/>
          <w:color w:val="auto"/>
        </w:rPr>
      </w:pPr>
      <w:r>
        <w:rPr>
          <w:rFonts w:ascii="Times New Roman" w:cs="Times New Roman" w:eastAsia="Times New Roman" w:hAnsi="Times New Roman"/>
          <w:sz w:val="20"/>
          <w:szCs w:val="20"/>
          <w:u w:val="single" w:color="auto"/>
          <w:color w:val="0000FF"/>
        </w:rPr>
        <w:t>Administrative Agent shall not be required to deliver a Term CORRA Notice after the occurrence of a Term CORRA Reelection Event and may do so in its sole discretion.</w:t>
      </w:r>
    </w:p>
    <w:p>
      <w:pPr>
        <w:spacing w:after="0" w:line="146" w:lineRule="exact"/>
        <w:rPr>
          <w:sz w:val="20"/>
          <w:szCs w:val="20"/>
          <w:color w:val="auto"/>
        </w:rPr>
      </w:pPr>
    </w:p>
    <w:p>
      <w:pPr>
        <w:jc w:val="both"/>
        <w:ind w:firstLine="656"/>
        <w:spacing w:after="0" w:line="240" w:lineRule="exact"/>
        <w:tabs>
          <w:tab w:leader="none" w:pos="128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including any determination with respect to a tenor, rate or adjustment or of the occurrence or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occurrence of an event, circumstance or date and any decision to take or refrain from taking any action or any selection, will be conclusive and binding absent demonstrable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firstLine="656"/>
        <w:spacing w:after="0" w:line="239" w:lineRule="exact"/>
        <w:tabs>
          <w:tab w:leader="none" w:pos="128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current Benchmark is a term rate (including the Term SOFR Rate, the EURIBO Rate, the TIBO Rate, </w:t>
      </w:r>
      <w:r>
        <w:rPr>
          <w:rFonts w:ascii="Times New Roman" w:cs="Times New Roman" w:eastAsia="Times New Roman" w:hAnsi="Times New Roman"/>
          <w:sz w:val="20"/>
          <w:szCs w:val="20"/>
          <w:color w:val="FF0000"/>
          <w:strike w:val="1"/>
        </w:rPr>
        <w:t>the CDOR Screen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or the BBSY Screen Rate) and either (A) any tenor for such Benchmark is not displayed on a screen or other information service that publishes such rate from time to time as selected by the Administrative Agent in its reasonable discretion and consistent with such selection generally under other syndicated credit facilities for which BMO acts as administrative agent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2" w:lineRule="exact"/>
        <w:rPr>
          <w:rFonts w:ascii="Times New Roman" w:cs="Times New Roman" w:eastAsia="Times New Roman" w:hAnsi="Times New Roman"/>
          <w:sz w:val="20"/>
          <w:szCs w:val="20"/>
          <w:color w:val="auto"/>
        </w:rPr>
      </w:pPr>
    </w:p>
    <w:p>
      <w:pPr>
        <w:jc w:val="both"/>
        <w:ind w:firstLine="656"/>
        <w:spacing w:after="0" w:line="239" w:lineRule="exact"/>
        <w:tabs>
          <w:tab w:leader="none" w:pos="129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Company’s receipt of notice from the Administrative Agent of the commencement of a Benchmark Unavailability Period and until a Benchmark Replacement is determined in accordance with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for (i) Dollars, the Company may revoke any request for a borrowing of, conversion to or continuation of Term Benchmark Loans or RFR Loans to be made, converted or continued during any such Benchmark Unavailability Period and, failing that, the Company will be deemed to have converted any such request into a request for a Borrowing of or conversion to Base Rate Loans and (ii) any other Agreed Currency, the obligation of the Lenders to make or maintain Loans in such Agreed Currency shall be suspended (and the Company may revoke any request for a Borrowing of, conversion to or continuation of Loans to be made in such Agreed Currency during the Benchmark Unavailability Period). During any Benchmark Unavailability Period for Dollars or at any time that a tenor for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Dollars is not an Available Tenor, the component of Base Rate based upon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or such tenor for such Benchmark, as applicable, will not be used in any determination of Base Rate. Furthermore, if any Term Benchmark Loan in any Alternative Currency is outstanding on the date of the Company’s receipt of notice of the commencement of a Benchmark Unavailability Period with respect to a Relevant Rate applicable to such Term Benchmark Loan, then (until such time as a benchmark replacement for such Alternative Currency is implemented pursuant to this Section 3.07) such Loan shall, on the last day of the Interest Period applicable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Loan (or the next succeeding Business Day if such day is not a Business Day), at the Company’s election prior to such day: (A) be prepaid by the applicable Borrower on such day or (B) be converted by the Administrative Agent to, and shall constitute, a Base Rate Loan denominated in Dollars (in an amount equal to the Dollar Equivalent of such Agreed Currency) on such day (it being understood and agreed that if the Company does not so prepay such Loan on such day by 2:00 p.m., local time, the Administrative Agent is authorized to effect such conversion of such Term Benchmark Loan into a Base Rate Loan denominated in Dollars). If any RFR Loan is outstanding on the date of the Company’s receipt of notice of the commencement of a Benchmark Unavailability Period with respect to a Relevant Rate applicable to such RFR Loan, then such Loan shall, on the next Interest Payment Date applicable to such Loan (or the next succeeding Business Day if such day is not a Business Day), bear interest at the Central Bank Rate for Sterling plus the Applicable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reasonably and in good faith (which determination shall be conclusive and binding absent demonstrable error) that the Central Bank Rate for Sterling cannot be determined, any outstanding affected RFR Loans denominated in Sterling, at the Company’s election, shall either (A) be converted into Base Rate Loans denominated in Dollars (in an amount equal to the Dollar Equivalent of Sterling) on the next applicable Interest Payment Date (or the next succeeding Business Day if such day is not a Business Day) or (B) be prepaid in full immediately on the next applicable Interest Payment Date (or the next succeeding Business Day if such day is not a Business Day).</w:t>
      </w:r>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3.08</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All of the Loan Parties’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Revolving Commitments and repayment of all other Obligations hereunder and resignation of the Administrative Agent.</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IV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GUARANTY</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4.01</w:t>
      </w:r>
      <w:r>
        <w:rPr>
          <w:sz w:val="20"/>
          <w:szCs w:val="20"/>
          <w:color w:val="auto"/>
        </w:rPr>
        <w:tab/>
      </w:r>
      <w:r>
        <w:rPr>
          <w:rFonts w:ascii="Times New Roman" w:cs="Times New Roman" w:eastAsia="Times New Roman" w:hAnsi="Times New Roman"/>
          <w:sz w:val="19"/>
          <w:szCs w:val="19"/>
          <w:u w:val="single" w:color="auto"/>
          <w:color w:val="auto"/>
        </w:rPr>
        <w:t>The Guaranty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of the Guarantors hereby jointly and severally guarantees to each Lender, each Affiliate of a Lender that enters into a Hedging Agreement or a Treasury Management Agreement with a Loan Party, and the Administrative Agent and each of the holders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(after giving effect to any grace or cure period) (whether at stated maturity, as a mandatory prepayment, by acceleration, as a mandatory cash collateralization or otherwise), the Guarantors will promptly, jointly and severally, pay the same, without any demand or notice,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any provision to the contrary contained herein or in any other of the Loan Documents, Hedging Agreements or Treasury Management Agreements, the obligations of each Guarantor (in its capacity as such) under this Agreement and the other Loan Documents shall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83" w:lineRule="auto"/>
        <w:rPr>
          <w:sz w:val="20"/>
          <w:szCs w:val="20"/>
          <w:color w:val="auto"/>
        </w:rPr>
      </w:pPr>
      <w:r>
        <w:rPr>
          <w:rFonts w:ascii="Times New Roman" w:cs="Times New Roman" w:eastAsia="Times New Roman" w:hAnsi="Times New Roman"/>
          <w:sz w:val="20"/>
          <w:szCs w:val="20"/>
          <w:color w:val="auto"/>
        </w:rPr>
        <w:t>to an aggregate amount equal to the largest amount that would not render such obligations subject to avoidance under applicable Debtor Relief Laws or any comparable provisions of any applicable Law.</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4.02</w:t>
      </w:r>
      <w:r>
        <w:rPr>
          <w:sz w:val="20"/>
          <w:szCs w:val="20"/>
          <w:color w:val="auto"/>
        </w:rPr>
        <w:tab/>
      </w:r>
      <w:r>
        <w:rPr>
          <w:rFonts w:ascii="Times New Roman" w:cs="Times New Roman" w:eastAsia="Times New Roman" w:hAnsi="Times New Roman"/>
          <w:sz w:val="19"/>
          <w:szCs w:val="19"/>
          <w:u w:val="single" w:color="auto"/>
          <w:color w:val="auto"/>
        </w:rPr>
        <w:t>Obligations Unconditional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obligations of the Guarantors under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joint and several, absolute and unconditional, irrespective of the value, genuineness, validity, regularity or enforceability of any of the Loan Documents, Hedging Agreements or Treasury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Borrowers or any other Guarantor for amounts paid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until such time as the Obligations (other than contingent obligations that survive termination of this Agreement)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201" w:lineRule="exact"/>
        <w:rPr>
          <w:sz w:val="20"/>
          <w:szCs w:val="20"/>
          <w:color w:val="auto"/>
        </w:rPr>
      </w:pPr>
    </w:p>
    <w:p>
      <w:pPr>
        <w:ind w:firstLine="656"/>
        <w:spacing w:after="0" w:line="283" w:lineRule="auto"/>
        <w:tabs>
          <w:tab w:leader="none" w:pos="108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acts mentioned in any of the provisions of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done or omitted;</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1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of any of the Obligations shall be accelerated, or any of the Obligations shall be modified, supplemented or amended in any respect, or any right under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waived or any other guarantee of any of the Obligations or any security therefor shall be released, impaired or exchanged in whole or in part or otherwise dealt with (except to the extent such Guarantor has been expressly released in writing from its obligations under this Guaranty by the requisite Lenders in accordance with the express terms of this Agreement);</w:t>
      </w:r>
    </w:p>
    <w:p>
      <w:pPr>
        <w:spacing w:after="0" w:line="192" w:lineRule="exact"/>
        <w:rPr>
          <w:rFonts w:ascii="Times New Roman" w:cs="Times New Roman" w:eastAsia="Times New Roman" w:hAnsi="Times New Roman"/>
          <w:sz w:val="20"/>
          <w:szCs w:val="20"/>
          <w:color w:val="auto"/>
        </w:rPr>
      </w:pPr>
    </w:p>
    <w:p>
      <w:pPr>
        <w:ind w:firstLine="656"/>
        <w:spacing w:after="0" w:line="283" w:lineRule="auto"/>
        <w:tabs>
          <w:tab w:leader="none" w:pos="107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granted to, or in favor of, the Administrative Agent or any holder of Obligations as security for any of the Obligations shall fail to attach or be perfected; or</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04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With respect to its obligations hereunder, each Guarantor hereby expressly waives diligence, presentment, demand of payment, protest and all notices whatsoever (other than any notice any Guarantor has the express right to receive under any Loan Document), and any requirement that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20"/>
          <w:szCs w:val="20"/>
          <w:color w:val="auto"/>
        </w:rPr>
        <w:t>Agent or any holder of the Obligations exhaust any right, power or remedy or proceed against any Person under any of the Loan Documents, any Hedging Agreement or any Treasury Management Agreement between any Loan Party and any Lender, or any Affiliate of a Lender, or any other agreement or instrument referred to in the Loan Documents, such Hedging Agreements or such Treasury Management Agreements, or against any other Person under any other guarantee of, or security for, any of the Obligations.</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4.03</w:t>
      </w:r>
      <w:r>
        <w:rPr>
          <w:sz w:val="20"/>
          <w:szCs w:val="20"/>
          <w:color w:val="auto"/>
        </w:rPr>
        <w:tab/>
      </w:r>
      <w:r>
        <w:rPr>
          <w:rFonts w:ascii="Times New Roman" w:cs="Times New Roman" w:eastAsia="Times New Roman" w:hAnsi="Times New Roman"/>
          <w:sz w:val="19"/>
          <w:szCs w:val="19"/>
          <w:u w:val="single" w:color="auto"/>
          <w:color w:val="auto"/>
        </w:rPr>
        <w:t>Reinstatement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obligations of the Guarantors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holder of the Obligations on demand for all reasonable costs and expenses (including, without limitation, the reasonable and documented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4.04</w:t>
      </w:r>
      <w:r>
        <w:rPr>
          <w:sz w:val="20"/>
          <w:szCs w:val="20"/>
          <w:color w:val="auto"/>
        </w:rPr>
        <w:tab/>
      </w:r>
      <w:r>
        <w:rPr>
          <w:rFonts w:ascii="Times New Roman" w:cs="Times New Roman" w:eastAsia="Times New Roman" w:hAnsi="Times New Roman"/>
          <w:sz w:val="19"/>
          <w:szCs w:val="19"/>
          <w:u w:val="single" w:color="auto"/>
          <w:color w:val="auto"/>
        </w:rPr>
        <w:t>Certain Additional Waivers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Each Guarantor agrees that such Guarantor shall have no right of recourse to security for the Obligations, except through the exercise of rights of subrogation pursuant to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through the exercise of rights of contribution pursuant to </w:t>
      </w:r>
      <w:r>
        <w:rPr>
          <w:rFonts w:ascii="Times New Roman" w:cs="Times New Roman" w:eastAsia="Times New Roman" w:hAnsi="Times New Roman"/>
          <w:sz w:val="20"/>
          <w:szCs w:val="20"/>
          <w:u w:val="single" w:color="auto"/>
          <w:color w:val="auto"/>
        </w:rPr>
        <w:t>Section 4.06</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4.05</w:t>
      </w:r>
      <w:r>
        <w:rPr>
          <w:sz w:val="20"/>
          <w:szCs w:val="20"/>
          <w:color w:val="auto"/>
        </w:rPr>
        <w:tab/>
      </w: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Guarantors agree that, to the fullest extent permitted by Law, as between the Guarantors, on the one hand, and the holders of the Obligations, on the other hand, the Obligations may be declared to be forthwith due and payable as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shall be deemed to have become automatically due and payable in the circumstances provided in said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4.06</w:t>
      </w:r>
      <w:r>
        <w:rPr>
          <w:sz w:val="20"/>
          <w:szCs w:val="20"/>
          <w:color w:val="auto"/>
        </w:rPr>
        <w:tab/>
      </w:r>
      <w:r>
        <w:rPr>
          <w:rFonts w:ascii="Times New Roman" w:cs="Times New Roman" w:eastAsia="Times New Roman" w:hAnsi="Times New Roman"/>
          <w:sz w:val="19"/>
          <w:szCs w:val="19"/>
          <w:u w:val="single" w:color="auto"/>
          <w:color w:val="auto"/>
        </w:rPr>
        <w:t>Rights of Contribution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(other than contingent obligations that survive the termination of this Agreement) have been paid in full and the Commitments have terminated.</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4.07</w:t>
      </w:r>
      <w:r>
        <w:rPr>
          <w:sz w:val="20"/>
          <w:szCs w:val="20"/>
          <w:color w:val="auto"/>
        </w:rPr>
        <w:tab/>
      </w:r>
      <w:r>
        <w:rPr>
          <w:rFonts w:ascii="Times New Roman" w:cs="Times New Roman" w:eastAsia="Times New Roman" w:hAnsi="Times New Roman"/>
          <w:sz w:val="19"/>
          <w:szCs w:val="19"/>
          <w:u w:val="single" w:color="auto"/>
          <w:color w:val="auto"/>
        </w:rPr>
        <w:t>Guarantee of Payment; Continuing Guarantee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13" w:right="339" w:bottom="1440" w:gutter="0" w:footer="0" w:header="0"/>
        </w:sectPr>
      </w:pPr>
    </w:p>
    <w:bookmarkStart w:id="103" w:name="page104"/>
    <w:bookmarkEnd w:id="103"/>
    <w:p>
      <w:pPr>
        <w:ind w:right="20" w:firstLine="656"/>
        <w:spacing w:after="0" w:line="283" w:lineRule="auto"/>
        <w:tabs>
          <w:tab w:leader="none" w:pos="106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guarantee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a guaranty of payment and not of collection, is a continuing guarantee, and shall apply to all Obligations whenever arising.</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 Guarantor shall automatically be released from its obligations hereunder and its Guaranty shall be automatically released upon (i) such Subsidiary becoming an Excluded Subsidiary and receipt by the Administrative Agent of written notice thereof from the Company, (ii) the dissolution, liquidation or winding up of such Subsidiary as permitted hereunder or (iii) the consummation of any transaction permitted hereunder as a result of which such Guarantor ceases to be a Subsidiary. In connection with any such release, the Administrative Agent shall execute and deliver to any such Guarantor, at such Guarantor’s expense, all documents that such Guarantor shall reasonably request to evidence termination or release.</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4.08</w:t>
      </w:r>
      <w:r>
        <w:rPr>
          <w:sz w:val="20"/>
          <w:szCs w:val="20"/>
          <w:color w:val="auto"/>
        </w:rPr>
        <w:tab/>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Each Loan Party that is a Qualified ECP Guarantor at the time the Guaranty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by any Loan Party that is not then an “eligible contract participant” under the Commodity Exchange Act (a “</w:t>
      </w:r>
      <w:r>
        <w:rPr>
          <w:rFonts w:ascii="Times New Roman" w:cs="Times New Roman" w:eastAsia="Times New Roman" w:hAnsi="Times New Roman"/>
          <w:sz w:val="20"/>
          <w:szCs w:val="20"/>
          <w:u w:val="single" w:color="auto"/>
          <w:color w:val="auto"/>
        </w:rPr>
        <w:t>Specified Loan Party</w:t>
      </w:r>
      <w:r>
        <w:rPr>
          <w:rFonts w:ascii="Times New Roman" w:cs="Times New Roman" w:eastAsia="Times New Roman" w:hAnsi="Times New Roman"/>
          <w:sz w:val="20"/>
          <w:szCs w:val="20"/>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voidable under applicable Debtor Relief Laws, and not for any greater amount). The obligations and undertakings of each Qualified ECP Guarantor under this Section shall remain in full force and effect until the Obligations have been paid and performed in full. Each Loan Party intends this Section to constitute, and this Section shall be deemed to constitute, a “keepwell, support, or other agreement” for the benefit of each Specified Loan Party for all purposes of the Commodity Exchange Act.</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V</w:t>
      </w:r>
    </w:p>
    <w:p>
      <w:pPr>
        <w:spacing w:after="0" w:line="21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CONDITIONS PRECEDENT TO CREDIT EXTENSIONS</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5.01</w:t>
      </w:r>
      <w:r>
        <w:rPr>
          <w:sz w:val="20"/>
          <w:szCs w:val="20"/>
          <w:color w:val="auto"/>
        </w:rPr>
        <w:tab/>
      </w:r>
      <w:r>
        <w:rPr>
          <w:rFonts w:ascii="Times New Roman" w:cs="Times New Roman" w:eastAsia="Times New Roman" w:hAnsi="Times New Roman"/>
          <w:sz w:val="19"/>
          <w:szCs w:val="19"/>
          <w:u w:val="single" w:color="auto"/>
          <w:color w:val="auto"/>
        </w:rPr>
        <w:t>Conditions of Initial Credit Extension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obligation of each Lender to make its initial Credit Extension hereunder is subject to satisfaction of the following conditions precedent:</w:t>
      </w:r>
    </w:p>
    <w:p>
      <w:pPr>
        <w:spacing w:after="0" w:line="173" w:lineRule="exact"/>
        <w:rPr>
          <w:sz w:val="20"/>
          <w:szCs w:val="20"/>
          <w:color w:val="auto"/>
        </w:rPr>
      </w:pPr>
    </w:p>
    <w:p>
      <w:pPr>
        <w:ind w:firstLine="656"/>
        <w:spacing w:after="0" w:line="269"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Receipt by the Administrative Agent of executed counterparts of this Agreement and the other Loan Documents, each properly executed by a Responsible Officer of the signing Loan Party and, in the case of this Agreement, by each Lender.</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Receipt by the Administrative Agent of favorable opinions of legal counsel to the Loan Parties, addressed to the Administrative Agent and each Lender, dated as of the Closing Date, and in form and substance reasonably satisfactory to the Administrative Agent.</w:t>
      </w:r>
    </w:p>
    <w:p>
      <w:pPr>
        <w:spacing w:after="0" w:line="181"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12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There shall not have occurred a material adverse change since July 31, 2018 in the business, assets, liabilities (actual or contingent), operations or condition (financial or otherwise) of the Company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13" w:right="339" w:bottom="1440" w:gutter="0" w:footer="0" w:header="0"/>
        </w:sectPr>
      </w:pPr>
    </w:p>
    <w:bookmarkStart w:id="104" w:name="page105"/>
    <w:bookmarkEnd w:id="104"/>
    <w:p>
      <w:pPr>
        <w:jc w:val="both"/>
        <w:ind w:firstLine="656"/>
        <w:spacing w:after="0" w:line="261" w:lineRule="auto"/>
        <w:tabs>
          <w:tab w:leader="none" w:pos="11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shall not exist any action, suit, investigation or proceeding pending or threatened in writing against the Company or any of its Subsidiaries in any court or before an arbitrator or Governmental Authority that could reasonably be expected to have a Material Adverse Effect.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5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Documents, Resolutions, Etc</w:t>
      </w:r>
      <w:r>
        <w:rPr>
          <w:rFonts w:ascii="Times New Roman" w:cs="Times New Roman" w:eastAsia="Times New Roman" w:hAnsi="Times New Roman"/>
          <w:sz w:val="20"/>
          <w:szCs w:val="20"/>
          <w:color w:val="auto"/>
        </w:rPr>
        <w:t>. Receipt by the Administrative Agent of the following, each of which shall be originals or .pdf or facsimiles (in each case, followed promptly by originals), in form and substance satisfactory to the Administrative Agent and its legal counsel:</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29"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756"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consolidated articles of association of each Luxembourg Loan Party, certified to be true and complete as of a recent date by a manager or director (where applicable) of such Luxembourg Loan Party;</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47"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or the equivalent with respect to any non-U.S. jurisdiction (including, with respect to a Luxembourg Loan Party, a true and complete copy of an extract from the Luxembourg Companies Register dated no earlier than one (1) day before the Closing Date, and a true and complete copy of a certificate of non-registration of judgments (</w:t>
      </w:r>
      <w:r>
        <w:rPr>
          <w:rFonts w:ascii="Times New Roman" w:cs="Times New Roman" w:eastAsia="Times New Roman" w:hAnsi="Times New Roman"/>
          <w:sz w:val="20"/>
          <w:szCs w:val="20"/>
          <w:i w:val="1"/>
          <w:iCs w:val="1"/>
          <w:color w:val="auto"/>
        </w:rPr>
        <w:t>certificat de non-inscription d’une décision judiciaire ou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certificat négatif</w:t>
      </w:r>
      <w:r>
        <w:rPr>
          <w:rFonts w:ascii="Times New Roman" w:cs="Times New Roman" w:eastAsia="Times New Roman" w:hAnsi="Times New Roman"/>
          <w:sz w:val="20"/>
          <w:szCs w:val="20"/>
          <w:color w:val="auto"/>
        </w:rPr>
        <w:t>), issued by the Luxembourg Companies Register on the date of this agreement and reflecting the situation of one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 prior to the date of this agreement, stating that such Luxembourg Loan Party incorporated in Luxembourg has not been declared bankrupt (</w:t>
      </w:r>
      <w:r>
        <w:rPr>
          <w:rFonts w:ascii="Times New Roman" w:cs="Times New Roman" w:eastAsia="Times New Roman" w:hAnsi="Times New Roman"/>
          <w:sz w:val="20"/>
          <w:szCs w:val="20"/>
          <w:i w:val="1"/>
          <w:iCs w:val="1"/>
          <w:color w:val="auto"/>
        </w:rPr>
        <w:t>en faillite</w:t>
      </w:r>
      <w:r>
        <w:rPr>
          <w:rFonts w:ascii="Times New Roman" w:cs="Times New Roman" w:eastAsia="Times New Roman" w:hAnsi="Times New Roman"/>
          <w:sz w:val="20"/>
          <w:szCs w:val="20"/>
          <w:color w:val="auto"/>
        </w:rPr>
        <w:t>) and that it has not applied for general settlement or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or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or such other proceedings listed at Article 13, items 2 to 11 and Article 14 of the Luxembourg Act dated 19 December 2002 on the Register of Commerce and Companies, on Accounting and on Annual Accounts of the Companies (as amended from time to time)),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 the approval by the board of managers of a Luxembourg Loan Party for such Luxembourg Loan Party to enter into this Agreement and the other Loan Documents to which it is a party; and</w:t>
      </w:r>
    </w:p>
    <w:p>
      <w:pPr>
        <w:spacing w:after="0" w:line="19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55"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is validly existing, in good standing (or similar status) and qualified to engage in business in its state of organization or formation.</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3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xml:space="preserve">. Receipt by the Administrative Agent of a certificate signed by a Responsible Officer of the Company certifying that the conditions specified in </w:t>
      </w:r>
      <w:r>
        <w:rPr>
          <w:rFonts w:ascii="Times New Roman" w:cs="Times New Roman" w:eastAsia="Times New Roman" w:hAnsi="Times New Roman"/>
          <w:sz w:val="20"/>
          <w:szCs w:val="20"/>
          <w:u w:val="single" w:color="auto"/>
          <w:color w:val="auto"/>
        </w:rPr>
        <w:t>Sections 5.01(c)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5.02(a)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5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Existing Credit Agreement</w:t>
      </w:r>
      <w:r>
        <w:rPr>
          <w:rFonts w:ascii="Times New Roman" w:cs="Times New Roman" w:eastAsia="Times New Roman" w:hAnsi="Times New Roman"/>
          <w:sz w:val="20"/>
          <w:szCs w:val="20"/>
          <w:color w:val="auto"/>
        </w:rPr>
        <w:t>. Receipt by the Administrative Agent of evidence reasonably satisfactory to the Administrative Agent that all obligations (other than contingent obligations surviving the termination of the Existing Credit Agreement) owing under the Existing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13" w:right="339" w:bottom="1440" w:gutter="0" w:footer="0" w:header="0"/>
        </w:sectPr>
      </w:pPr>
    </w:p>
    <w:bookmarkStart w:id="105" w:name="page106"/>
    <w:bookmarkEnd w:id="105"/>
    <w:p>
      <w:pPr>
        <w:spacing w:after="0" w:line="283" w:lineRule="auto"/>
        <w:rPr>
          <w:sz w:val="20"/>
          <w:szCs w:val="20"/>
          <w:color w:val="auto"/>
        </w:rPr>
      </w:pPr>
      <w:r>
        <w:rPr>
          <w:rFonts w:ascii="Times New Roman" w:cs="Times New Roman" w:eastAsia="Times New Roman" w:hAnsi="Times New Roman"/>
          <w:sz w:val="20"/>
          <w:szCs w:val="20"/>
          <w:color w:val="auto"/>
        </w:rPr>
        <w:t>Agreement have been repaid in full, all commitments thereunder have been terminated and all Liens (if any) in connection therewith have been released.</w:t>
      </w:r>
    </w:p>
    <w:p>
      <w:pPr>
        <w:spacing w:after="0" w:line="146" w:lineRule="exact"/>
        <w:rPr>
          <w:sz w:val="20"/>
          <w:szCs w:val="20"/>
          <w:color w:val="auto"/>
        </w:rPr>
      </w:pPr>
    </w:p>
    <w:p>
      <w:pPr>
        <w:ind w:left="1140" w:hanging="484"/>
        <w:spacing w:after="0"/>
        <w:tabs>
          <w:tab w:leader="none" w:pos="11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Receipt by the Administrative Agent, the Arrangers and the Lenders of any fees required to be paid on or before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 Date.</w:t>
      </w:r>
    </w:p>
    <w:p>
      <w:pPr>
        <w:spacing w:after="0" w:line="200" w:lineRule="exact"/>
        <w:rPr>
          <w:rFonts w:ascii="Times New Roman" w:cs="Times New Roman" w:eastAsia="Times New Roman" w:hAnsi="Times New Roman"/>
          <w:sz w:val="20"/>
          <w:szCs w:val="20"/>
          <w:color w:val="auto"/>
        </w:rPr>
      </w:pPr>
    </w:p>
    <w:p>
      <w:pPr>
        <w:jc w:val="both"/>
        <w:ind w:firstLine="656"/>
        <w:spacing w:after="0" w:line="257" w:lineRule="auto"/>
        <w:tabs>
          <w:tab w:leader="none" w:pos="105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Unless waived by the Administrative Agent, the Company shall have paid all the reasonable fees, charges and disbursements of counsel of the Administrative Agent to the extent invoices have been received at least one Business Day in advance prior to the Closing Date, plus such additional amounts of such fees, charges and disbursements of such counsel as shall constitute its reasonable estimate of such fees, charges and disbursements of such counsel incurred or to be incurred by it through the closing proceedings (provided that such estimate shall not thereafter preclude a final settling of accounts between the Company and the Administrative Agent).</w:t>
      </w:r>
    </w:p>
    <w:p>
      <w:pPr>
        <w:spacing w:after="0" w:line="172"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KYC Information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81" w:lineRule="auto"/>
        <w:tabs>
          <w:tab w:leader="none" w:pos="1729"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reasonable request of any Lender made at least 15 days prior to the Closing Date, the Company shall have provided to such Lender the documentation and other information so requested in connection with applicable “know your customer” and anti-money-laundering rules and regulations, including the Act, in each case at least five days prior to the Closing Date.</w:t>
      </w:r>
    </w:p>
    <w:p>
      <w:pPr>
        <w:spacing w:after="0" w:line="164" w:lineRule="exact"/>
        <w:rPr>
          <w:rFonts w:ascii="Times New Roman" w:cs="Times New Roman" w:eastAsia="Times New Roman" w:hAnsi="Times New Roman"/>
          <w:sz w:val="19"/>
          <w:szCs w:val="19"/>
          <w:color w:val="auto"/>
        </w:rPr>
      </w:pPr>
    </w:p>
    <w:p>
      <w:pPr>
        <w:ind w:left="660" w:firstLine="644"/>
        <w:spacing w:after="0" w:line="269" w:lineRule="auto"/>
        <w:tabs>
          <w:tab w:leader="none" w:pos="1783"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days prior to the Closing Date, if a Borrower qualifies as a “legal entity customer” under the Beneficial Ownership Regulation, it shall deliver a Beneficial Ownership Certification in relation to such Borrower.</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Lenders that are parties to the Existing Credit Agreement (and which constitute “Required Lenders” under and as defined in the Existing Credit Agreement) hereby waive any advance notice requirement for terminating the commitments under the Existing Credit Agreement, and the Borrowers and the applicable Lenders agree that the Existing Credit Agreement and the commitments thereunder shall be terminated on the date hereof (except for any provisions thereof which by their terms survive termination thereof).</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5.02</w:t>
      </w:r>
      <w:r>
        <w:rPr>
          <w:sz w:val="20"/>
          <w:szCs w:val="20"/>
          <w:color w:val="auto"/>
        </w:rPr>
        <w:tab/>
      </w:r>
      <w:r>
        <w:rPr>
          <w:rFonts w:ascii="Times New Roman" w:cs="Times New Roman" w:eastAsia="Times New Roman" w:hAnsi="Times New Roman"/>
          <w:sz w:val="19"/>
          <w:szCs w:val="19"/>
          <w:u w:val="single" w:color="auto"/>
          <w:color w:val="auto"/>
        </w:rPr>
        <w:t>Conditions to all Credit Extensions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obligation of each Lender and the L/C Issuer to honor any Request for Credit Extension is subject to the following conditions precedent:</w:t>
      </w:r>
    </w:p>
    <w:p>
      <w:pPr>
        <w:spacing w:after="0" w:line="173" w:lineRule="exact"/>
        <w:rPr>
          <w:sz w:val="20"/>
          <w:szCs w:val="20"/>
          <w:color w:val="auto"/>
        </w:rPr>
      </w:pPr>
    </w:p>
    <w:p>
      <w:pPr>
        <w:jc w:val="both"/>
        <w:ind w:firstLine="656"/>
        <w:spacing w:after="0" w:line="258" w:lineRule="auto"/>
        <w:tabs>
          <w:tab w:leader="none" w:pos="111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Loan Parties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(excluding, except in the case of the Closing Date, the representation and warranty contained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1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specifically refer to an earlier date, in which case they shall be true and correct in all material respects as of such earlier date.</w:t>
      </w:r>
    </w:p>
    <w:p>
      <w:pPr>
        <w:spacing w:after="0" w:line="229" w:lineRule="exact"/>
        <w:rPr>
          <w:sz w:val="20"/>
          <w:szCs w:val="20"/>
          <w:color w:val="auto"/>
        </w:rPr>
      </w:pPr>
    </w:p>
    <w:p>
      <w:pPr>
        <w:ind w:left="1060" w:hanging="404"/>
        <w:spacing w:after="0"/>
        <w:tabs>
          <w:tab w:leader="none" w:pos="10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w:t>
      </w:r>
    </w:p>
    <w:p>
      <w:pPr>
        <w:spacing w:after="0" w:line="215" w:lineRule="exact"/>
        <w:rPr>
          <w:rFonts w:ascii="Times New Roman" w:cs="Times New Roman" w:eastAsia="Times New Roman" w:hAnsi="Times New Roman"/>
          <w:sz w:val="20"/>
          <w:szCs w:val="20"/>
          <w:color w:val="auto"/>
        </w:rPr>
      </w:pPr>
    </w:p>
    <w:p>
      <w:pPr>
        <w:ind w:right="20" w:firstLine="656"/>
        <w:spacing w:after="0" w:line="283" w:lineRule="auto"/>
        <w:tabs>
          <w:tab w:leader="none" w:pos="107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L/C Issuer or the Swing Line Lender shall have received a Request for Credit Extension in accordance with the requirements hereof.</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39"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Borrower is a Designated Borrower, such Borrower shall have been designated as a Designated Borrower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a conversion of the Loans to another Type or a continuation of Term Benchmark Loans) submitted by a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 5.02(a)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induce the Lenders to make Loans and issue or participate in Letters of Credit hereunder, the Loan Parties represent and warrant to the Administrative Agent and the Lenders that:</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6.01</w:t>
      </w:r>
      <w:r>
        <w:rPr>
          <w:sz w:val="20"/>
          <w:szCs w:val="20"/>
          <w:color w:val="auto"/>
        </w:rPr>
        <w:tab/>
      </w:r>
      <w:r>
        <w:rPr>
          <w:rFonts w:ascii="Times New Roman" w:cs="Times New Roman" w:eastAsia="Times New Roman" w:hAnsi="Times New Roman"/>
          <w:sz w:val="19"/>
          <w:szCs w:val="19"/>
          <w:u w:val="single" w:color="auto"/>
          <w:color w:val="auto"/>
        </w:rPr>
        <w:t>Organization,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is a corporation duly organized, validly existing and in good standing (or equivalent status) under the Laws of the State of Wisconsin; each Designated Borrower and Significant Subsidiary is duly organized, validly existing and in good standing (or equivalent status) under the Laws of the jurisdiction of its organization; and the Company, each Designated Borrower and each Significant Subsidiary is duly qualified to do business in each jurisdiction where the nature of its business makes such qualification necessary (except to the extent the failure to be so qualified or in good standing could not reasonably be expected to have a Material Adverse Effect) and has full power and authority to own its property and conduct its business as presently conducted by it (except to the extent the failure to have such authority could not reasonably be expected to have a Material Adverse Effect).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6.02</w:t>
      </w:r>
      <w:r>
        <w:rPr>
          <w:sz w:val="20"/>
          <w:szCs w:val="20"/>
          <w:color w:val="auto"/>
        </w:rPr>
        <w:tab/>
      </w:r>
      <w:r>
        <w:rPr>
          <w:rFonts w:ascii="Times New Roman" w:cs="Times New Roman" w:eastAsia="Times New Roman" w:hAnsi="Times New Roman"/>
          <w:sz w:val="19"/>
          <w:szCs w:val="19"/>
          <w:u w:val="single" w:color="auto"/>
          <w:color w:val="auto"/>
        </w:rPr>
        <w:t>Authorization; No Conflict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it is a party and the Credit Extensions hereunder (a) are within the organizational powers of the Company and each Loan Party, (b) have been duly authorized by all necessary organizational action on the part of such Loan Party (including any necessary shareholder, partner or member action), (c) have received all necessary governmental and other third-party approvals (if any shall be required) the failure of which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13" w:right="339" w:bottom="1440" w:gutter="0" w:footer="0" w:header="0"/>
        </w:sectPr>
      </w:pPr>
    </w:p>
    <w:bookmarkStart w:id="107" w:name="page108"/>
    <w:bookmarkEnd w:id="107"/>
    <w:p>
      <w:pPr>
        <w:jc w:val="both"/>
        <w:spacing w:after="0" w:line="267" w:lineRule="auto"/>
        <w:rPr>
          <w:sz w:val="20"/>
          <w:szCs w:val="20"/>
          <w:color w:val="auto"/>
        </w:rPr>
      </w:pPr>
      <w:r>
        <w:rPr>
          <w:rFonts w:ascii="Times New Roman" w:cs="Times New Roman" w:eastAsia="Times New Roman" w:hAnsi="Times New Roman"/>
          <w:sz w:val="19"/>
          <w:szCs w:val="19"/>
          <w:color w:val="auto"/>
        </w:rPr>
        <w:t>obtain could reasonably be expected to have a Material Adverse Effect, and (d) do not and will not (i) violate any provision of Law or any order, decree or judgment of any court or other Governmental Authority which is binding on the Company or any other Loan Party, (ii) contravene or conflict with, or result in a breach of, any provision of the Organization Documents of the Company or any other Loan Party or</w:t>
      </w:r>
    </w:p>
    <w:p>
      <w:pPr>
        <w:spacing w:after="0" w:line="2" w:lineRule="exact"/>
        <w:rPr>
          <w:sz w:val="20"/>
          <w:szCs w:val="20"/>
          <w:color w:val="auto"/>
        </w:rPr>
      </w:pPr>
    </w:p>
    <w:p>
      <w:pPr>
        <w:ind w:firstLine="8"/>
        <w:spacing w:after="0" w:line="253" w:lineRule="auto"/>
        <w:tabs>
          <w:tab w:leader="none" w:pos="35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or conflict with, or result in a Lien under, any material agreement, indenture, instrument or other document which is binding on the Company or any other Loan Party.</w:t>
      </w:r>
    </w:p>
    <w:p>
      <w:pPr>
        <w:spacing w:after="0" w:line="1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6.03</w:t>
      </w:r>
      <w:r>
        <w:rPr>
          <w:sz w:val="20"/>
          <w:szCs w:val="20"/>
          <w:color w:val="auto"/>
        </w:rPr>
        <w:tab/>
      </w:r>
      <w:r>
        <w:rPr>
          <w:rFonts w:ascii="Times New Roman" w:cs="Times New Roman" w:eastAsia="Times New Roman" w:hAnsi="Times New Roman"/>
          <w:sz w:val="19"/>
          <w:szCs w:val="19"/>
          <w:u w:val="single" w:color="auto"/>
          <w:color w:val="auto"/>
        </w:rPr>
        <w:t>Validity and Binding Nature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Each Loan Document to which a Loan Party is a party is the legal, valid and binding obligation of such Loan Party, enforceable against such Loan Party in accordance with its terms, subject to Debtor Relief Laws and to general principles of equity.</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6.04</w:t>
      </w:r>
      <w:r>
        <w:rPr>
          <w:sz w:val="20"/>
          <w:szCs w:val="20"/>
          <w:color w:val="auto"/>
        </w:rPr>
        <w:tab/>
      </w:r>
      <w:r>
        <w:rPr>
          <w:rFonts w:ascii="Times New Roman" w:cs="Times New Roman" w:eastAsia="Times New Roman" w:hAnsi="Times New Roman"/>
          <w:sz w:val="19"/>
          <w:szCs w:val="19"/>
          <w:u w:val="single" w:color="auto"/>
          <w:color w:val="auto"/>
        </w:rPr>
        <w:t>Financial Condition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Audited Financial Statements were prepared in accordance with GAAP and present fairly in all material respects the consolidated financial condition of the Company and its Subsidiaries as at such date and the results of their operations for the period then ended, except as may be expressly noted therein.</w:t>
      </w:r>
    </w:p>
    <w:p>
      <w:pPr>
        <w:spacing w:after="0" w:line="16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6.05</w:t>
      </w:r>
      <w:r>
        <w:rPr>
          <w:sz w:val="20"/>
          <w:szCs w:val="20"/>
          <w:color w:val="auto"/>
        </w:rPr>
        <w:tab/>
      </w:r>
      <w:r>
        <w:rPr>
          <w:rFonts w:ascii="Times New Roman" w:cs="Times New Roman" w:eastAsia="Times New Roman" w:hAnsi="Times New Roman"/>
          <w:sz w:val="19"/>
          <w:szCs w:val="19"/>
          <w:u w:val="single" w:color="auto"/>
          <w:color w:val="auto"/>
        </w:rPr>
        <w:t>No Material Adverse Change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Since July 31, 2018, there has been no material adverse change in the financial condition, operations, assets, business or properties of the Company and its Subsidiaries taken as a whole.</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6.06</w:t>
      </w:r>
      <w:r>
        <w:rPr>
          <w:sz w:val="20"/>
          <w:szCs w:val="20"/>
          <w:color w:val="auto"/>
        </w:rPr>
        <w:tab/>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litigation (including derivative actions), arbitration proceeding, labor controversy or governmental investigation or proceeding is pending or, to the Company’s knowledge, threatened in writing against the Company or any Significant Subsidiary which could reasonably be expected to (a) have a Material Adverse Effect; (b) materially and adversely affect the ability of the Borrowers or any Guarantor to perform its obligations under the Loan Documents; or (c) materially and adversely affect the rights and remedies of the Administrative Agent or the Lenders under the Loan Documents.</w:t>
      </w:r>
    </w:p>
    <w:p>
      <w:pPr>
        <w:spacing w:after="0" w:line="17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6.07</w:t>
      </w:r>
      <w:r>
        <w:rPr>
          <w:sz w:val="20"/>
          <w:szCs w:val="20"/>
          <w:color w:val="auto"/>
        </w:rPr>
        <w:tab/>
      </w:r>
      <w:r>
        <w:rPr>
          <w:rFonts w:ascii="Times New Roman" w:cs="Times New Roman" w:eastAsia="Times New Roman" w:hAnsi="Times New Roman"/>
          <w:sz w:val="19"/>
          <w:szCs w:val="19"/>
          <w:u w:val="single" w:color="auto"/>
          <w:color w:val="auto"/>
        </w:rPr>
        <w:t>Ownership of Properties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of the Company and each Significant Subsidiary owns good and, in the case of real property, indefeasible title to all of its properties and assets, real and personal, tangible and intangible, of any nature whatsoever (including patents, trademarks, trade names, service marks and copyrights), except for such defects in title or interest that could not reasonably be expected to have a Material Adverse Effect.</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6.08</w:t>
      </w:r>
      <w:r>
        <w:rPr>
          <w:sz w:val="20"/>
          <w:szCs w:val="20"/>
          <w:color w:val="auto"/>
        </w:rPr>
        <w:tab/>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As of the Second Amendment Effective Date, the Company has no Subsidiaries except those listed in </w:t>
      </w:r>
      <w:r>
        <w:rPr>
          <w:rFonts w:ascii="Times New Roman" w:cs="Times New Roman" w:eastAsia="Times New Roman" w:hAnsi="Times New Roman"/>
          <w:sz w:val="20"/>
          <w:szCs w:val="20"/>
          <w:u w:val="single" w:color="auto"/>
          <w:color w:val="auto"/>
        </w:rPr>
        <w:t>Schedule 6.08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6.09</w:t>
      </w:r>
      <w:r>
        <w:rPr>
          <w:sz w:val="20"/>
          <w:szCs w:val="20"/>
          <w:color w:val="auto"/>
        </w:rPr>
        <w:tab/>
      </w:r>
      <w:r>
        <w:rPr>
          <w:rFonts w:ascii="Times New Roman" w:cs="Times New Roman" w:eastAsia="Times New Roman" w:hAnsi="Times New Roman"/>
          <w:sz w:val="19"/>
          <w:szCs w:val="19"/>
          <w:u w:val="single" w:color="auto"/>
          <w:color w:val="auto"/>
        </w:rPr>
        <w:t>Pension Plans and Plan Assets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13" w:right="339" w:bottom="1440" w:gutter="0" w:footer="0" w:header="0"/>
        </w:sectPr>
      </w:pPr>
    </w:p>
    <w:bookmarkStart w:id="108" w:name="page109"/>
    <w:bookmarkEnd w:id="108"/>
    <w:p>
      <w:pPr>
        <w:jc w:val="both"/>
        <w:ind w:firstLine="656"/>
        <w:spacing w:after="0" w:line="258" w:lineRule="auto"/>
        <w:tabs>
          <w:tab w:leader="none" w:pos="107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twelve-consecutive-month period prior to the Closing Date or the making of any Credit Extension hereunder, (i) no steps have been taken to terminate any Pension Plan other than a “standard termination” in accordance with Section 4041(b) of ERISA and</w:t>
      </w:r>
    </w:p>
    <w:p>
      <w:pPr>
        <w:ind w:left="300" w:hanging="292"/>
        <w:spacing w:after="0"/>
        <w:tabs>
          <w:tab w:leader="none" w:pos="30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contribution failure has occurred with respect to any Pension Plan sufficient to give rise to a Lien under Section 303(k) of ERISA. No</w:t>
      </w:r>
    </w:p>
    <w:p>
      <w:pPr>
        <w:spacing w:after="0" w:line="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condition exists or event or transaction has occurred with respect to any Pension Plan which could reasonably be expected to have a Material Adverse Effect.</w:t>
      </w:r>
    </w:p>
    <w:p>
      <w:pPr>
        <w:spacing w:after="0" w:line="188" w:lineRule="exact"/>
        <w:rPr>
          <w:sz w:val="20"/>
          <w:szCs w:val="20"/>
          <w:color w:val="auto"/>
        </w:rPr>
      </w:pPr>
    </w:p>
    <w:p>
      <w:pPr>
        <w:jc w:val="both"/>
        <w:ind w:firstLine="656"/>
        <w:spacing w:after="0" w:line="250" w:lineRule="auto"/>
        <w:tabs>
          <w:tab w:leader="none" w:pos="108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contributions (if any) have been made to any Multiemployer Pension Plan that are required to be made by the Company or any other member of the Controlled Group under the terms of the plan or of any collective bargaining agreement or by applicable Law; neither the Company nor any member of the Controlled Group has withdrawn or partially withdrawn from any Multiemployer Pension Plan, incurred any material withdrawal liability with respect to any such plan or received notice of any claim or demand for material withdrawal liability or partial withdrawal liability from any such plan; and neither the Company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Internal Revenue Code, that any such plan is or may be involuntarily terminated, or that any such plan is or may become insolvent; except, in each case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to the extent that the facts and circumstances causing such representation and warranty to be inaccurate could not reasonably be expected to have a Material Adverse Effect.</w:t>
      </w:r>
    </w:p>
    <w:p>
      <w:pPr>
        <w:spacing w:after="0" w:line="196"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other Loan Party is an entity deemed to hold Plan Assets.</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Neither the Company nor any Subsidiary is an “investment company” or a company “controlled” by an “investment company”, within the meaning of the Investment Company Act of 1940.</w:t>
      </w:r>
    </w:p>
    <w:p>
      <w:pPr>
        <w:spacing w:after="0" w:line="14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Regulation U</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 Borrower is engaged principally, or as one of its important activities, in the business of extending credit for the purpose of purchasing or carrying Margin Stock.</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Each of the Company and each Significant Subsidiary has filed all federal tax returns and other tax returns and tax reports required by Law to have been filed by it and has paid all taxes and governmental charges thereby shown to be owing, except for any of the following:</w:t>
      </w:r>
    </w:p>
    <w:p>
      <w:pPr>
        <w:spacing w:after="0" w:line="2" w:lineRule="exact"/>
        <w:rPr>
          <w:sz w:val="20"/>
          <w:szCs w:val="20"/>
          <w:color w:val="auto"/>
        </w:rPr>
      </w:pPr>
    </w:p>
    <w:p>
      <w:pPr>
        <w:jc w:val="both"/>
        <w:ind w:firstLine="8"/>
        <w:spacing w:after="0" w:line="253" w:lineRule="auto"/>
        <w:tabs>
          <w:tab w:leader="none" w:pos="25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taxes or charges which are being diligently contested in good faith by appropriate action and for which adequate reserves in accordance with GAAP shall have been set aside on its books and/or (ii) where failure of which to file and/or pay (as the case may be) could not reasonably be expected to have a Material Adverse Effect.</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Company conducts, in the ordinary course of business (in a manner sufficient to enable the Company to make the representation and warranty set forth in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 review of the effect of existing Environmental Laws (excluding health, safety and land use matters) and existing Environmental Claims (excluding health, safety and land use matters) on its and its Significant Subsidiaries’ business, operation and properties, and as a result thereof, the Company has reasonably concluded that,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83" w:lineRule="auto"/>
        <w:rPr>
          <w:sz w:val="20"/>
          <w:szCs w:val="20"/>
          <w:color w:val="auto"/>
        </w:rPr>
      </w:pPr>
      <w:r>
        <w:rPr>
          <w:rFonts w:ascii="Times New Roman" w:cs="Times New Roman" w:eastAsia="Times New Roman" w:hAnsi="Times New Roman"/>
          <w:sz w:val="20"/>
          <w:szCs w:val="20"/>
          <w:color w:val="auto"/>
        </w:rPr>
        <w:t>matters for which adequate reserves are maintained, the aggregate effect of such Environmental Laws and Environmental Claims, could not reasonably be expected to have a Material Adverse Effect.</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All information heretofore or contemporaneously herewith furnished in writing by the Company or any Subsidiary to the Administrative Agent or any Lender pursuant to this Agreement and the other Loan Documents hereby is, and all written information hereafter furnished by or on behalf of the Company or any Subsidiary to any Lender pursuant hereto, when taken as a whole, will be true and accurate in every material respect on the date as of which such information is dated or certified, and none of such information is or will be incomplete by omitting to state any material fact necessary to make such information not materially misleading in light of the circumstances under which made (it being recognized by the Administrative Agent and the Lenders that (a) any projections and forecasts provided by the Company or any Subsidiary are based on good faith estimates and assumptions believed by the Company or such Subsidiary to be reasonable as of the date of the applicable projections or assumptions and that actual results during the period or periods covered by any such projections and forecasts will likely differ from projected or forecasted results and (b) any information provided by the Company or any Subsidiary with respect to any Person or assets acquired or to be acquired by the Company or any Subsidiary shall, for all periods prior to the date of such Acquisition, be limited to the knowledge of the Company or the acquiring Subsidiary after reasonable inquiry).</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 Default has occurred and is continuing or would result from the consummation of any transaction contemplated by this Agreement or any other Loan Document.</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19"/>
          <w:szCs w:val="19"/>
          <w:u w:val="single" w:color="auto"/>
          <w:color w:val="auto"/>
        </w:rPr>
        <w:t>Designated Borrower Joinder Agreement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as long as any Subsidiary shall be a Borrower, the representations and warranties of such Subsidiary in such Borrower’s Designated Borrower Joinder Agreement are true and correct in all material respects as of the date such representations and warranties are made or deemed to be made, except to the extent such representations and warranties expressly relate to an earlier date in which case they shall be true and correct in all material respects as of such earlier date.</w:t>
      </w:r>
    </w:p>
    <w:p>
      <w:pPr>
        <w:spacing w:after="0" w:line="18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None of the Loan Parties, nor any of their Subsidiaries, nor, to the knowledge of the Loan Parties and their Subsidiaries, any director, officer, employee or Affiliate thereof, nor, to the knowledge of the Loan Parties, any agent of the Borrowers or any Subsidiary that will act as agent on behalf of the Borrowers or such Subsidiary in connection with the credit facility established hereby,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6.18</w:t>
      </w:r>
      <w:r>
        <w:rPr>
          <w:sz w:val="20"/>
          <w:szCs w:val="20"/>
          <w:color w:val="auto"/>
        </w:rPr>
        <w:tab/>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Loan Parties and their Subsidiaries have conducted their businesses in compliance in all material respects with the United States Foreign Corrupt Practices Act of 1977, the UK Bribery Act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13" w:right="339" w:bottom="1440" w:gutter="0" w:footer="0" w:header="0"/>
        </w:sectPr>
      </w:pPr>
    </w:p>
    <w:bookmarkStart w:id="110" w:name="page111"/>
    <w:bookmarkEnd w:id="110"/>
    <w:p>
      <w:pPr>
        <w:spacing w:after="0" w:line="283" w:lineRule="auto"/>
        <w:rPr>
          <w:sz w:val="20"/>
          <w:szCs w:val="20"/>
          <w:color w:val="auto"/>
        </w:rPr>
      </w:pPr>
      <w:r>
        <w:rPr>
          <w:rFonts w:ascii="Times New Roman" w:cs="Times New Roman" w:eastAsia="Times New Roman" w:hAnsi="Times New Roman"/>
          <w:sz w:val="20"/>
          <w:szCs w:val="20"/>
          <w:color w:val="auto"/>
        </w:rPr>
        <w:t>and other similar anti-corruption legislation in other jurisdictions and have instituted and maintained policies and procedures designed to promote and achieve compliance with such laws.</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6.19</w:t>
      </w:r>
      <w:r>
        <w:rPr>
          <w:sz w:val="20"/>
          <w:szCs w:val="20"/>
          <w:color w:val="auto"/>
        </w:rPr>
        <w:tab/>
      </w:r>
      <w:r>
        <w:rPr>
          <w:rFonts w:ascii="Times New Roman" w:cs="Times New Roman" w:eastAsia="Times New Roman" w:hAnsi="Times New Roman"/>
          <w:sz w:val="19"/>
          <w:szCs w:val="19"/>
          <w:u w:val="single" w:color="auto"/>
          <w:color w:val="auto"/>
        </w:rPr>
        <w:t>Luxembourg Specific Representations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12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Luxembourg Loan Party is in compliance with the Luxembourg Law of 31 May 1999 governing the domiciliation of companies (as amended from time to time and all related regulations); (b) the head office (</w:t>
      </w:r>
      <w:r>
        <w:rPr>
          <w:rFonts w:ascii="Times New Roman" w:cs="Times New Roman" w:eastAsia="Times New Roman" w:hAnsi="Times New Roman"/>
          <w:sz w:val="20"/>
          <w:szCs w:val="20"/>
          <w:i w:val="1"/>
          <w:iCs w:val="1"/>
          <w:color w:val="auto"/>
        </w:rPr>
        <w:t>administration centrale</w:t>
      </w:r>
      <w:r>
        <w:rPr>
          <w:rFonts w:ascii="Times New Roman" w:cs="Times New Roman" w:eastAsia="Times New Roman" w:hAnsi="Times New Roman"/>
          <w:sz w:val="20"/>
          <w:szCs w:val="20"/>
          <w:color w:val="auto"/>
        </w:rPr>
        <w:t>), the place of effective management (</w:t>
      </w:r>
      <w:r>
        <w:rPr>
          <w:rFonts w:ascii="Times New Roman" w:cs="Times New Roman" w:eastAsia="Times New Roman" w:hAnsi="Times New Roman"/>
          <w:sz w:val="20"/>
          <w:szCs w:val="20"/>
          <w:i w:val="1"/>
          <w:iCs w:val="1"/>
          <w:color w:val="auto"/>
        </w:rPr>
        <w:t>siège de direction effective</w:t>
      </w:r>
      <w:r>
        <w:rPr>
          <w:rFonts w:ascii="Times New Roman" w:cs="Times New Roman" w:eastAsia="Times New Roman" w:hAnsi="Times New Roman"/>
          <w:sz w:val="20"/>
          <w:szCs w:val="20"/>
          <w:color w:val="auto"/>
        </w:rPr>
        <w:t>) and (for the purposes of the European Insolvency Regulation) the center of main interests (</w:t>
      </w:r>
      <w:r>
        <w:rPr>
          <w:rFonts w:ascii="Times New Roman" w:cs="Times New Roman" w:eastAsia="Times New Roman" w:hAnsi="Times New Roman"/>
          <w:sz w:val="20"/>
          <w:szCs w:val="20"/>
          <w:i w:val="1"/>
          <w:iCs w:val="1"/>
          <w:color w:val="auto"/>
        </w:rPr>
        <w:t>centre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des intérêts principaux</w:t>
      </w:r>
      <w:r>
        <w:rPr>
          <w:rFonts w:ascii="Times New Roman" w:cs="Times New Roman" w:eastAsia="Times New Roman" w:hAnsi="Times New Roman"/>
          <w:sz w:val="20"/>
          <w:szCs w:val="20"/>
          <w:color w:val="auto"/>
        </w:rPr>
        <w:t>) of each Luxembourg Loan Party in Luxembourg is located at the place of its registered office (</w:t>
      </w:r>
      <w:r>
        <w:rPr>
          <w:rFonts w:ascii="Times New Roman" w:cs="Times New Roman" w:eastAsia="Times New Roman" w:hAnsi="Times New Roman"/>
          <w:sz w:val="20"/>
          <w:szCs w:val="20"/>
          <w:i w:val="1"/>
          <w:iCs w:val="1"/>
          <w:color w:val="auto"/>
        </w:rPr>
        <w:t>siège statutaire</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Luxembourg; (c) no Luxembourg Loan Party has filed and, to the best of its knowledge, no Person has filed a request with any competent court seeking that any Luxembourg Loan Party, be declared subject to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general settlement or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judicial or voluntary liquidation (</w:t>
      </w:r>
      <w:r>
        <w:rPr>
          <w:rFonts w:ascii="Times New Roman" w:cs="Times New Roman" w:eastAsia="Times New Roman" w:hAnsi="Times New Roman"/>
          <w:sz w:val="20"/>
          <w:szCs w:val="20"/>
          <w:i w:val="1"/>
          <w:iCs w:val="1"/>
          <w:color w:val="auto"/>
        </w:rPr>
        <w:t>liquidation judiciaire ou volontaire</w:t>
      </w:r>
      <w:r>
        <w:rPr>
          <w:rFonts w:ascii="Times New Roman" w:cs="Times New Roman" w:eastAsia="Times New Roman" w:hAnsi="Times New Roman"/>
          <w:sz w:val="20"/>
          <w:szCs w:val="20"/>
          <w:color w:val="auto"/>
        </w:rPr>
        <w:t xml:space="preserve">), such other proceedings listed at Article 13, items 2 to 11, 13 and Article 14 of the Luxembourg Law of 19 December 2002 on the register of commerce and companies, and the accounting and annual accounts of undertakings (as amended from time to time), (and which include foreign court decision as to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concordat</w:t>
      </w:r>
      <w:r>
        <w:rPr>
          <w:rFonts w:ascii="Times New Roman" w:cs="Times New Roman" w:eastAsia="Times New Roman" w:hAnsi="Times New Roman"/>
          <w:sz w:val="20"/>
          <w:szCs w:val="20"/>
          <w:color w:val="auto"/>
        </w:rPr>
        <w:t xml:space="preserve"> or analogous procedures according to the European Insolvency Regulation); and (d) each Luxembourg Loan Party is not, and will not, as a result of its entry into the Loan Documents or the performance of its obligations thereunder, be in a state of cessation of payments (</w:t>
      </w:r>
      <w:r>
        <w:rPr>
          <w:rFonts w:ascii="Times New Roman" w:cs="Times New Roman" w:eastAsia="Times New Roman" w:hAnsi="Times New Roman"/>
          <w:sz w:val="20"/>
          <w:szCs w:val="20"/>
          <w:i w:val="1"/>
          <w:iCs w:val="1"/>
          <w:color w:val="auto"/>
        </w:rPr>
        <w:t>cessation des paiements</w:t>
      </w:r>
      <w:r>
        <w:rPr>
          <w:rFonts w:ascii="Times New Roman" w:cs="Times New Roman" w:eastAsia="Times New Roman" w:hAnsi="Times New Roman"/>
          <w:sz w:val="20"/>
          <w:szCs w:val="20"/>
          <w:color w:val="auto"/>
        </w:rPr>
        <w:t>), or be deemed to be in a such state, and has not, and will not, as a result of its entry into the Loan Documents or the performance of its obligations thereunder, lose its creditworthiness (</w:t>
      </w:r>
      <w:r>
        <w:rPr>
          <w:rFonts w:ascii="Times New Roman" w:cs="Times New Roman" w:eastAsia="Times New Roman" w:hAnsi="Times New Roman"/>
          <w:sz w:val="20"/>
          <w:szCs w:val="20"/>
          <w:i w:val="1"/>
          <w:iCs w:val="1"/>
          <w:color w:val="auto"/>
        </w:rPr>
        <w:t>ébranlement de crédit</w:t>
      </w:r>
      <w:r>
        <w:rPr>
          <w:rFonts w:ascii="Times New Roman" w:cs="Times New Roman" w:eastAsia="Times New Roman" w:hAnsi="Times New Roman"/>
          <w:sz w:val="20"/>
          <w:szCs w:val="20"/>
          <w:color w:val="auto"/>
        </w:rPr>
        <w:t>), or be deemed to have lost such creditworthiness and is not aware, or may not reasonably be aware of such circumstances.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6.20 </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As of the Closing Date, the information included in the Beneficial Ownership Certification is true and correct in all respects.</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6.21</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COVENANTS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Until the expiration or termination of the Commitments and thereafter until all Obligations of the Loan Parties hereunder and under the other Loan Documents (other than any contingent indemnification or similar obligations not yet due and payable) are paid in full and all Letters of Credit (other than any Letter of Credit that has been Cash Collateralized or with respect to which other arrangements satisfactory to the L/C Issuer have been made) have been terminated, the Loan Parties agree that, unless at any time the Required Lenders shall otherwise expressly consent in writing, they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13" w:right="339" w:bottom="1440" w:gutter="0" w:footer="0" w:header="0"/>
        </w:sectPr>
      </w:pPr>
    </w:p>
    <w:bookmarkStart w:id="111" w:name="page112"/>
    <w:bookmarkEnd w:id="111"/>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7.01</w:t>
      </w:r>
      <w:r>
        <w:rPr>
          <w:sz w:val="20"/>
          <w:szCs w:val="20"/>
          <w:color w:val="auto"/>
        </w:rPr>
        <w:tab/>
      </w:r>
      <w:r>
        <w:rPr>
          <w:rFonts w:ascii="Times New Roman" w:cs="Times New Roman" w:eastAsia="Times New Roman" w:hAnsi="Times New Roman"/>
          <w:sz w:val="19"/>
          <w:szCs w:val="19"/>
          <w:u w:val="single" w:color="auto"/>
          <w:color w:val="auto"/>
        </w:rPr>
        <w:t>Reports, Certificates and Other Information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Furnish to the Administrative Agent (for delivery to the Lenders):</w:t>
      </w:r>
    </w:p>
    <w:p>
      <w:pPr>
        <w:spacing w:after="0" w:line="216" w:lineRule="exact"/>
        <w:rPr>
          <w:sz w:val="20"/>
          <w:szCs w:val="20"/>
          <w:color w:val="auto"/>
        </w:rPr>
      </w:pPr>
    </w:p>
    <w:p>
      <w:pPr>
        <w:jc w:val="both"/>
        <w:ind w:firstLine="656"/>
        <w:spacing w:after="0" w:line="250" w:lineRule="auto"/>
        <w:tabs>
          <w:tab w:leader="none" w:pos="112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Report</w:t>
      </w:r>
      <w:r>
        <w:rPr>
          <w:rFonts w:ascii="Times New Roman" w:cs="Times New Roman" w:eastAsia="Times New Roman" w:hAnsi="Times New Roman"/>
          <w:sz w:val="20"/>
          <w:szCs w:val="20"/>
          <w:color w:val="auto"/>
        </w:rPr>
        <w:t>. Promptly when available, and in any event not later than the earlier of (i) five Business Days after the filing thereof with the SEC and (ii) 105 days after the end of each Fiscal Year (commencing with the Fiscal Year ending on or about July 31, 2019), a copy of the audited consolidated balance sheet of the Company and its consolidated Subsidiaries for such Fiscal Year together with audited consolidated statements of earnings and cash flows for such Fiscal Year, accompanied by the report of Deloitte &amp; Touche LLP or another nationally-recognized independent registered public accounting firm (the “</w:t>
      </w:r>
      <w:r>
        <w:rPr>
          <w:rFonts w:ascii="Times New Roman" w:cs="Times New Roman" w:eastAsia="Times New Roman" w:hAnsi="Times New Roman"/>
          <w:sz w:val="20"/>
          <w:szCs w:val="20"/>
          <w:u w:val="single" w:color="auto"/>
          <w:color w:val="auto"/>
        </w:rPr>
        <w:t>Independent Auditor</w:t>
      </w:r>
      <w:r>
        <w:rPr>
          <w:rFonts w:ascii="Times New Roman" w:cs="Times New Roman" w:eastAsia="Times New Roman" w:hAnsi="Times New Roman"/>
          <w:sz w:val="20"/>
          <w:szCs w:val="20"/>
          <w:color w:val="auto"/>
        </w:rPr>
        <w:t xml:space="preserve">”), which report shall (A) state that such consolidated financial statements present fairly in all material respects the financial position for the periods indicated in conformity with GAAP and (B) not be qualified or limited because of a restricted or limited examination by the Independent Auditor of any material portion of the Company’s or any Subsidiary’s records;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report of the Independent Auditor is a combined report (that is, one report containing an opinion on such consolidated financial statements, an opinion on internal controls over financial reporting and an opinion on management’s assessment of internal controls over financial reporting), then such report may include a qualification or limitation relating to the Company’s system of internal controls over financial reporting due to the exclusion of any acquired business from the scope of management’s assessment of internal controls over financial reporting to the extent such exclusion is permitted under provisions published by the Public Company Accounting Oversight Board, the SEC or another applicable Governmental Authority.</w:t>
      </w:r>
    </w:p>
    <w:p>
      <w:pPr>
        <w:spacing w:after="0" w:line="193" w:lineRule="exact"/>
        <w:rPr>
          <w:rFonts w:ascii="Times New Roman" w:cs="Times New Roman" w:eastAsia="Times New Roman" w:hAnsi="Times New Roman"/>
          <w:sz w:val="20"/>
          <w:szCs w:val="20"/>
          <w:color w:val="auto"/>
        </w:rPr>
      </w:pPr>
    </w:p>
    <w:p>
      <w:pPr>
        <w:jc w:val="both"/>
        <w:ind w:firstLine="656"/>
        <w:spacing w:after="0" w:line="251" w:lineRule="auto"/>
        <w:tabs>
          <w:tab w:leader="none" w:pos="108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Reports</w:t>
      </w:r>
      <w:r>
        <w:rPr>
          <w:rFonts w:ascii="Times New Roman" w:cs="Times New Roman" w:eastAsia="Times New Roman" w:hAnsi="Times New Roman"/>
          <w:sz w:val="20"/>
          <w:szCs w:val="20"/>
          <w:color w:val="auto"/>
        </w:rPr>
        <w:t>. Promptly when available, and in any event not later than (i) five Business Days after the filing thereof with the SEC and (ii) 45 days after the end of each Fiscal Quarter (except the last Fiscal Quarter of each Fiscal Year), consolidated balance sheets of the Company and its consolidated Subsidiaries as of the end of such Fiscal Quarter, together with a consolidated statement of earnings for such Fiscal Quarter and consolidated statements of earnings and cash flows for the period beginning with the first day of such Fiscal Year and ending on the last day of such Fiscal Quarter, certified by an Executive Officer as fairly presenting in all material respects, in accordance with GAAP (subject to normal year-end audit adjustments and the absence of footnotes), the consolidated financial position and results of operations for the Company and its consolidated Subsidiaries for such periods.</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4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Certificates</w:t>
      </w:r>
      <w:r>
        <w:rPr>
          <w:rFonts w:ascii="Times New Roman" w:cs="Times New Roman" w:eastAsia="Times New Roman" w:hAnsi="Times New Roman"/>
          <w:sz w:val="20"/>
          <w:szCs w:val="20"/>
          <w:color w:val="auto"/>
        </w:rPr>
        <w:t xml:space="preserve">. Contemporaneously with the furnishing of a copy of each annual audit report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7.01(a)</w:t>
      </w:r>
      <w:r>
        <w:rPr>
          <w:rFonts w:ascii="Times New Roman" w:cs="Times New Roman" w:eastAsia="Times New Roman" w:hAnsi="Times New Roman"/>
          <w:sz w:val="20"/>
          <w:szCs w:val="20"/>
          <w:color w:val="auto"/>
        </w:rPr>
        <w:t xml:space="preserve"> and of each set of quarterly statements pursuant to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a duly completed Compliance Certificate, with appropriate insertions, dated the date of such annual report or such quarterly statements and signed by an Executive Officer, containing a computation of each of the financial covenants set forth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and to the effect that such officer has not become aware of any Default that has occurred and is continuing or, if there is any such event, describing it and the steps, if any, being taken to cure it.</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Reports to SEC and to Shareholders</w:t>
      </w:r>
      <w:r>
        <w:rPr>
          <w:rFonts w:ascii="Times New Roman" w:cs="Times New Roman" w:eastAsia="Times New Roman" w:hAnsi="Times New Roman"/>
          <w:sz w:val="20"/>
          <w:szCs w:val="20"/>
          <w:color w:val="auto"/>
        </w:rPr>
        <w:t xml:space="preserve">. Except as otherwise provided in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within 15 days after the filing or sending thereof, copies of all reports on Form 10-K, 10-Q or 8-K (including any amendment thereto) of any Loan Party filed with the SEC (excluding exhibits thereto, provided that the Company shall promptly deliver any such exhibit to the Administrative Agent upon request therefor); copies of all registration statements of any Loan Party filed with the SEC (other than on Form S-8); and copies of all proxy statements or other communications made generally to shareholders as a whole concerning material developments in the business of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13" w:right="339" w:bottom="1440" w:gutter="0" w:footer="0" w:header="0"/>
        </w:sectPr>
      </w:pPr>
    </w:p>
    <w:bookmarkStart w:id="112" w:name="page113"/>
    <w:bookmarkEnd w:id="112"/>
    <w:p>
      <w:pPr>
        <w:jc w:val="both"/>
        <w:ind w:firstLine="656"/>
        <w:spacing w:after="0" w:line="261" w:lineRule="auto"/>
        <w:tabs>
          <w:tab w:leader="none" w:pos="119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 Litigation and ERISA Matters</w:t>
      </w:r>
      <w:r>
        <w:rPr>
          <w:rFonts w:ascii="Times New Roman" w:cs="Times New Roman" w:eastAsia="Times New Roman" w:hAnsi="Times New Roman"/>
          <w:sz w:val="20"/>
          <w:szCs w:val="20"/>
          <w:color w:val="auto"/>
        </w:rPr>
        <w:t>. Promptly upon any Executive Officer becoming aware of any of the following, written notice describing the same and the steps being taken by the Company or the Subsidiary affected thereby with respect thereto:</w:t>
      </w:r>
    </w:p>
    <w:p>
      <w:pPr>
        <w:spacing w:after="0" w:line="181"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Default;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56"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litigation, arbitration or governmental investigation or proceeding not previously disclosed by the Company to the Lenders which involves an uninsured claim and has been instituted, or, to the knowledge of the Company, is threatened in writing, against the Company or any Significant Subsidiary or to which any of the properties of any thereof is subject, in each of the foregoing cases which could reasonably be expected to have a Material Adverse Effect;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9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institution of any steps by any member of the Controlled Group or any other Person to terminate any Pension Plan other than a “standard termination” in accordance with Section 4041(b) of ERISA, or the failure of any member of the Controlled Group to make a required contribution to any Pension Plan (if such failure is sufficient to give rise to a lien under Section 303(k) of ERISA) or to any Multiemployer Pension Plan (in each case if such failure could reasonably be expected to have a Material Adverse Effect), or the taking of any action with respect to a Pension Plan which could reasonably be expected to result in the requirement that the Company furnish a bond or other security to the PBGC or such Pension Plan, or the occurrence of any event with respect to any Pension Plan or Multiemployer Pension Plan which could reasonably be expected to have a Material Adverse Effect, or any notice that any Multiemployer Pension Plan is in reorganization, that material increased contributions may be required to avoid a reduction in plan benefits or the imposition of an excise tax, that any such plan is or has been funded at a rate less materially than that required under Section 412 of the Internal Revenue Code, that any such plan is or may be involuntarily terminated, or that any such plan is or may become insolvent;</w:t>
      </w:r>
    </w:p>
    <w:p>
      <w:pPr>
        <w:spacing w:after="0" w:line="186"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becomes an entity deemed to hold Plan Assets; and</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1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(including any violation of any Environmental Law or the assertion of any Environmental Claim) which could reasonably be expected to have a Material Adverse Effect.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From time to time (i) 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 (ii) such other information concerning the Company and its Subsidiaries (including material financial and management reports submitted to the Company by independent auditors in connection with each annual or interim audit made by such auditors of the books of the Company) as the Administrative Agent or any Lender through the Administrative Agent may reasonably request.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7.01(d)</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or publicly files such documents with the SEC; or (ii) on which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13" w:right="339" w:bottom="1440" w:gutter="0" w:footer="0" w:header="0"/>
        </w:sectPr>
      </w:pPr>
    </w:p>
    <w:bookmarkStart w:id="113" w:name="page114"/>
    <w:bookmarkEnd w:id="113"/>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are (A) available on the website of the SEC at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 xml:space="preserve"> or (B) posted on a Borrower’s behalf on an Internet or intranet website, if any, to which each Lender and the Administrative Agent have access (whether a commercial, third 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documents that are not available on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 the Company shall notify (which may be by facsimile or electronic mail) the Administrative Agent (which shall notify each Lender) of the posting of any such document and, promptly upon request by the Administrative Agent, provide to the Administrative Agent by electronic mail an electronic version (i.e., a soft copy) of any such document specifically requested by the Administrative Agent.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hereby acknowledges that (a) the Administrative Agent and/or the Arrangers may, but shall not be obligated to, make available to the Lenders and the L/C Issuer materials and/or information provided by or on behalf of the Company hereunder (collectively,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by posting the Borrower Materials on Debt Domain, IntraLinks,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Arrangers, the L/C Issuer and the Lenders to treat such Borrower Materials as not containing any material non-public information with respect to the Company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any Borrower Materials constitute Information, they shall be treated as set forth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and shall only post such Borrower Materials on, a portion of the Platform not designated as “Public Side Information.” Notwithstanding the foregoing, the Company shall be under no obligation to mark any Borrower Materials “PUBLIC.”</w:t>
      </w:r>
    </w:p>
    <w:p>
      <w:pPr>
        <w:spacing w:after="0" w:line="20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7.02</w:t>
      </w:r>
      <w:r>
        <w:rPr>
          <w:sz w:val="20"/>
          <w:szCs w:val="20"/>
          <w:color w:val="auto"/>
        </w:rPr>
        <w:tab/>
      </w:r>
      <w:r>
        <w:rPr>
          <w:rFonts w:ascii="Times New Roman" w:cs="Times New Roman" w:eastAsia="Times New Roman" w:hAnsi="Times New Roman"/>
          <w:sz w:val="19"/>
          <w:szCs w:val="19"/>
          <w:u w:val="single" w:color="auto"/>
          <w:color w:val="auto"/>
        </w:rPr>
        <w:t>Books, Records and Inspections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2" w:lineRule="auto"/>
        <w:tabs>
          <w:tab w:leader="none" w:pos="110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Keep, and cause each Significant Subsidiary to keep, its books and records in conformity with GAAP; (b) permit, and cause each Significant Subsidiary and each Domestic Subsidiary (other than Excluded Subsidiaries) to permit, the Administrative Agent (which may be accompanied by any Lender) or any representative thereof at any reasonable time during normal business hours and with reasonable prior notice to inspect the properties and operations of the Company and of such Subsidiary; and (c) permit, and cause each Significant Subsidiary and each Domestic Subsidiary (other than Excluded Subsidiaries) to permit, at any reasonable time during normal business hours and with reasonable notice (or at any time without notice if an Event of Default exists), the Administrative Agent (which may be accompanied by any Lender) or any representative thereof to visit any or all of its offices, to discuss its financial matters with its officers and its independent auditors (and the Company hereby authorizes such independent auditors to discuss such financial matters with the Administrative Agent (which may be accompanied by any Lender) or any representative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right to be present at any such discussions so long as no Event of Default exists), to examine (and photocopy extracts from) any of its books or other financial or operating records,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 Event of Default exists, (i) the Administrative Agent and the Lenders shall be limited in the aggregate to two visits and inspections per Fiscal Year (it being understood that the Administrative Agent may conduct such on-site visits and inspections when an Event of Default does not exist and may be accompanied by any Lender) and (ii) the costs and expenses associated with any visit or inspection made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shall be for the account of the Administrative Agent (or, if acting upon the request of or accompanied by any Lender, such Lender).</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7.03</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Maintain, and cause each Significant Subsidiary to maintain, with responsible insurance companies, such insurance as may be required by any Law or governmental regulation or court decree or order applicable to it and such other insurance, to such extent and against such hazards and liabilities, as is customarily maintained by companies similarly situated; and, upon request of the Administrative Agent or any Lender through the Administrative Agent, furnish to the Administrative Agent or the Administrative Agent for delivery to such Lender a certificate setting forth in reasonable detail the nature and extent of all insurance maintained by the Company, the Significant Subsidiaries and the Domestic Subsidiaries (other than Excluded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self-insurance of risks and in amounts customary in the industry of the Company and its Subsidiaries shall be permitted.</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7.04</w:t>
      </w:r>
      <w:r>
        <w:rPr>
          <w:sz w:val="20"/>
          <w:szCs w:val="20"/>
          <w:color w:val="auto"/>
        </w:rPr>
        <w:tab/>
      </w:r>
      <w:r>
        <w:rPr>
          <w:rFonts w:ascii="Times New Roman" w:cs="Times New Roman" w:eastAsia="Times New Roman" w:hAnsi="Times New Roman"/>
          <w:sz w:val="19"/>
          <w:szCs w:val="19"/>
          <w:u w:val="single" w:color="auto"/>
          <w:color w:val="auto"/>
        </w:rPr>
        <w:t>Compliance with Laws; Payment of Taxes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1" w:lineRule="auto"/>
        <w:tabs>
          <w:tab w:leader="none" w:pos="118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and cause each Significant Subsidiary to comply, with all applicable Laws (including Environmental Laws and ERISA), rules, regulations, decrees, orders, judgments, licenses and permits, except to the extent the failure to comply therewith, either individually or in the aggregate with all other such failures, could not reasonably be expected to have a Material Adverse Effect.</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 and cause each Significant Subsidiary to pay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all taxes and governmental charges against it or any of its property except such taxes that are not overdue by more than 60 days and such taxes the failure of which to pay, either individually or in the aggregate with all other such failures, could not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require the Company or any Subsidiary to pay any such tax or charge so long as it shall contest the validity thereof in good faith by appropriate action and shall set aside on its books adequate reserves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-685800</wp:posOffset>
            </wp:positionV>
            <wp:extent cx="31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7.05</w:t>
      </w:r>
      <w:r>
        <w:rPr>
          <w:sz w:val="20"/>
          <w:szCs w:val="20"/>
          <w:color w:val="auto"/>
        </w:rPr>
        <w:tab/>
      </w:r>
      <w:r>
        <w:rPr>
          <w:rFonts w:ascii="Times New Roman" w:cs="Times New Roman" w:eastAsia="Times New Roman" w:hAnsi="Times New Roman"/>
          <w:sz w:val="19"/>
          <w:szCs w:val="19"/>
          <w:u w:val="single" w:color="auto"/>
          <w:color w:val="auto"/>
        </w:rPr>
        <w:t>Maintenance of Existence,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Maintain and preserve, and (subject to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cause each Significant Subsidiary to maintain and preserve, (a) its existence and good standing (or equivalent status) in the jurisdiction of its formation and (b) its qualification and good standing (or equivalent status) as a foreign entity in each jurisdiction where the nature of its business makes such qualification necessary (except in those instances in which the failure to be qualified or in good standing (or equivalent status) could not reasonably be expected to have a Material Adverse Effect).</w:t>
      </w:r>
    </w:p>
    <w:p>
      <w:pPr>
        <w:spacing w:after="0" w:line="17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7.06</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61" w:lineRule="auto"/>
        <w:tabs>
          <w:tab w:leader="none" w:pos="104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Not permit the Consolidated Net Leverage Ratio as of the last day of any Computation Period to exceed 3.50 to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connection with any individual Permitted Acquisition (or any series of Permitted Acquisitions occurring in any four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Quarter period) for which the aggregate purchase consideration equals or exceeds $75,000,000, the maximum Consolidated Net Leverage Ratio, with prior notice to the Administrative Agent, shall increase to 4.00 to 1.0 for the four consecutive Fiscal Quarter period beginning with, if an individual Permitted Acquisition, the quarter in which such Permitted Acquisition occurs, or, if a series of Permitted Acquisitions, the quarter in which the last Permitted Acquisition occurs, so long as (i) the Company is in compliance on a pro forma basis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7.06(a)</w:t>
      </w:r>
      <w:r>
        <w:rPr>
          <w:rFonts w:ascii="Times New Roman" w:cs="Times New Roman" w:eastAsia="Times New Roman" w:hAnsi="Times New Roman"/>
          <w:sz w:val="20"/>
          <w:szCs w:val="20"/>
          <w:color w:val="auto"/>
        </w:rPr>
        <w:t xml:space="preserve"> at such 4.00 to 1.0 level after giving effect to such Permitted Acquisition and (ii) after any such Permitted Acquisition that results in an increase to the 4.00 to 1.0 level, the Consolidated Net Leverage Ratio permitted under this </w:t>
      </w:r>
      <w:r>
        <w:rPr>
          <w:rFonts w:ascii="Times New Roman" w:cs="Times New Roman" w:eastAsia="Times New Roman" w:hAnsi="Times New Roman"/>
          <w:sz w:val="20"/>
          <w:szCs w:val="20"/>
          <w:u w:val="single" w:color="auto"/>
          <w:color w:val="auto"/>
        </w:rPr>
        <w:t>Section 7.06(a)</w:t>
      </w:r>
      <w:r>
        <w:rPr>
          <w:rFonts w:ascii="Times New Roman" w:cs="Times New Roman" w:eastAsia="Times New Roman" w:hAnsi="Times New Roman"/>
          <w:sz w:val="20"/>
          <w:szCs w:val="20"/>
          <w:color w:val="auto"/>
        </w:rPr>
        <w:t xml:space="preserve"> shall decrease to 3.50 to 1.0 for at least one Fiscal Quarter before becoming eligible to again increase to 4.00 to 1.0 for a new period of four consecutive Fiscal Quarters (with the understanding that any Permitted Acquisition occurring during such Fiscal Quarter would be required to comply with the 3.50 to 1.0 ratio).</w:t>
      </w:r>
    </w:p>
    <w:p>
      <w:pPr>
        <w:spacing w:after="0" w:line="176" w:lineRule="exact"/>
        <w:rPr>
          <w:sz w:val="20"/>
          <w:szCs w:val="20"/>
          <w:color w:val="auto"/>
        </w:rPr>
      </w:pPr>
    </w:p>
    <w:p>
      <w:pPr>
        <w:ind w:right="20" w:firstLine="656"/>
        <w:spacing w:after="0" w:line="283" w:lineRule="auto"/>
        <w:tabs>
          <w:tab w:leader="none" w:pos="124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Not permit the Consolidated Interest Coverage Ratio as of the last day of any Computation Period to be less than 3.00 to 1.0.</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7.07</w:t>
      </w:r>
      <w:r>
        <w:rPr>
          <w:sz w:val="20"/>
          <w:szCs w:val="20"/>
          <w:color w:val="auto"/>
        </w:rPr>
        <w:tab/>
      </w:r>
      <w:r>
        <w:rPr>
          <w:rFonts w:ascii="Times New Roman" w:cs="Times New Roman" w:eastAsia="Times New Roman" w:hAnsi="Times New Roman"/>
          <w:sz w:val="19"/>
          <w:szCs w:val="19"/>
          <w:u w:val="single" w:color="auto"/>
          <w:color w:val="auto"/>
        </w:rPr>
        <w:t>Limitations on Debt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and not permit any Significant Subsidiary or any Securitization Subsidiary to, create, incur, assume or suffer to exist any Debt,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w:t>
      </w:r>
    </w:p>
    <w:p>
      <w:pPr>
        <w:spacing w:after="0" w:line="200" w:lineRule="exact"/>
        <w:rPr>
          <w:sz w:val="20"/>
          <w:szCs w:val="20"/>
          <w:color w:val="auto"/>
        </w:rPr>
      </w:pPr>
    </w:p>
    <w:p>
      <w:pPr>
        <w:ind w:left="1060" w:hanging="404"/>
        <w:spacing w:after="0"/>
        <w:tabs>
          <w:tab w:leader="none" w:pos="10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under the Loan Documents;</w:t>
      </w:r>
    </w:p>
    <w:p>
      <w:pPr>
        <w:spacing w:after="0" w:line="229" w:lineRule="exact"/>
        <w:rPr>
          <w:rFonts w:ascii="Times New Roman" w:cs="Times New Roman" w:eastAsia="Times New Roman" w:hAnsi="Times New Roman"/>
          <w:sz w:val="20"/>
          <w:szCs w:val="20"/>
          <w:color w:val="auto"/>
        </w:rPr>
      </w:pPr>
    </w:p>
    <w:p>
      <w:pPr>
        <w:jc w:val="both"/>
        <w:ind w:firstLine="656"/>
        <w:spacing w:after="0" w:line="252" w:lineRule="auto"/>
        <w:tabs>
          <w:tab w:leader="none" w:pos="1126"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incurred to finance the acquisition, construction or improvement of any fixed or capital asset (including (i) obligations under Capital Leases and (ii) Debt assumed in connection with the acquisition of any such asset or secured by a Lien on such asset prior to the acquisition thereof (and not incurred in contemplation of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Debt is incurred prior to or substantially concurrently with such acquisition or not later than 45 days following the completion of such construction or improvement, as the case may be, (y) such Debt does not exceed the cost of such asset as of the date of such acquisition or completion of construction thereof or of such improvement on the date of completion thereof, as the case may be, and (z) the aggregate outstanding principal amount of all Debt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does not at the time of incurrence of any such Debt exceed the greater of (A) $50,000,000 and (B) 5%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secured by Liens permitted by </w:t>
      </w:r>
      <w:r>
        <w:rPr>
          <w:rFonts w:ascii="Times New Roman" w:cs="Times New Roman" w:eastAsia="Times New Roman" w:hAnsi="Times New Roman"/>
          <w:sz w:val="20"/>
          <w:szCs w:val="20"/>
          <w:u w:val="single" w:color="auto"/>
          <w:color w:val="auto"/>
        </w:rPr>
        <w:t>Section 7.08(c)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7.08(f)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7.08(t)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(or any undrawn commitment therefor) existing on the Second Amendment Effective Date and listed in </w:t>
      </w:r>
      <w:r>
        <w:rPr>
          <w:rFonts w:ascii="Times New Roman" w:cs="Times New Roman" w:eastAsia="Times New Roman" w:hAnsi="Times New Roman"/>
          <w:sz w:val="20"/>
          <w:szCs w:val="20"/>
          <w:u w:val="single" w:color="auto"/>
          <w:color w:val="auto"/>
        </w:rPr>
        <w:t>Schedule 7.07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11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extensions or renewals of any of the foregoing Debt to the extent the principal amount thereof is not increased (including extensions, renewals or replacements of guarantees in respect of such Debt as so refinanced, extended or renewed);</w:t>
      </w:r>
    </w:p>
    <w:p>
      <w:pPr>
        <w:spacing w:after="0" w:line="15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Debt;</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6"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incurred in the ordinary course of business for bona fide hedging purposes and not for speculation and Debt in respect of overdraft facilities, employee credit card programs, netting services, automatic clearing house arrangements and other cash management and similar arrangements,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3" w:right="339" w:bottom="1440" w:gutter="0" w:footer="0" w:header="0"/>
        </w:sectPr>
      </w:pPr>
    </w:p>
    <w:bookmarkStart w:id="116" w:name="page117"/>
    <w:bookmarkEnd w:id="116"/>
    <w:p>
      <w:pPr>
        <w:ind w:left="1060" w:hanging="404"/>
        <w:spacing w:after="0"/>
        <w:tabs>
          <w:tab w:leader="none" w:pos="10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of a Person acquired in connection with a Permitted Acquisition that was not incurred in contemplation thereof;</w:t>
      </w:r>
    </w:p>
    <w:p>
      <w:pPr>
        <w:spacing w:after="0" w:line="229"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of the Company or a Significant Subsidiary as an account party in respect of trade and standby letters of credit;</w:t>
      </w:r>
    </w:p>
    <w:p>
      <w:pPr>
        <w:spacing w:after="0" w:line="215"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under surety, custom and similar bonds in the ordinary course of business consistent with past practice;</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7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Securitization Obligations in an aggregate outstanding amount not exceeding at the time of incurrence of any such Securitization Obligations the greater of (i) $100,000,000 and (ii) 10%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outstanding amount of all Securitization Obligations of the Domestic Borrowers and the Domestic Subsidiaries of the Company shall not exceed $35,000,000 at any time.</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12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under the Existing Credit Agreement, so long such Debt is repaid concurrently with the making of the initial Credit Extensions hereunder;</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12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arising under any Note Purchase Agreement or any Senior Note (and renewals, refinancings and extensions thereof) and, subject to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any guarantee of the foregoing;</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Suretyship Liabilities of the Company with respect to Debt permitted hereunder (but subject to any limitations otherwise applicable to the Company to incur such Debt directly);</w:t>
      </w:r>
    </w:p>
    <w:p>
      <w:pPr>
        <w:spacing w:after="0" w:line="146"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of a Foreign Subsidiary other than a Loan Party;</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13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from the honoring by a bank or other financial institution of a check, draft or similar instrument inadvertently (except in the case of daylight overdrafts) drawn against insufficient funds in the ordinary course of business;</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Suretyship Liabilities of any Loan Party or any Subsidiary with respect to (i) recourse obligations resulting from endorsement of negotiable instruments for collection in the ordinary course of business and (ii) workers’ compensation and similar obligations of the Loan Parties and their Subsidiaries incurred in the ordinary course of business;</w:t>
      </w:r>
    </w:p>
    <w:p>
      <w:pPr>
        <w:spacing w:after="0" w:line="181"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unsecured Debt and, subject to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any guaranty thereof; and</w:t>
      </w:r>
    </w:p>
    <w:p>
      <w:pPr>
        <w:spacing w:after="0" w:line="215"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Debt, Investments permitted under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incurrence of Debt described in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(r)</w:t>
      </w:r>
      <w:r>
        <w:rPr>
          <w:rFonts w:ascii="Times New Roman" w:cs="Times New Roman" w:eastAsia="Times New Roman" w:hAnsi="Times New Roman"/>
          <w:sz w:val="20"/>
          <w:szCs w:val="20"/>
          <w:color w:val="auto"/>
        </w:rPr>
        <w:t xml:space="preserve"> after the Closing Date, (i) the Company is in pro forma compliance with the covenants set forth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(ii) no Default shall exist or result from the incurrence of such Debt.</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7.08</w:t>
      </w:r>
      <w:r>
        <w:rPr>
          <w:sz w:val="20"/>
          <w:szCs w:val="20"/>
          <w:color w:val="auto"/>
        </w:rPr>
        <w:tab/>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Not, and not permit any Significant Subsidiary or any Securitization Subsidiary to, create or permit to exist any Lien on any of its real or personal properties, assets or rights of whatsoever nature (whether now owned or hereafter acquired),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13" w:right="339" w:bottom="1440" w:gutter="0" w:footer="0" w:header="0"/>
        </w:sectPr>
      </w:pPr>
    </w:p>
    <w:bookmarkStart w:id="117" w:name="page118"/>
    <w:bookmarkEnd w:id="117"/>
    <w:p>
      <w:pPr>
        <w:ind w:firstLine="656"/>
        <w:spacing w:after="0" w:line="283" w:lineRule="auto"/>
        <w:tabs>
          <w:tab w:leader="none" w:pos="110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or other governmental charges not at the time delinquent for more than 90 days or thereafter payable without penalty or being contested in good faith by appropriate action and, in each case, for which it maintains adequate reserves;</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in the ordinary course of business (such as (i) Liens of carriers, warehousemen, mechanics and materialmen and other similar Liens imposed by Law, (ii) Liens incurred in connection with worker’s compensation, unemployment compensation and other types of social security (excluding Liens arising under ERISA) or in connection with surety bonds, bids, performance bonds and similar obligations, and (iii) Liens deemed to exist in connection with investments in repurchase agreements not prohibited by this Agreement) for sums not overdue for a period of more than 30 days or, if more than 30 days overdue, being contested in good faith by appropriate action and not involving borrowed money, and, in each case, for which it maintains adequate reserves;</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identified in </w:t>
      </w:r>
      <w:r>
        <w:rPr>
          <w:rFonts w:ascii="Times New Roman" w:cs="Times New Roman" w:eastAsia="Times New Roman" w:hAnsi="Times New Roman"/>
          <w:sz w:val="20"/>
          <w:szCs w:val="20"/>
          <w:u w:val="single" w:color="auto"/>
          <w:color w:val="auto"/>
        </w:rPr>
        <w:t>Schedule 7.08</w:t>
      </w:r>
      <w:r>
        <w:rPr>
          <w:rFonts w:ascii="Times New Roman" w:cs="Times New Roman" w:eastAsia="Times New Roman" w:hAnsi="Times New Roman"/>
          <w:sz w:val="20"/>
          <w:szCs w:val="20"/>
          <w:color w:val="auto"/>
        </w:rPr>
        <w:t xml:space="preserve"> and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attachments, appeal bonds, judgments and other similar Liens arising in connection with court proceedings, for an aggregate amount (with all other Liens existing pursuant to this clause (d)) at the time of incurrence not exceeding the greater of (i) $25,000,000 and (ii) 2.5%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execution or other enforcement of such Liens is effectively stayed and the claims secured thereby are being actively contested in good faith and by appropriate action;</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4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zoning, building, entitlement and other land use regulations with which the normal operation of the business of the Company and its Subsidiaries complies; (ii) any zoning or similar Law or right reserved to or vested in any Governmental Authority to control or regulate the use of real property; and (iii) easements, rights of way, restrictions, minor defects or irregularities in title and other similar Liens, in each of the foregoing cases that is not interfering in any material respect with the ordinary conduct of the business of the Company, any Significant Subsidiary or any Domestic Subsidiary (other than Excluded Subsidiaries);</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05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of a Person immediately prior to its being consolidated with or merged into the Company or a Subsidiary or otherwise becoming a Subsidiary and Liens on assets existing at the time of acquisition (by merger or otherwise) of such property by the Company or a Subsidiary and on proceeds thereof, and in each case not created in contemplation thereof or of such Person becoming a Subsidiary, provided that such Liens do not extend to or cover additional types of assets, and, in each case,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Debt permitted by </w:t>
      </w:r>
      <w:r>
        <w:rPr>
          <w:rFonts w:ascii="Times New Roman" w:cs="Times New Roman" w:eastAsia="Times New Roman" w:hAnsi="Times New Roman"/>
          <w:sz w:val="20"/>
          <w:szCs w:val="20"/>
          <w:u w:val="single" w:color="auto"/>
          <w:color w:val="auto"/>
        </w:rPr>
        <w:t>Section 7.07(b)</w:t>
      </w:r>
      <w:r>
        <w:rPr>
          <w:rFonts w:ascii="Times New Roman" w:cs="Times New Roman" w:eastAsia="Times New Roman" w:hAnsi="Times New Roman"/>
          <w:sz w:val="20"/>
          <w:szCs w:val="20"/>
          <w:color w:val="auto"/>
        </w:rPr>
        <w:t xml:space="preserve"> (including, without limitation, Liens of sellers of goods arising under Article 2 of the Uniform Commercial Code or similar provisions of applicable Law) or any refinancing, renewal, extension or replacement thereof (to the extent the aggregate principal amount of such Debt is not increased);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 attaches solely to the property so acquired, constructed or improved in such transaction (provided that individual financings under </w:t>
      </w:r>
      <w:r>
        <w:rPr>
          <w:rFonts w:ascii="Times New Roman" w:cs="Times New Roman" w:eastAsia="Times New Roman" w:hAnsi="Times New Roman"/>
          <w:sz w:val="20"/>
          <w:szCs w:val="20"/>
          <w:u w:val="single" w:color="auto"/>
          <w:color w:val="auto"/>
        </w:rPr>
        <w:t>Section 7.07(b)</w:t>
      </w:r>
      <w:r>
        <w:rPr>
          <w:rFonts w:ascii="Times New Roman" w:cs="Times New Roman" w:eastAsia="Times New Roman" w:hAnsi="Times New Roman"/>
          <w:sz w:val="20"/>
          <w:szCs w:val="20"/>
          <w:color w:val="auto"/>
        </w:rPr>
        <w:t xml:space="preserve"> provided by one Person (or an Affiliate thereof) may be cross-collateralized to other financings provided by such Person and its Affiliates that are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7.07(b)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13" w:right="339" w:bottom="1440" w:gutter="0" w:footer="0" w:header="0"/>
        </w:sectPr>
      </w:pPr>
    </w:p>
    <w:bookmarkStart w:id="118" w:name="page119"/>
    <w:bookmarkEnd w:id="118"/>
    <w:p>
      <w:pPr>
        <w:jc w:val="both"/>
        <w:ind w:firstLine="656"/>
        <w:spacing w:after="0" w:line="253" w:lineRule="auto"/>
        <w:tabs>
          <w:tab w:leader="none" w:pos="111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solely by virtue of any statutory or common law provision relating to banker’s liens, rights of set-off or similar rights and remedies as to deposit accounts or other funds maintained with a creditor depository institution (including, without limitation, Liens of a collecting bank arising under Section 4-210 of the Uniform Commercial Code on items in the course of collection) and/or Liens arising in the ordinary course of business with respect to deposit accounts relating to intercompany cash pooling, interest set-off and/or sweeping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deposit account is not a dedicated cash collateral account and is not subject to restrictions against access by the Company or the applicable Subsidiary in excess of those set forth by regulations promulgated by the FRB and (ii) such deposit account is not intended by the Company or the applicable Subsidiary to provide collateral to such depository institution;</w:t>
      </w:r>
    </w:p>
    <w:p>
      <w:pPr>
        <w:spacing w:after="0" w:line="179"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Securitization Obligations;</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01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arising under any Loan Document, (ii) Liens in favor of any Loan Party, (iii) Liens on the assets of any non-Loan Party in favor of the Company or any of its Subsidiaries, (iv) Liens on the assets of any Foreign Subsidiary in favor of any other Foreign Subsidiary; and (v) Liens on the assets of any Subsidiary that is not a Loan Party in connection with an Investment permitted pursuant </w:t>
      </w:r>
      <w:r>
        <w:rPr>
          <w:rFonts w:ascii="Times New Roman" w:cs="Times New Roman" w:eastAsia="Times New Roman" w:hAnsi="Times New Roman"/>
          <w:sz w:val="20"/>
          <w:szCs w:val="20"/>
          <w:u w:val="single" w:color="auto"/>
          <w:color w:val="auto"/>
        </w:rPr>
        <w:t>Section 7.17(d)</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of title of a lessor under leases permitted by this Agreement;</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(including Liens arising under Section 2-507 of the Uniform Commercial Code) entered into by the Company or any Subsidiary in the ordinary course of business;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4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or revenue authorities arising as a matter of law to secure payment of customs duties in connection with the importation of goods;</w:t>
      </w:r>
    </w:p>
    <w:p>
      <w:pPr>
        <w:spacing w:after="0" w:line="172" w:lineRule="exact"/>
        <w:rPr>
          <w:rFonts w:ascii="Times New Roman" w:cs="Times New Roman" w:eastAsia="Times New Roman" w:hAnsi="Times New Roman"/>
          <w:sz w:val="20"/>
          <w:szCs w:val="20"/>
          <w:color w:val="auto"/>
        </w:rPr>
      </w:pPr>
    </w:p>
    <w:p>
      <w:pPr>
        <w:ind w:right="20" w:firstLine="656"/>
        <w:spacing w:after="0" w:line="269" w:lineRule="auto"/>
        <w:tabs>
          <w:tab w:leader="none" w:pos="120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given to a public utility or any Governmental Authority when required by such public utility or Governmental Authority in connection with operations of a Loan Party of Subsidiary in the ordinary course of business;</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13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progress payments and advances from customers in the ordinary course of business to the extent the same create Liens on the related inventory and proceeds thereof;</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9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in the ordinary course of business securing liability for reimbursement or indemnification obligations of insurance carriers providing property, casualty or liability insurance to the Company or any of its Subsidiaries;</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an owner of equipment or inventory on loan or consignment to the Company or any of its Subsidiaries and Liens arising from precautionary UCC financing statement filings (or equivalent filings, registrations or agreements in foreign jurisdictions) made in respect of operating leases entered into by the Company or any Subsidiary in the ordinary course of business;</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6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or deemed to exist in connection with any sale, transfer, conveyance or other disposition of accounts receivable not prohibited by this Agreement, but only to the extent that any such Lien relates to the applicable accounts receivable actually sold, transferred conveyed or otherwise disposed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656"/>
        <w:spacing w:after="0" w:line="261" w:lineRule="auto"/>
        <w:tabs>
          <w:tab w:leader="none" w:pos="106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or sublicenses (including, in the case of licenses and sublicenses, of intellectual property) granted to others in the ordinary course of business which do not materially interfere with the ordinary conduct of the business of the Company or any Subsidiary and do not secure any Debt; and</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2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so long as, at the time of incurrence of the obligations secured by such Lien, the aggregate amount of all obligations secured by Liens incurred pursuant to this clause (t) shall not exceed the greater of (i) $50,000,000 and (ii) 5%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Lien permitted under this </w:t>
      </w:r>
      <w:r>
        <w:rPr>
          <w:rFonts w:ascii="Times New Roman" w:cs="Times New Roman" w:eastAsia="Times New Roman" w:hAnsi="Times New Roman"/>
          <w:sz w:val="20"/>
          <w:szCs w:val="20"/>
          <w:u w:val="single" w:color="auto"/>
          <w:color w:val="auto"/>
        </w:rPr>
        <w:t>clause (t)</w:t>
      </w:r>
      <w:r>
        <w:rPr>
          <w:rFonts w:ascii="Times New Roman" w:cs="Times New Roman" w:eastAsia="Times New Roman" w:hAnsi="Times New Roman"/>
          <w:sz w:val="20"/>
          <w:szCs w:val="20"/>
          <w:color w:val="auto"/>
        </w:rPr>
        <w:t xml:space="preserve"> may secure any obligations under any Note Purchase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Lien permitted above on any property may extend to the identifiable proceeds of such property.</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7.09</w:t>
      </w:r>
      <w:r>
        <w:rPr>
          <w:sz w:val="20"/>
          <w:szCs w:val="20"/>
          <w:color w:val="auto"/>
        </w:rPr>
        <w:tab/>
      </w:r>
      <w:r>
        <w:rPr>
          <w:rFonts w:ascii="Times New Roman" w:cs="Times New Roman" w:eastAsia="Times New Roman" w:hAnsi="Times New Roman"/>
          <w:sz w:val="19"/>
          <w:szCs w:val="19"/>
          <w:u w:val="single" w:color="auto"/>
          <w:color w:val="auto"/>
        </w:rPr>
        <w:t>Fundamental Changes, Consolidations, Sales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Not, and not permit any Significant Subsidiary to, be a party to any merger or consolidation, consummate any Delaware LLC Division, or sell, transfer, convey or lease any of its assets, or sell or assign with or without recourse any receivables, except for:</w:t>
      </w:r>
    </w:p>
    <w:p>
      <w:pPr>
        <w:spacing w:after="0" w:line="146" w:lineRule="exact"/>
        <w:rPr>
          <w:sz w:val="20"/>
          <w:szCs w:val="20"/>
          <w:color w:val="auto"/>
        </w:rPr>
      </w:pPr>
    </w:p>
    <w:p>
      <w:pPr>
        <w:jc w:val="both"/>
        <w:ind w:firstLine="656"/>
        <w:spacing w:after="0" w:line="253" w:lineRule="auto"/>
        <w:tabs>
          <w:tab w:leader="none" w:pos="110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merger or consolidation, sale, transfer, conveyance, lease or assignment (i) of or by any Guarantor or any Borrower into, with or to the Company, another Loan Party or any other wholly-owned Subsidiary (provided that (x) if the Company is a party to such transaction, the Company shall be the survivor, (y) if a Borrower (other than the Company) is party to such transaction, either such Borrower or another Borrower shall be the survivor and (z) if a Guarantor is a party to such transaction, either such Guarantor or another Loan Party shall be the survivor), (ii) of or by any Foreign Subsidiary into, with or to any other Foreign Subsidiary (provided that if a Borrower is party to such transaction, either such Borrower or another Borrower shall be the survivor); or (iii) of or by any Subsidiary that is not a Loan Party into, with or to any other Subsidiary or the Company;</w:t>
      </w:r>
    </w:p>
    <w:p>
      <w:pPr>
        <w:spacing w:after="0" w:line="17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Delaware LLC Division if, immediately upon the consummation of the Delaware LLC Division, in the case of a Delaware LLC Division of (i) a Loan Party, the assets of such applicable dividing person are held by one or more Wholly Owned Subsidiaries which are (or shall simultaneously become, pursuant to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Loan Parties, (ii) a Significant Subsidiary, the assets of such applicable dividing person are held by one or more Significant Subsidiaries, and (iii) a Subsidiary, the assets of such applicable dividing person are held by one or more Subsidiaries, in each case, at such time, or, with respect to assets not so held in accordance with clauses (i) – (iii) above, such Delaware LLC Division, in the aggregate, would otherwise result in a disposition expressly permitted by this Section;</w:t>
      </w:r>
    </w:p>
    <w:p>
      <w:pPr>
        <w:spacing w:after="0" w:line="19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by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12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lease receivables, other financial assets and other rights and related assets pursuant to a Permitted Securitization or any factoring transaction;</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worn-out, obsolete or surplus equipment and equipment that is no longer used or useful in the conduct of business of the Company and its Subsidiaries, in each case, in the ordinary course of business and cash, Cash Equivalents and marketable securities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13" w:right="339" w:bottom="1440" w:gutter="0" w:footer="0" w:header="0"/>
        </w:sectPr>
      </w:pPr>
    </w:p>
    <w:bookmarkStart w:id="120" w:name="page121"/>
    <w:bookmarkEnd w:id="120"/>
    <w:p>
      <w:pPr>
        <w:jc w:val="both"/>
        <w:ind w:right="20" w:firstLine="656"/>
        <w:spacing w:after="0" w:line="261" w:lineRule="auto"/>
        <w:tabs>
          <w:tab w:leader="none" w:pos="117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with extended terms and dispositions of defaulted accounts receivable without credit recourse in transactions that do not constitute securitizations, in each case in the ordinary course of business consistent with past practice of the Company and/or any of its Subsidiaries;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05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dispositions of assets (including Capital Stock of Subsidiaries) purchased in connection with (and as a direct result of) a Permitted Acquisition;</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in the ordinary course of business to the extent that (i) such property is exchanged for credit against the purchase price of similar replacement equipment or other revenue-producing property or (ii) the proceeds of such disposition are promptly applied to the purchase price of such replacement or other revenue-producing property;</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property to the Company or any Subsidiary; provided, that if the transferor of such Property is a Loan Party (i) the transferee thereof must be a Loan Party (other than a Foreign Loan Party) or (ii) to the extent such transaction constitutes an Investment, such transaction is permitted under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 disposition, Investments permitted under </w:t>
      </w:r>
      <w:r>
        <w:rPr>
          <w:rFonts w:ascii="Times New Roman" w:cs="Times New Roman" w:eastAsia="Times New Roman" w:hAnsi="Times New Roman"/>
          <w:sz w:val="20"/>
          <w:szCs w:val="20"/>
          <w:u w:val="single" w:color="auto"/>
          <w:color w:val="auto"/>
        </w:rPr>
        <w:t>Section 7.17(n)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set forth on </w:t>
      </w:r>
      <w:r>
        <w:rPr>
          <w:rFonts w:ascii="Times New Roman" w:cs="Times New Roman" w:eastAsia="Times New Roman" w:hAnsi="Times New Roman"/>
          <w:sz w:val="20"/>
          <w:szCs w:val="20"/>
          <w:u w:val="single" w:color="auto"/>
          <w:color w:val="auto"/>
        </w:rPr>
        <w:t>Schedule 7.09</w:t>
      </w:r>
      <w:r>
        <w:rPr>
          <w:rFonts w:ascii="Times New Roman" w:cs="Times New Roman" w:eastAsia="Times New Roman" w:hAnsi="Times New Roman"/>
          <w:sz w:val="20"/>
          <w:szCs w:val="20"/>
          <w:color w:val="auto"/>
        </w:rPr>
        <w:t>; and</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1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sales and dispositions of assets so long as no Default exists or would exist immediately after giving effect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fair market value of all tangible property (including, for the avoidance of doubt, real property) and intellectual property disposed of by the Loan Parties pursuant to this clause (l) shall not exceed 25%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For the avoidance of doubt, the granting of a Lien to secure the repayment of Debt or other obligations shall not, in and of itself, constitute a conveyance or transfer of assets pursuant to this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Notwithstanding the foregoing, prior to the disposition (including by way of a merger or consolidation), dissolution, liquidation or winding up of any Subsidiary that is a Designated Borrower, the Company shall terminate such Subsidiary’s status as a Designated Borrower in accordance with </w:t>
      </w:r>
      <w:r>
        <w:rPr>
          <w:rFonts w:ascii="Times New Roman" w:cs="Times New Roman" w:eastAsia="Times New Roman" w:hAnsi="Times New Roman"/>
          <w:sz w:val="19"/>
          <w:szCs w:val="19"/>
          <w:u w:val="single" w:color="auto"/>
          <w:color w:val="auto"/>
        </w:rPr>
        <w:t>Section 2.14(e)</w:t>
      </w:r>
      <w:r>
        <w:rPr>
          <w:rFonts w:ascii="Times New Roman" w:cs="Times New Roman" w:eastAsia="Times New Roman" w:hAnsi="Times New Roman"/>
          <w:sz w:val="19"/>
          <w:szCs w:val="19"/>
          <w:color w:val="auto"/>
        </w:rPr>
        <w:t xml:space="preserve"> and any Loans or other outstanding Obligations of such Subsidiary shall be assumed by the Company.</w:t>
      </w:r>
    </w:p>
    <w:p>
      <w:pPr>
        <w:spacing w:after="0" w:line="16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Use the proceeds of the Credit Extensions solely (i) to refinance indebtedness, (ii) to finance Permitted Acquisitions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proceeds of a Credit Extension shall not be used to finance a Permitted Acquisition (x) that is hostile or (y) in the case of the Acquisition of a Person, in which the Company or a Subsidiary does not have the approval of the board of directors (or the equivalent governing body) of the Person being acquired, in each case, without the prior written consent of all Lenders) and (iii) for capital expenditures, working capital and other general corporate purposes, and not use the proceeds of the Loans, directly or indirectly, to purchase or carry Margin Stock.</w:t>
      </w:r>
    </w:p>
    <w:p>
      <w:pPr>
        <w:spacing w:after="0" w:line="15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13" w:right="339" w:bottom="1440" w:gutter="0" w:footer="0" w:header="0"/>
        </w:sectPr>
      </w:pPr>
    </w:p>
    <w:bookmarkStart w:id="121" w:name="page122"/>
    <w:bookmarkEnd w:id="121"/>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Take, execute and deliver, and cause each applicable Subsidiary to take, execute and deliver, any and all such further acts and agreements as the Administrative Agent or the Required Lenders may reasonably request from time to time in order to ensure that the Obligations are guaranteed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by the Company and, to the extent required under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the applicable Subsidiaries; and deliver, or cause the applicable Guarantor to deliver, to the Administrative Agent such documents as the Administrative Agent (or the Required Lenders acting through the Administrative Agent) may reasonably request (including opinions of counsel) to confirm that the Guaranty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the legal, valid and binding obligation of each Guarantor.</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 enter into, or cause, suffer or permit to exist any transaction, arrangement or contract with any of its other Affiliates (other than another Loan Party or another Subsidiary or a Person that becomes a Subsidiary as a result of such transaction, arrangement or contract) which is on terms, taken as a whole, which are less favorable than are obtainable from any Person which is not one of its Affiliates under comparable circumstances,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shall not prohibit:</w:t>
      </w:r>
    </w:p>
    <w:p>
      <w:pPr>
        <w:spacing w:after="0" w:line="186" w:lineRule="exact"/>
        <w:rPr>
          <w:sz w:val="20"/>
          <w:szCs w:val="20"/>
          <w:color w:val="auto"/>
        </w:rPr>
      </w:pPr>
    </w:p>
    <w:p>
      <w:pPr>
        <w:ind w:left="1060" w:hanging="404"/>
        <w:spacing w:after="0"/>
        <w:tabs>
          <w:tab w:leader="none" w:pos="106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contributions and dividends and other distributions with respect to the Capital Stock of the Company or such Loan Party;</w:t>
      </w:r>
    </w:p>
    <w:p>
      <w:pPr>
        <w:spacing w:after="0" w:line="227" w:lineRule="exact"/>
        <w:rPr>
          <w:rFonts w:ascii="Times New Roman" w:cs="Times New Roman" w:eastAsia="Times New Roman" w:hAnsi="Times New Roman"/>
          <w:sz w:val="19"/>
          <w:szCs w:val="19"/>
          <w:color w:val="auto"/>
        </w:rPr>
      </w:pPr>
    </w:p>
    <w:p>
      <w:pPr>
        <w:ind w:firstLine="656"/>
        <w:spacing w:after="0" w:line="283" w:lineRule="auto"/>
        <w:tabs>
          <w:tab w:leader="none" w:pos="108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employment or severance agreement and any amendment thereto entered into by the Company or any other Loan Party in the ordinary course of business;</w:t>
      </w:r>
    </w:p>
    <w:p>
      <w:pPr>
        <w:spacing w:after="0" w:line="146"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reasonable directors’ fees and benefits;</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05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officers’ and directors’ indemnification and insurance in the ordinary course of business to the extent permitted by applicable Law;</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04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bearing (or below-market interest-bearing) intercompany loans or other advances in the ordinary course of business and consistent with past practice;</w:t>
      </w:r>
    </w:p>
    <w:p>
      <w:pPr>
        <w:spacing w:after="0" w:line="146"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employee salaries, bonuses and employee benefits in the ordinary course of business;</w:t>
      </w:r>
    </w:p>
    <w:p>
      <w:pPr>
        <w:spacing w:after="0" w:line="22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or leases of goods to Affiliates in the ordinary course of business for less than fair market value, but for not less than cost;</w:t>
      </w:r>
    </w:p>
    <w:p>
      <w:pPr>
        <w:spacing w:after="0" w:line="227"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effected as part of a Permitted Securitization; or</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05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permitted under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may forgive Debt owing to it by an Affiliate that is not a Loan Party), </w:t>
      </w:r>
      <w:r>
        <w:rPr>
          <w:rFonts w:ascii="Times New Roman" w:cs="Times New Roman" w:eastAsia="Times New Roman" w:hAnsi="Times New Roman"/>
          <w:sz w:val="20"/>
          <w:szCs w:val="20"/>
          <w:u w:val="single" w:color="auto"/>
          <w:color w:val="auto"/>
        </w:rPr>
        <w:t>7.09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u w:val="single" w:color="auto"/>
          <w:color w:val="auto"/>
        </w:rPr>
        <w:t>Employee Benefit Plans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Maintain, and cause each Significant Subsidiary to maintain, each Pension Plan in compliance with all applicable requirements of Law and regulations, except to the extent non-compliance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13" w:right="339" w:bottom="1440" w:gutter="0" w:footer="0" w:header="0"/>
        </w:sectPr>
      </w:pPr>
    </w:p>
    <w:bookmarkStart w:id="122" w:name="page123"/>
    <w:bookmarkEnd w:id="122"/>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Conduct, and cause each Significant Subsidiary to conduct, its operations and keep and maintain its property in compliance with all Environmental Laws, except to the extent non-compliance could not reasonably be expected to have a Material Adverse Effect.</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19"/>
          <w:szCs w:val="19"/>
          <w:u w:val="single" w:color="auto"/>
          <w:color w:val="auto"/>
        </w:rPr>
        <w:t>Business Activities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Not, and not permit any Significant Subsidiary to, engage in any line of business other than the same or similar lines of business engaged in by the Company and its Significant Subsidiaries as of the Second Amendment Effective Date and reasonable extensions thereof.</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19"/>
          <w:szCs w:val="19"/>
          <w:u w:val="single" w:color="auto"/>
          <w:color w:val="auto"/>
        </w:rPr>
        <w:t>Non-Guarantor Domestic Subsidiaries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Not later than the date that is sixty (60) days after the end of each Fiscal Quarter (or such later date as agreed by the Administrative Agent in its sole discretion), take all steps necessary to cause each Domestic Subsidiary (other than Excluded Subsidiaries) that was not a Guarantor as of the end of such Fiscal Quarter to become a party to this Agreement as a Guarantor. Without limiting the foregoing, the Company will cause any Subsidiary that guarantees, or that is required by the terms of any Note Purchase Agreement or any Senior Note to guarantee, Debt in respect of any Note Purchase Agreement and/or any Senior Note to be a Guarantor.</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and not permit any Significant Subsidiary to, make any Investments, except:</w:t>
      </w:r>
    </w:p>
    <w:p>
      <w:pPr>
        <w:spacing w:after="0" w:line="216" w:lineRule="exact"/>
        <w:rPr>
          <w:sz w:val="20"/>
          <w:szCs w:val="20"/>
          <w:color w:val="auto"/>
        </w:rPr>
      </w:pPr>
    </w:p>
    <w:p>
      <w:pPr>
        <w:ind w:left="1060" w:hanging="404"/>
        <w:spacing w:after="0"/>
        <w:tabs>
          <w:tab w:leader="none" w:pos="10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in the form of cash or Cash Equivalents;</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39"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or committed to as of the Second Amendment Effective Date and set forth in </w:t>
      </w:r>
      <w:r>
        <w:rPr>
          <w:rFonts w:ascii="Times New Roman" w:cs="Times New Roman" w:eastAsia="Times New Roman" w:hAnsi="Times New Roman"/>
          <w:sz w:val="20"/>
          <w:szCs w:val="20"/>
          <w:u w:val="single" w:color="auto"/>
          <w:color w:val="auto"/>
        </w:rPr>
        <w:t>Schedule 7.17</w:t>
      </w:r>
      <w:r>
        <w:rPr>
          <w:rFonts w:ascii="Times New Roman" w:cs="Times New Roman" w:eastAsia="Times New Roman" w:hAnsi="Times New Roman"/>
          <w:sz w:val="20"/>
          <w:szCs w:val="20"/>
          <w:color w:val="auto"/>
        </w:rPr>
        <w:t xml:space="preserve"> (and any modification, replacement, renewal or extension thereof, to the extent that the amount of the original Investment is not increased except by the terms of such Investment or as otherwise permitted under this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Person that is a Loan Party prior to giving effect to such Investment;</w:t>
      </w:r>
    </w:p>
    <w:p>
      <w:pPr>
        <w:spacing w:after="0" w:line="215"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Subsidiary that is not a Loan Party in any other Subsidiary;</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other advances, prepayments and credits to suppliers in the ordinary course of business, and Investments (including debt obligations) received in connection with bankruptcy or reorganization of suppliers, customers and other account debtors (or received in satisfaction or partial satisfaction thereof from financially troubled account debtors) to the extent reasonably necessary to prevent or limit loss and in full or partial settlement of delinquent obligations of, and other disputes with, customers, suppliers and other account debtors arising in the ordinary course of business;</w:t>
      </w:r>
    </w:p>
    <w:p>
      <w:pPr>
        <w:spacing w:after="0" w:line="178" w:lineRule="exact"/>
        <w:rPr>
          <w:rFonts w:ascii="Times New Roman" w:cs="Times New Roman" w:eastAsia="Times New Roman" w:hAnsi="Times New Roman"/>
          <w:sz w:val="20"/>
          <w:szCs w:val="20"/>
          <w:color w:val="auto"/>
        </w:rPr>
      </w:pPr>
    </w:p>
    <w:p>
      <w:pPr>
        <w:jc w:val="both"/>
        <w:ind w:firstLine="656"/>
        <w:spacing w:after="0" w:line="268" w:lineRule="auto"/>
        <w:tabs>
          <w:tab w:leader="none" w:pos="1201"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and employees of the Company or any Subsidiary in connection with travel, entertainment, relocation and analogous ordinary business purposes and advances of payroll payments to employees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13" w:right="339" w:bottom="1440" w:gutter="0" w:footer="0" w:header="0"/>
        </w:sectPr>
      </w:pPr>
    </w:p>
    <w:bookmarkStart w:id="123" w:name="page124"/>
    <w:bookmarkEnd w:id="123"/>
    <w:p>
      <w:pPr>
        <w:ind w:left="1060" w:hanging="404"/>
        <w:spacing w:after="0"/>
        <w:tabs>
          <w:tab w:leader="none" w:pos="10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Suretyship Liabilities permitted by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19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promissory notes and other noncash consideration received from credit-worthy obligors in connection with dispositions permitted under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non-qualified employee benefit plans, including deferred compensation plans;</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partnerships, joint ventures and any other non-Wholly Owned Subsidiary where the aggregate amount of such Investments (excluding any such Investment existing or committed for on the Second Amendment Effective Date and listed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7.17</w:t>
      </w:r>
      <w:r>
        <w:rPr>
          <w:rFonts w:ascii="Times New Roman" w:cs="Times New Roman" w:eastAsia="Times New Roman" w:hAnsi="Times New Roman"/>
          <w:sz w:val="20"/>
          <w:szCs w:val="20"/>
          <w:color w:val="auto"/>
        </w:rPr>
        <w:t xml:space="preserve">) outstanding at any one time does not exceed the greater of (i) $50,000,000 and (ii) 5%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may become a general partner in any partnership;</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2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 Loan Party in a Subsidiary that is not a Loan Party for purposes of funding a Permitted Acquisition so long as the sum of (i) unrestricted cash of the Company and its Domestic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unutilized availability under the Aggregate Revolving Commitments is at least $50,000,000;</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41"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made by a Loan Party in a Subsidiary that is not a Loan Party with cash proceeds received from distributions from Subsidiaries that are not Loan Parties to the extent such Investment is made within 30 days of the receipt of such cash proceeds;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the transfer of Capital Stock or Debt (other than Obligations) of a Foreign Subsidiary to the Company or any other Subsidiary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Debt of a Foreign Subsidiary shall not be transferred to a Loan Party unless such Loan Party would be permitted to incur such Debt pursuant to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2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endorsement of a check or other medium of payment for deposit or collection through normal banking channels or any similar transaction in the normal course of business;</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6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 Loan Party in a Subsidiary that is not a Loan Party made after the Second Amendment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such Investment is made, the aggregate amount of all Investments outstanding at any one time pursuant to this clause (p) shall not exceed the greater of (x) $50,000,000 and (y) 5%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and</w:t>
      </w:r>
    </w:p>
    <w:p>
      <w:pPr>
        <w:spacing w:after="0" w:line="191" w:lineRule="exact"/>
        <w:rPr>
          <w:rFonts w:ascii="Times New Roman" w:cs="Times New Roman" w:eastAsia="Times New Roman" w:hAnsi="Times New Roman"/>
          <w:sz w:val="20"/>
          <w:szCs w:val="20"/>
          <w:color w:val="auto"/>
        </w:rPr>
      </w:pPr>
    </w:p>
    <w:p>
      <w:pPr>
        <w:jc w:val="both"/>
        <w:ind w:firstLine="656"/>
        <w:spacing w:after="0" w:line="258" w:lineRule="auto"/>
        <w:tabs>
          <w:tab w:leader="none" w:pos="105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Investments otherwise permitted under this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Investments of any nature,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such Investment is made, the aggregate amount of all Investments outstanding at any one time pursuant to this clause (q) shall not exceed the greater of (x) $100,000,000 and (y) 10%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7.18</w:t>
      </w:r>
      <w:r>
        <w:rPr>
          <w:sz w:val="20"/>
          <w:szCs w:val="20"/>
          <w:color w:val="auto"/>
        </w:rPr>
        <w:tab/>
      </w:r>
      <w:r>
        <w:rPr>
          <w:rFonts w:ascii="Times New Roman" w:cs="Times New Roman" w:eastAsia="Times New Roman" w:hAnsi="Times New Roman"/>
          <w:sz w:val="19"/>
          <w:szCs w:val="19"/>
          <w:u w:val="single" w:color="auto"/>
          <w:color w:val="auto"/>
        </w:rPr>
        <w:t>Burdensome Agreements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13" w:right="339" w:bottom="1440" w:gutter="0" w:footer="0" w:header="0"/>
        </w:sectPr>
      </w:pPr>
    </w:p>
    <w:bookmarkStart w:id="124" w:name="page125"/>
    <w:bookmarkEnd w:id="124"/>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 and not permit any Significant Subsidiary (other than an Excluded Subsidiary) to, enter into, or permit to exist, any written Contractual Obligation that encumbers or restricts the ability of any such Person to (i) pay dividends or make any other distributions to any Loan Party on its Capital Stock or with respect to any other interest or participation in, or measured by, its profits or (ii) repay any loans or advances owed to any Loan Party, except for (1) this Agreement and the other Loan Documents, (2) the Note Purchase Agreements, (3) restrictions and conditions imposed by Law, (4) customary restrictions and conditions contained in any agreement relating to the sale or other disposition of any property permitted under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 xml:space="preserve"> pending the consummation of such sale or other disposition, and/or (5) Contractual Obligations which (A) (i) (x) exist on the Second Amendment Effective Date and (to the extent not otherwise permitted by this </w:t>
      </w:r>
      <w:r>
        <w:rPr>
          <w:rFonts w:ascii="Times New Roman" w:cs="Times New Roman" w:eastAsia="Times New Roman" w:hAnsi="Times New Roman"/>
          <w:sz w:val="20"/>
          <w:szCs w:val="20"/>
          <w:u w:val="single" w:color="auto"/>
          <w:color w:val="auto"/>
        </w:rPr>
        <w:t>Section 7.18</w:t>
      </w:r>
      <w:r>
        <w:rPr>
          <w:rFonts w:ascii="Times New Roman" w:cs="Times New Roman" w:eastAsia="Times New Roman" w:hAnsi="Times New Roman"/>
          <w:sz w:val="20"/>
          <w:szCs w:val="20"/>
          <w:color w:val="auto"/>
        </w:rPr>
        <w:t xml:space="preserve">) are listed on </w:t>
      </w:r>
      <w:r>
        <w:rPr>
          <w:rFonts w:ascii="Times New Roman" w:cs="Times New Roman" w:eastAsia="Times New Roman" w:hAnsi="Times New Roman"/>
          <w:sz w:val="20"/>
          <w:szCs w:val="20"/>
          <w:u w:val="single" w:color="auto"/>
          <w:color w:val="auto"/>
        </w:rPr>
        <w:t>Schedule 7.18</w:t>
      </w:r>
      <w:r>
        <w:rPr>
          <w:rFonts w:ascii="Times New Roman" w:cs="Times New Roman" w:eastAsia="Times New Roman" w:hAnsi="Times New Roman"/>
          <w:sz w:val="20"/>
          <w:szCs w:val="20"/>
          <w:color w:val="auto"/>
        </w:rPr>
        <w:t xml:space="preserve"> hereto and (y) to the extent Contractual Obligations permitted by clause (x) are set forth in an agreement evidencing Debt, are set forth in any agreement evidencing any permitted renewal, extension or refinancing of such Debt so long as such renewal, extension or refinancing does not expand the scope of such Contractual Obligation, (ii) are binding on a Subsidiary at the time such Subsidiary first becomes a Subsidiary, so long as such Contractual Obligations were not entered into in contemplation of such Person becoming a Subsidiary, (B) are customary provisions in joint venture agreements and other similar agreements applicable to joint ventures permitted under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and applicable solely to such joint venture entered into in the ordinary course of business or (C) are set forth in the agreements governing any Permitted Securitization with respect to any Securitization Subsidiary.</w:t>
      </w:r>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19"/>
          <w:szCs w:val="19"/>
          <w:u w:val="single" w:color="auto"/>
          <w:color w:val="auto"/>
        </w:rPr>
        <w:t>Organization Documents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amend, modify or change its Organization Documents in a manner materially adverse to the Lenders.</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7.20</w:t>
      </w:r>
      <w:r>
        <w:rPr>
          <w:sz w:val="20"/>
          <w:szCs w:val="20"/>
          <w:color w:val="auto"/>
        </w:rPr>
        <w:tab/>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 directly or, to the knowledge of the Loan Parties,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of Sanctions.</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1" w:lineRule="auto"/>
        <w:tabs>
          <w:tab w:leader="none" w:pos="107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businesses in compliance in all material respects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directly or, to the knowledge of the Loan Parties, indirectly use the proceeds of any Credit Extension for any purpose which would breach the United States Foreign Corrupt Practices Act of 1977, the UK Bribery Act 2010 or other similar anti-corruption legislation in other jurisdictions.</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VIII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13" w:right="339" w:bottom="1440" w:gutter="0" w:footer="0" w:header="0"/>
        </w:sectPr>
      </w:pPr>
    </w:p>
    <w:bookmarkStart w:id="125" w:name="page126"/>
    <w:bookmarkEnd w:id="125"/>
    <w:p>
      <w:pPr>
        <w:jc w:val="center"/>
        <w:ind w:right="40"/>
        <w:spacing w:after="0"/>
        <w:rPr>
          <w:sz w:val="20"/>
          <w:szCs w:val="20"/>
          <w:color w:val="auto"/>
        </w:rPr>
      </w:pPr>
      <w:r>
        <w:rPr>
          <w:rFonts w:ascii="Times New Roman" w:cs="Times New Roman" w:eastAsia="Times New Roman" w:hAnsi="Times New Roman"/>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 AND REMEDIES</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9.01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of the following shall constitute an Event of Default under this Agreement:</w:t>
      </w:r>
    </w:p>
    <w:p>
      <w:pPr>
        <w:spacing w:after="0" w:line="216" w:lineRule="exact"/>
        <w:rPr>
          <w:sz w:val="20"/>
          <w:szCs w:val="20"/>
          <w:color w:val="auto"/>
        </w:rPr>
      </w:pPr>
    </w:p>
    <w:p>
      <w:pPr>
        <w:jc w:val="both"/>
        <w:ind w:firstLine="656"/>
        <w:spacing w:after="0" w:line="258" w:lineRule="auto"/>
        <w:tabs>
          <w:tab w:leader="none" w:pos="106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 of the Loans, etc</w:t>
      </w:r>
      <w:r>
        <w:rPr>
          <w:rFonts w:ascii="Times New Roman" w:cs="Times New Roman" w:eastAsia="Times New Roman" w:hAnsi="Times New Roman"/>
          <w:sz w:val="20"/>
          <w:szCs w:val="20"/>
          <w:color w:val="auto"/>
        </w:rPr>
        <w:t>. Default in the payment when due of the principal of any Loan or any reimbursement obligation with respect to any Letter of Credit; default, and continuance thereof for five days, in the payment when due of any interest or fee; or default, and continuance thereof for ten days, in the payment when due of any other amount payable by the Loan Parties hereunder or under any other Loan Document.</w:t>
      </w:r>
    </w:p>
    <w:p>
      <w:pPr>
        <w:spacing w:after="0" w:line="185" w:lineRule="exact"/>
        <w:rPr>
          <w:rFonts w:ascii="Times New Roman" w:cs="Times New Roman" w:eastAsia="Times New Roman" w:hAnsi="Times New Roman"/>
          <w:sz w:val="20"/>
          <w:szCs w:val="20"/>
          <w:color w:val="auto"/>
        </w:rPr>
      </w:pPr>
    </w:p>
    <w:p>
      <w:pPr>
        <w:jc w:val="both"/>
        <w:ind w:firstLine="656"/>
        <w:spacing w:after="0" w:line="251" w:lineRule="auto"/>
        <w:tabs>
          <w:tab w:leader="none" w:pos="111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 of Other Debt, etc</w:t>
      </w:r>
      <w:r>
        <w:rPr>
          <w:rFonts w:ascii="Times New Roman" w:cs="Times New Roman" w:eastAsia="Times New Roman" w:hAnsi="Times New Roman"/>
          <w:sz w:val="20"/>
          <w:szCs w:val="20"/>
          <w:color w:val="auto"/>
        </w:rPr>
        <w:t>. (i) Any default shall occur under the terms applicable to any Debt of the Company or any Significant Subsidiary (other than Debt hereunder and intercompany Debt) in an aggregate principal amount (for all such Debt so affected) exceeding $25,000,000 and such default shall (x) consist of the failure to pay such Debt when due (subject to any applicable grace period), whether by acceleration or otherwise, or (y) accelerate the maturity of such Debt or permit the holder or holders thereof, or any trustee or agent for such holder or holders, to cause such Debt to become due and payable prior to its expressed maturity; or (ii) any event shall occur with respect to any Securitization Obligations that results in, or permits the holder or holders of such obligations, or any trustee or agent for such holder or holders, to require, the replacement or resignation of the servicer with respect thereto and the appointment of a new servicer other than the Company or any Subsidiary.</w:t>
      </w:r>
    </w:p>
    <w:p>
      <w:pPr>
        <w:spacing w:after="0" w:line="195" w:lineRule="exact"/>
        <w:rPr>
          <w:rFonts w:ascii="Times New Roman" w:cs="Times New Roman" w:eastAsia="Times New Roman" w:hAnsi="Times New Roman"/>
          <w:sz w:val="20"/>
          <w:szCs w:val="20"/>
          <w:color w:val="auto"/>
        </w:rPr>
      </w:pPr>
    </w:p>
    <w:p>
      <w:pPr>
        <w:jc w:val="both"/>
        <w:ind w:firstLine="656"/>
        <w:spacing w:after="0" w:line="250" w:lineRule="auto"/>
        <w:tabs>
          <w:tab w:leader="none" w:pos="106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 Insolvency, etc</w:t>
      </w:r>
      <w:r>
        <w:rPr>
          <w:rFonts w:ascii="Times New Roman" w:cs="Times New Roman" w:eastAsia="Times New Roman" w:hAnsi="Times New Roman"/>
          <w:sz w:val="20"/>
          <w:szCs w:val="20"/>
          <w:color w:val="auto"/>
        </w:rPr>
        <w:t>. The Company or any Significant Subsidiary becomes insolvent or generally fails to pay, or admits in writing its general inability or refusal to pay, debts as they become due; or the Company or any Significant Subsidiary applies for, consents to, or acquiesces in the appointment of a trustee, receiver or other custodian for the Company or any Significant Subsidiary or any substantial part of the property thereof, or makes a general assignment for the benefit of creditors; or, in the absence of such application, consent or acquiescence, a trustee, receiver or other custodian is appointed for the Company or such Significant Subsidiary or for any substantial part of the property thereof and is not discharged within 60 days; or any bankruptcy, reorganization, debt arrangement, or other case or proceeding under any Debtor Relief Law, or any dissolution or liquidation proceeding (except the voluntary dissolution, not under any Debtor Relief Law, of a Significant Subsidiary), is commenced in respect of the Company or any Significant Subsidiary, and if such case or proceeding is not commenced by the Company or any Significant Subsidiary, an order for relief is entered therein, or such case or proceeding is consented to or acquiesced in by the Company or such Significant Subsidiary or remains for 60 days undismissed.</w:t>
      </w:r>
    </w:p>
    <w:p>
      <w:pPr>
        <w:spacing w:after="0" w:line="18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5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Non-Compliance with Provisions of this Agreement</w:t>
      </w:r>
      <w:r>
        <w:rPr>
          <w:rFonts w:ascii="Times New Roman" w:cs="Times New Roman" w:eastAsia="Times New Roman" w:hAnsi="Times New Roman"/>
          <w:sz w:val="20"/>
          <w:szCs w:val="20"/>
          <w:color w:val="auto"/>
        </w:rPr>
        <w:t xml:space="preserve">. (i) Failure by the Company to comply with or to perform any covenant set forth in </w:t>
      </w:r>
      <w:r>
        <w:rPr>
          <w:rFonts w:ascii="Times New Roman" w:cs="Times New Roman" w:eastAsia="Times New Roman" w:hAnsi="Times New Roman"/>
          <w:sz w:val="20"/>
          <w:szCs w:val="20"/>
          <w:u w:val="single" w:color="auto"/>
          <w:color w:val="auto"/>
        </w:rPr>
        <w:t>Sections 7.01(e)(i)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(with respect to the Borrowers), </w:t>
      </w:r>
      <w:r>
        <w:rPr>
          <w:rFonts w:ascii="Times New Roman" w:cs="Times New Roman" w:eastAsia="Times New Roman" w:hAnsi="Times New Roman"/>
          <w:sz w:val="20"/>
          <w:szCs w:val="20"/>
          <w:u w:val="single" w:color="auto"/>
          <w:color w:val="auto"/>
        </w:rPr>
        <w:t>7.06</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7.09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7.21</w:t>
      </w:r>
      <w:r>
        <w:rPr>
          <w:rFonts w:ascii="Times New Roman" w:cs="Times New Roman" w:eastAsia="Times New Roman" w:hAnsi="Times New Roman"/>
          <w:sz w:val="20"/>
          <w:szCs w:val="20"/>
          <w:color w:val="auto"/>
        </w:rPr>
        <w:t xml:space="preserve">; (ii) failure by the Company to comply with or to perform any covenant set forth in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7.01(e)</w:t>
      </w:r>
      <w:r>
        <w:rPr>
          <w:rFonts w:ascii="Times New Roman" w:cs="Times New Roman" w:eastAsia="Times New Roman" w:hAnsi="Times New Roman"/>
          <w:sz w:val="20"/>
          <w:szCs w:val="20"/>
          <w:color w:val="auto"/>
        </w:rPr>
        <w:t xml:space="preserve"> (to the extent not covered by clause (i) above),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(to the extent not covered by clause (i) above), </w:t>
      </w:r>
      <w:r>
        <w:rPr>
          <w:rFonts w:ascii="Times New Roman" w:cs="Times New Roman" w:eastAsia="Times New Roman" w:hAnsi="Times New Roman"/>
          <w:sz w:val="20"/>
          <w:szCs w:val="20"/>
          <w:u w:val="single" w:color="auto"/>
          <w:color w:val="auto"/>
        </w:rPr>
        <w:t>7.10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7.11</w:t>
      </w:r>
      <w:r>
        <w:rPr>
          <w:rFonts w:ascii="Times New Roman" w:cs="Times New Roman" w:eastAsia="Times New Roman" w:hAnsi="Times New Roman"/>
          <w:sz w:val="20"/>
          <w:szCs w:val="20"/>
          <w:color w:val="auto"/>
        </w:rPr>
        <w:t xml:space="preserve"> and continuance of such failure for ten days after an Executive Officer obtains actual knowledge; or (iii) failure by the Company to comply with or to perform any other provision of this Agreement (and not constituting an Event of Default under any of the other provisions of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and continuance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283" w:lineRule="auto"/>
        <w:rPr>
          <w:sz w:val="20"/>
          <w:szCs w:val="20"/>
          <w:color w:val="auto"/>
        </w:rPr>
      </w:pPr>
      <w:r>
        <w:rPr>
          <w:rFonts w:ascii="Times New Roman" w:cs="Times New Roman" w:eastAsia="Times New Roman" w:hAnsi="Times New Roman"/>
          <w:sz w:val="20"/>
          <w:szCs w:val="20"/>
          <w:color w:val="auto"/>
        </w:rPr>
        <w:t>such failure for 30 days after written notice thereof to the Company from the Administrative Agent or any Lender (acting through the Administrative Agent).</w:t>
      </w:r>
    </w:p>
    <w:p>
      <w:pPr>
        <w:spacing w:after="0" w:line="146" w:lineRule="exact"/>
        <w:rPr>
          <w:sz w:val="20"/>
          <w:szCs w:val="20"/>
          <w:color w:val="auto"/>
        </w:rPr>
      </w:pPr>
    </w:p>
    <w:p>
      <w:pPr>
        <w:jc w:val="both"/>
        <w:ind w:firstLine="656"/>
        <w:spacing w:after="0" w:line="258" w:lineRule="auto"/>
        <w:tabs>
          <w:tab w:leader="none" w:pos="107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or warranty made by a Loan Party under any Loan Document is breached or is false or misleading in any material respect when made or deemed made, or any schedule, certificate, financial statement, report, notice or other writing furnished by a Loan Party to the Administrative Agent or any Lender pursuant hereto is false or misleading in any material respect on the date as of which the facts therein set forth are stated or certified.</w:t>
      </w:r>
    </w:p>
    <w:p>
      <w:pPr>
        <w:spacing w:after="0" w:line="185" w:lineRule="exact"/>
        <w:rPr>
          <w:rFonts w:ascii="Times New Roman" w:cs="Times New Roman" w:eastAsia="Times New Roman" w:hAnsi="Times New Roman"/>
          <w:sz w:val="20"/>
          <w:szCs w:val="20"/>
          <w:color w:val="auto"/>
        </w:rPr>
      </w:pPr>
    </w:p>
    <w:p>
      <w:pPr>
        <w:jc w:val="both"/>
        <w:ind w:firstLine="656"/>
        <w:spacing w:after="0" w:line="250" w:lineRule="auto"/>
        <w:tabs>
          <w:tab w:leader="none" w:pos="103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Pension Plans and Plan Assets</w:t>
      </w:r>
      <w:r>
        <w:rPr>
          <w:rFonts w:ascii="Times New Roman" w:cs="Times New Roman" w:eastAsia="Times New Roman" w:hAnsi="Times New Roman"/>
          <w:sz w:val="20"/>
          <w:szCs w:val="20"/>
          <w:color w:val="auto"/>
        </w:rPr>
        <w:t>. (i) Institution of any steps by the Company or any Subsidiary or any other Person to terminate a Pension Plan if as a result of such termination the Company or any Subsidiary could reasonably be expected to be required to make a contribution to such Pension Plan, or could reasonably be expected to incur a liability or obligation to such Pension Plan, in excess of $25,000,000; (ii) a contribution failure occurs with respect to any Pension Plan sufficient to give rise to a Lien securing a material amount under section 303(k) of ERISA; (iii) there shall occur any withdrawal or partial withdrawal from a Multiemployer Pension Plan and the withdrawal liability (without unaccrued interest) to Multiemployer Pension Plans as a result of such withdrawal (including any outstanding withdrawal liability that the Company and the Controlled Group have incurred on the date of such withdrawal) exceeds $25,000,000; or (iv) any Loan Party becomes an entity deemed to hold Plan Assets, and in each case, under this clause (f), such event or circumstance results in a Material Adverse Effect.</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6"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(i) Final judgments which exceed an aggregate of $25,000,000 (net of insurance proceeds in the event a solvent insurer has acknowledged in writing its obligation to satisfy such judgment) shall be rendered against the Company or any Subsidiary or (ii) any one or more non-monetary final judgments shall be rendered against the Company or any Subsidiary that have, or could reasonably be expected to have, individually or in the aggregate, a Material Adverse Effect, in each case shall not have been paid, discharged or vacated or had execution thereof stayed pending appeal within 60 days after entry or filing of such judgments.</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Loan Document, at any time after its execution and delivery and for any reason other than as expressly permitted hereunder or thereunder, in accordance with its terms or satisfaction in full of all the Obligations (other than any contingent obligation that is not due and payable), ceases to be in full force and effect with respect to any Loan Party party thereto (other than in accordance with its terms); or any Loan Party (or any other Person acting on behalf thereof) contests in any manner the validity or enforceability of any Loan Document to which it is a party; or any Loan Party denies that it has any or further liability or obligation under, or purports to revoke, terminate or rescind, any Loan Document other than in accordance with its terms.</w:t>
      </w:r>
    </w:p>
    <w:p>
      <w:pPr>
        <w:spacing w:after="0" w:line="178" w:lineRule="exact"/>
        <w:rPr>
          <w:rFonts w:ascii="Times New Roman" w:cs="Times New Roman" w:eastAsia="Times New Roman" w:hAnsi="Times New Roman"/>
          <w:sz w:val="20"/>
          <w:szCs w:val="20"/>
          <w:color w:val="auto"/>
        </w:rPr>
      </w:pPr>
    </w:p>
    <w:p>
      <w:pPr>
        <w:jc w:val="both"/>
        <w:ind w:firstLine="656"/>
        <w:spacing w:after="0" w:line="242" w:lineRule="exact"/>
        <w:tabs>
          <w:tab w:leader="none" w:pos="1042"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(i) Any Person or group of Persons (within the meaning of Section 13 or 14 of the Securities Exchange Act of 1934) (excluding (w) any employee benefit plan of the Company or any of its Subsidiaries, (x) any person or entity acting in its capacity as trustee, agent or other fiduciary or administrator of any such plan and (y) Elizabeth Brady, William Brady and their descendants or any trusts established for them or their descendants, and the W. H. Brady Foundation, Inc.) shall acquire beneficial ownership (within the meaning of Rule 13d-3 promulgated under such Act) of one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third (1/3) or more of the outstanding shares of common stock of the Company entitled to vote for members of the board of directors or equivalent governing body of the Company on a fully diluted basis; (ii) during any 12-month period, individuals who at the beginning of such period constituted the Company’s board of directors (together with any new directors whose election by the Company’s board of directors or whose nomination for election by the Company’s shareholders was approved by a vote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61" w:lineRule="auto"/>
        <w:rPr>
          <w:sz w:val="20"/>
          <w:szCs w:val="20"/>
          <w:color w:val="auto"/>
        </w:rPr>
      </w:pPr>
      <w:r>
        <w:rPr>
          <w:rFonts w:ascii="Times New Roman" w:cs="Times New Roman" w:eastAsia="Times New Roman" w:hAnsi="Times New Roman"/>
          <w:sz w:val="20"/>
          <w:szCs w:val="20"/>
          <w:color w:val="auto"/>
        </w:rPr>
        <w:t>at least two-thirds of the directors who either were directors at beginning of such period or whose election or nomination was previously so approved) cease for any reason to constitute a majority of the board of directors of the Company; or (iii) the Company fails to own (directly or indirectly) 100% of the outstanding Capital Stock of any Designated Borrower.</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9.02</w:t>
      </w:r>
      <w:r>
        <w:rPr>
          <w:sz w:val="20"/>
          <w:szCs w:val="20"/>
          <w:color w:val="auto"/>
        </w:rPr>
        <w:tab/>
      </w:r>
      <w:r>
        <w:rPr>
          <w:rFonts w:ascii="Times New Roman" w:cs="Times New Roman" w:eastAsia="Times New Roman" w:hAnsi="Times New Roman"/>
          <w:sz w:val="19"/>
          <w:szCs w:val="19"/>
          <w:u w:val="single" w:color="auto"/>
          <w:color w:val="auto"/>
        </w:rPr>
        <w:t>Remedies Upon Event of Default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Event of Default occurs and is continuing, the Administrative Agent shall, at the request of, or may, with the consent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Lenders, take any or all of the following actions:</w:t>
      </w:r>
    </w:p>
    <w:p>
      <w:pPr>
        <w:spacing w:after="0" w:line="214" w:lineRule="exact"/>
        <w:rPr>
          <w:sz w:val="20"/>
          <w:szCs w:val="20"/>
          <w:color w:val="auto"/>
        </w:rPr>
      </w:pPr>
    </w:p>
    <w:p>
      <w:pPr>
        <w:ind w:firstLine="656"/>
        <w:spacing w:after="0" w:line="269" w:lineRule="auto"/>
        <w:tabs>
          <w:tab w:leader="none" w:pos="107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061"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Borrowers Cash Collateralize the L/C Obligations (in an amount equal to the Minimum Collateral Amount with respect thereto); and</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05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9.03</w:t>
      </w:r>
      <w:r>
        <w:rPr>
          <w:sz w:val="20"/>
          <w:szCs w:val="20"/>
          <w:color w:val="auto"/>
        </w:rPr>
        <w:tab/>
      </w:r>
      <w:r>
        <w:rPr>
          <w:rFonts w:ascii="Times New Roman" w:cs="Times New Roman" w:eastAsia="Times New Roman" w:hAnsi="Times New Roman"/>
          <w:sz w:val="19"/>
          <w:szCs w:val="19"/>
          <w:u w:val="single" w:color="auto"/>
          <w:color w:val="auto"/>
        </w:rPr>
        <w:t>Application of Funds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be applied by the Administrative Agent in the following order:</w:t>
      </w:r>
    </w:p>
    <w:p>
      <w:pPr>
        <w:spacing w:after="0" w:line="18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the reasonable and documented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and the L/C Issuer (including the reasonable and documented fees, charges and disbursements of counsel due and owing pursuant to the terms of this Agreement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13"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20"/>
          <w:szCs w:val="20"/>
          <w:color w:val="auto"/>
        </w:rPr>
        <w:t xml:space="preserve">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payment of that portion of the Obligations constituting accrued and unpaid Letter of Credit Fees and interest on the Loans and L/C Borrowings and fees, premiums and scheduled periodic payments, and any interest accrued thereon, due under any Hedging Agreement between any Loan Party and any Lender, or any Affiliate of a Lender, ratably among the Lenders (and, in the case of such Hedging Agreements, Affiliates of Lenders) and the L/C Issuer in proportion to the respective amounts described in this clause Third held by them;</w:t>
      </w:r>
    </w:p>
    <w:p>
      <w:pPr>
        <w:spacing w:after="0" w:line="192"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(a) payment of that portion of the Obligations constituting unpaid principal of the Loans and L/C Borrowings, (b) payment of breakage, termination or other payments, and any interest accrued thereon, due under any Hedging Agreement between any Loan Party and any Lender, or any Affiliate of a Lender, (c) payments of amounts due under any Treasury Management Agreement between any Loan Party and any Lender, or any Affiliate of a Lender and (d) Cash Collateralize that portion of L/C Obligations comprised of the aggregate undrawn amount of Letters of Credit, ratably among the Lenders (and, in the case of such Hedging Agreements, Affiliates of Lenders) and the L/C Issuer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 and</w:t>
      </w:r>
    </w:p>
    <w:p>
      <w:pPr>
        <w:spacing w:after="0" w:line="193"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(other than contingent obligations not yet due and payable) have been paid in full, to the Borrowers or as otherwise required by Law.</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any Hedging Agreement or Treasury Management Agreement between any Loan Party and any Hedge Bank or Treasury Management Bank, as applicable, shall be excluded from the application described above if the Administrative Agent has not received a written notice regarding such obligations, together with such supporting documentation as the Administrative Agent may reasonably request, from the applicable Lender or Affiliate of a Lender, as the case may be. Each Affiliate of a Lender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for itself and its Affiliates as if a “Lender” party hereto.</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13" w:right="339" w:bottom="1440" w:gutter="0" w:footer="0" w:header="0"/>
        </w:sectPr>
      </w:pPr>
    </w:p>
    <w:bookmarkStart w:id="129" w:name="page130"/>
    <w:bookmarkEnd w:id="129"/>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Each of the Lenders and the L/C Issuer hereby irrevocably appoints BMO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with respect to </w:t>
      </w:r>
      <w:r>
        <w:rPr>
          <w:rFonts w:ascii="Times New Roman" w:cs="Times New Roman" w:eastAsia="Times New Roman" w:hAnsi="Times New Roman"/>
          <w:sz w:val="20"/>
          <w:szCs w:val="20"/>
          <w:u w:val="single" w:color="auto"/>
          <w:color w:val="auto"/>
        </w:rPr>
        <w:t>Sections 10.03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10.06</w:t>
      </w:r>
      <w:r>
        <w:rPr>
          <w:rFonts w:ascii="Times New Roman" w:cs="Times New Roman" w:eastAsia="Times New Roman" w:hAnsi="Times New Roman"/>
          <w:sz w:val="20"/>
          <w:szCs w:val="20"/>
          <w:color w:val="auto"/>
        </w:rPr>
        <w:t>,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u w:val="single" w:color="auto"/>
          <w:color w:val="auto"/>
        </w:rPr>
        <w:t>Rights as a Lender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68" w:lineRule="exact"/>
        <w:rPr>
          <w:sz w:val="20"/>
          <w:szCs w:val="20"/>
          <w:color w:val="auto"/>
        </w:rPr>
      </w:pPr>
    </w:p>
    <w:p>
      <w:pPr>
        <w:ind w:left="1060" w:hanging="404"/>
        <w:spacing w:after="0"/>
        <w:tabs>
          <w:tab w:leader="none" w:pos="10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9"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13" w:right="339" w:bottom="1440" w:gutter="0" w:footer="0" w:header="0"/>
        </w:sectPr>
      </w:pPr>
    </w:p>
    <w:bookmarkStart w:id="130" w:name="page131"/>
    <w:bookmarkEnd w:id="130"/>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Company, a Lender or the L/C Issuer.</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Administrative Agent shall be entitled to rely conclusively on a representation of the assignee Lender or Participant in any document delivered in connection with the Credit Agreement, including, without limitation, the relevant Assignment and Assumption or participation agreement, as applicable, that such assignee or purchaser is not a Disqualified Institution.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9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10.04</w:t>
      </w:r>
      <w:r>
        <w:rPr>
          <w:sz w:val="20"/>
          <w:szCs w:val="20"/>
          <w:color w:val="auto"/>
        </w:rPr>
        <w:tab/>
      </w:r>
      <w:r>
        <w:rPr>
          <w:rFonts w:ascii="Times New Roman" w:cs="Times New Roman" w:eastAsia="Times New Roman" w:hAnsi="Times New Roman"/>
          <w:sz w:val="19"/>
          <w:szCs w:val="19"/>
          <w:u w:val="single" w:color="auto"/>
          <w:color w:val="auto"/>
        </w:rPr>
        <w:t>Reliance by 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in good faith by it to be genuine and to have been signed, sent or otherwise authenticated by the proper Person. The Administrative Agent also may rely upon any statement made to it orally or by telephone and believed in good faith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1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be liable for any action taken or not taken by it in accordance with the advice of any such counsel, accountants or experts.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10.05</w:t>
      </w:r>
      <w:r>
        <w:rPr>
          <w:sz w:val="20"/>
          <w:szCs w:val="20"/>
          <w:color w:val="auto"/>
        </w:rPr>
        <w:tab/>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0" w:lineRule="exact"/>
        <w:rPr>
          <w:sz w:val="20"/>
          <w:szCs w:val="20"/>
          <w:color w:val="auto"/>
        </w:rPr>
      </w:pPr>
      <w:r>
        <w:rPr>
          <w:rFonts w:ascii="Times New Roman" w:cs="Times New Roman" w:eastAsia="Times New Roman" w:hAnsi="Times New Roman"/>
          <w:sz w:val="20"/>
          <w:szCs w:val="20"/>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 except to the extent that a court of competent jurisdiction determines in a final and nonappealable judgment that the Administrative Agent acted with gross negligence or willful misconduct in the selection of such sub-agents.</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0" w:lineRule="auto"/>
        <w:tabs>
          <w:tab w:leader="none" w:pos="106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the L/C Issuer and the Company. Upon receipt of any such notice of resignation, the Required Lenders shall have the right, with the consent of the Company so long as no Event of Default exists (such consent of the Company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then the retiring Administrative Agent may (but shall not be obligated to) on behalf of the Lenders and the L/C Issuer, with the consent of the Company so long as no Event of Default exists (such consent of the Company not to be unreasonably withheld or delayed), appoint a successor Administrative Agent meeting the qualifications set forth above. Whether or not a successor has been appointed, such resignation shall become effective in accordance with such notice on the Resignation Effective Date.</w:t>
      </w:r>
    </w:p>
    <w:p>
      <w:pPr>
        <w:spacing w:after="0" w:line="18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6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Person serving as Administrative Agent is a Defaulting Lender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thereof, the Required Lenders may, to the extent permitted by applicable Law and with the consent of the Company so long as no Event of Default exists (such consent of the Company not to be unreasonably withheld or delayed), by notice in writing to the Company and such Person remove such Person as Administrative Agent and, with the consent of the Company so long as no Event of Default exists (such consent of the Company not to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0" w:lineRule="exact"/>
        <w:rPr>
          <w:rFonts w:ascii="Times New Roman" w:cs="Times New Roman" w:eastAsia="Times New Roman" w:hAnsi="Times New Roman"/>
          <w:sz w:val="20"/>
          <w:szCs w:val="20"/>
          <w:color w:val="auto"/>
        </w:rPr>
      </w:pPr>
    </w:p>
    <w:p>
      <w:pPr>
        <w:jc w:val="both"/>
        <w:ind w:firstLine="656"/>
        <w:spacing w:after="0" w:line="258" w:lineRule="auto"/>
        <w:tabs>
          <w:tab w:leader="none" w:pos="115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83" w:lineRule="exact"/>
        <w:rPr>
          <w:sz w:val="20"/>
          <w:szCs w:val="20"/>
          <w:color w:val="auto"/>
        </w:rPr>
      </w:pPr>
    </w:p>
    <w:p>
      <w:pPr>
        <w:jc w:val="both"/>
        <w:ind w:firstLine="656"/>
        <w:spacing w:after="0" w:line="250" w:lineRule="auto"/>
        <w:tabs>
          <w:tab w:leader="none" w:pos="107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resignation by BMO as Administrative Agent pursuant to this Section shall also, on the Resignation Effective Date, effect its resignation as L/C Issuer and Swing Line Lender. If BMO so resigns as an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the related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BMO so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such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Company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as applicable,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9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10.07</w:t>
      </w:r>
      <w:r>
        <w:rPr>
          <w:sz w:val="20"/>
          <w:szCs w:val="20"/>
          <w:color w:val="auto"/>
        </w:rPr>
        <w:tab/>
      </w:r>
      <w:r>
        <w:rPr>
          <w:rFonts w:ascii="Times New Roman" w:cs="Times New Roman" w:eastAsia="Times New Roman" w:hAnsi="Times New Roman"/>
          <w:sz w:val="19"/>
          <w:szCs w:val="19"/>
          <w:u w:val="single" w:color="auto"/>
          <w:color w:val="auto"/>
        </w:rPr>
        <w:t>Non-Reliance on Administrative Agent and Other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83" w:lineRule="auto"/>
        <w:rPr>
          <w:sz w:val="20"/>
          <w:szCs w:val="20"/>
          <w:color w:val="auto"/>
        </w:rPr>
      </w:pPr>
      <w:r>
        <w:rPr>
          <w:rFonts w:ascii="Times New Roman" w:cs="Times New Roman" w:eastAsia="Times New Roman" w:hAnsi="Times New Roman"/>
          <w:sz w:val="20"/>
          <w:szCs w:val="20"/>
          <w:color w:val="auto"/>
        </w:rPr>
        <w:t>make its own decisions in taking or not taking action under or based upon this Agreement, any other Loan Document or any related agreement or any document furnished hereunder or thereunder.</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10.08</w:t>
      </w:r>
      <w:r>
        <w:rPr>
          <w:sz w:val="20"/>
          <w:szCs w:val="20"/>
          <w:color w:val="auto"/>
        </w:rPr>
        <w:tab/>
      </w:r>
      <w:r>
        <w:rPr>
          <w:rFonts w:ascii="Times New Roman" w:cs="Times New Roman" w:eastAsia="Times New Roman" w:hAnsi="Times New Roman"/>
          <w:sz w:val="19"/>
          <w:szCs w:val="19"/>
          <w:u w:val="single" w:color="auto"/>
          <w:color w:val="auto"/>
        </w:rPr>
        <w:t>No Other Duties;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10.09</w:t>
      </w:r>
      <w:r>
        <w:rPr>
          <w:sz w:val="20"/>
          <w:szCs w:val="20"/>
          <w:color w:val="auto"/>
        </w:rPr>
        <w:tab/>
      </w:r>
      <w:r>
        <w:rPr>
          <w:rFonts w:ascii="Times New Roman" w:cs="Times New Roman" w:eastAsia="Times New Roman" w:hAnsi="Times New Roman"/>
          <w:sz w:val="19"/>
          <w:szCs w:val="19"/>
          <w:u w:val="single" w:color="auto"/>
          <w:color w:val="auto"/>
        </w:rPr>
        <w:t>Administrative Agent May File Proofs of Claim</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6" w:lineRule="exact"/>
        <w:rPr>
          <w:sz w:val="20"/>
          <w:szCs w:val="20"/>
          <w:color w:val="auto"/>
        </w:rPr>
      </w:pPr>
    </w:p>
    <w:p>
      <w:pPr>
        <w:jc w:val="both"/>
        <w:ind w:firstLine="656"/>
        <w:spacing w:after="0" w:line="253" w:lineRule="auto"/>
        <w:tabs>
          <w:tab w:leader="none" w:pos="1129"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2.03(i)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178"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u w:val="single" w:color="auto"/>
          <w:color w:val="auto"/>
        </w:rPr>
        <w:t>Guaranty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Lenders and the L/C Issuer irrevocably authorize the Administrative Agent, at its option and in its discretion, to release any Guarantor from its obligations under the Guaranty if such Person ceases to be a Subsidiary as a result of a transaction permitted hereunder. Upon request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Agent at any time, the Required Lenders will confirm in writing the Administrative Agent’s authority to release any Guarantor from its obligations under the Guaranty, pursuant to this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u w:val="single" w:color="auto"/>
          <w:color w:val="auto"/>
        </w:rPr>
        <w:t>Treasury Management Agreements and Hedging Agreements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 Treasury Management Bank or Hedge Bank that obtains the benefit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or the Guaranty by virtue of the provisions hereof shall have any right to notice of any action or to consent to, direct or object to any action hereunder or under any other Loan Document or otherwise in respect of the provisions hereof or of the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Obligations arising under Treasury Management Agreements and Hedging Agreements with Treasury Management Banks or Hedge Banks, as applicable, except to the extent expressly provided herein and unless the Administrative Agent has received a written notice of such Obligations, together with such supporting documentation as the Administrative Agent may reasonably request, from the applicable Treasury Management Bank or Hedge Bank, as the case may be. The Administrative Agent shall not be required to verify the payment of, or that other satisfactory arrangements have been made with respect to, Obligations arising under Treasury Management Agreements and Hedging Agreements in the case of the Maturity Date.</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XI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11.01</w:t>
      </w:r>
      <w:r>
        <w:rPr>
          <w:sz w:val="20"/>
          <w:szCs w:val="20"/>
          <w:color w:val="auto"/>
        </w:rPr>
        <w:tab/>
      </w:r>
      <w:r>
        <w:rPr>
          <w:rFonts w:ascii="Times New Roman" w:cs="Times New Roman" w:eastAsia="Times New Roman" w:hAnsi="Times New Roman"/>
          <w:sz w:val="19"/>
          <w:szCs w:val="19"/>
          <w:u w:val="single" w:color="auto"/>
          <w:color w:val="auto"/>
        </w:rPr>
        <w:t>Amendments,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 amendment or waiver of any provision of this Agreement or any other Loan Document, and no consent to any departure by the Borrowers or any other Loan Party therefrom, shall be effective unless in writing signed by the Required Lenders (or by the Administrative Agent at the written request or direction of the Required Lenders) and the Loan Parties party thereto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192" w:lineRule="exact"/>
        <w:rPr>
          <w:sz w:val="20"/>
          <w:szCs w:val="20"/>
          <w:color w:val="auto"/>
        </w:rPr>
      </w:pPr>
    </w:p>
    <w:p>
      <w:pPr>
        <w:ind w:left="1060" w:hanging="404"/>
        <w:spacing w:after="0"/>
        <w:tabs>
          <w:tab w:leader="none" w:pos="10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amendment, waiver or consent shall:</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15"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without the written consent of such Lender (it being understood and agreed that a waiver of any condition precedent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37"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of principal (excluding mandatory prepayments), interest, fees or other amounts due to the Lenders (or any of them) or any scheduled reduction of the Aggregate Revolving Commitments hereunder or under any other Loan Document without the written consent of each Lender entitled to receive such payment or whose Commitment is being so reduced;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98"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clause (i) of the final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any fees or other amounts payable hereunder or under any other Loan Document without the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13"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20"/>
          <w:szCs w:val="20"/>
          <w:color w:val="auto"/>
        </w:rPr>
        <w:t xml:space="preserve">each Lender entitled to receive such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w:t>
      </w:r>
    </w:p>
    <w:p>
      <w:pPr>
        <w:spacing w:after="0" w:line="28" w:lineRule="exact"/>
        <w:rPr>
          <w:sz w:val="20"/>
          <w:szCs w:val="20"/>
          <w:color w:val="auto"/>
        </w:rPr>
      </w:pPr>
    </w:p>
    <w:p>
      <w:pPr>
        <w:jc w:val="both"/>
        <w:ind w:left="660" w:hanging="4"/>
        <w:spacing w:after="0" w:line="253" w:lineRule="auto"/>
        <w:tabs>
          <w:tab w:leader="none" w:pos="99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the definition of “Default Rate” or to waive any obligation of the Borrowers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75" w:lineRule="exact"/>
        <w:rPr>
          <w:rFonts w:ascii="Times New Roman" w:cs="Times New Roman" w:eastAsia="Times New Roman" w:hAnsi="Times New Roman"/>
          <w:sz w:val="20"/>
          <w:szCs w:val="20"/>
          <w:color w:val="auto"/>
        </w:rPr>
      </w:pPr>
    </w:p>
    <w:p>
      <w:pPr>
        <w:ind w:left="660" w:firstLine="644"/>
        <w:spacing w:after="0" w:line="283" w:lineRule="auto"/>
        <w:tabs>
          <w:tab w:leader="none" w:pos="1787"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directly affected thereby;</w:t>
      </w:r>
    </w:p>
    <w:p>
      <w:pPr>
        <w:spacing w:after="0" w:line="15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or the definition of “Alternative Currency” without the written consent of each Lender;</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882"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provision of this Section or the definition of “Required Lenders” without the written consent of each Lender directly affected thereby; or</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the Company or, except in connection with a transaction or series of transactions not prohibited by this Agreement, any other Borrower or all or substantially all of the Guarantors, from its or their obligations under the Loan Documents without the written consent of each Lender directly affected thereby except to the extent the release of any Guarantor is permitted pursuant to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firstLine="656"/>
        <w:spacing w:after="0" w:line="269" w:lineRule="auto"/>
        <w:tabs>
          <w:tab w:leader="none" w:pos="108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a L/C Issuer, no amendment, waiver or consent shall affect the rights or duties of such L/C Issuer under this Agreement or any Issuer Document relating to any Letter of Credit issued or to be issued by it;</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10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Swing Line Lender, no amendment, waiver or consent shall affect the rights or duties of the Swing Line Lender under this Agreement; and</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Administrative Agent, no amendment, waiver or consent shall affect the rights or duties of the Administrative Agent under this Agreement or any other Loan Document;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of the United States supersede the unanimous consent provisions set forth herein; (iii) the Required Lenders shall determine whether or not to allow a Loan Party to use cash collateral in the context of a bankruptcy or insolvency proceeding and such determination shall be binding on all of the Lenders; and (iv) the Administrative Agent and the Company may make amendments contemplated by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the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(other than any disproportionate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1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color w:val="auto"/>
        </w:rPr>
        <w:t>because of the relative size of such Lender’s Commitments) shall require the consent of such Defaulting Lender.</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any provision of this Agreement or any other Loan Document to the contrary, (A) this Agreement or any other Loan Document may be amended by an agreement in writing entered into by the Company and the Administrative Agent to cure any ambiguity, omission, defect or inconsistency, or to comply with local law or advice of local counsel,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(B) as to any amendment, amendment and restatement or other modification otherwise approved in accordance with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in order to implement any additional Commitments in accordance with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this Agreement may be amended for such purpose (but solely to the extent necessary to implement such additional Commitments in accordance with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by the Company, the other Loan Parties, the Administrative Agent and the relevant Lenders providing such additional Commitments.</w:t>
      </w:r>
    </w:p>
    <w:p>
      <w:pPr>
        <w:spacing w:after="0" w:line="18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u w:val="single" w:color="auto"/>
          <w:color w:val="auto"/>
        </w:rPr>
        <w:t>Notices; Effectiveness; Electronic Communications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76" w:lineRule="auto"/>
        <w:tabs>
          <w:tab w:leader="none" w:pos="1088"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Generally</w:t>
      </w:r>
      <w:r>
        <w:rPr>
          <w:rFonts w:ascii="Times New Roman" w:cs="Times New Roman" w:eastAsia="Times New Roman" w:hAnsi="Times New Roman"/>
          <w:sz w:val="19"/>
          <w:szCs w:val="19"/>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56" w:lineRule="exact"/>
        <w:rPr>
          <w:rFonts w:ascii="Times New Roman" w:cs="Times New Roman" w:eastAsia="Times New Roman" w:hAnsi="Times New Roman"/>
          <w:sz w:val="19"/>
          <w:szCs w:val="19"/>
          <w:color w:val="auto"/>
        </w:rPr>
      </w:pPr>
    </w:p>
    <w:p>
      <w:pPr>
        <w:ind w:left="660" w:firstLine="644"/>
        <w:spacing w:after="0" w:line="283" w:lineRule="auto"/>
        <w:tabs>
          <w:tab w:leader="none" w:pos="1688"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 Loan Party, the Administrative Agent, the L/C Issuer or the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83"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1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color w:val="auto"/>
        </w:rPr>
        <w:t>through electronic communications to the extent provided in subsection (b) below, shall be effective as provided in such subsection (b).</w:t>
      </w:r>
    </w:p>
    <w:p>
      <w:pPr>
        <w:spacing w:after="0" w:line="229" w:lineRule="exact"/>
        <w:rPr>
          <w:sz w:val="20"/>
          <w:szCs w:val="20"/>
          <w:color w:val="auto"/>
        </w:rPr>
      </w:pPr>
    </w:p>
    <w:p>
      <w:pPr>
        <w:jc w:val="both"/>
        <w:ind w:firstLine="656"/>
        <w:spacing w:after="0" w:line="251" w:lineRule="auto"/>
        <w:tabs>
          <w:tab w:leader="none" w:pos="108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 hereunder may be delivered or furnished by electronic communication (including e 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(on behalf of itself and the other Loan Parties)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w:t>
      </w:r>
    </w:p>
    <w:p>
      <w:pPr>
        <w:spacing w:after="0" w:line="2" w:lineRule="exact"/>
        <w:rPr>
          <w:sz w:val="20"/>
          <w:szCs w:val="20"/>
          <w:color w:val="auto"/>
        </w:rPr>
      </w:pPr>
    </w:p>
    <w:p>
      <w:pPr>
        <w:jc w:val="both"/>
        <w:ind w:firstLine="8"/>
        <w:spacing w:after="0" w:line="253" w:lineRule="auto"/>
        <w:tabs>
          <w:tab w:leader="none" w:pos="23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notification that such notice or communication is available and identifying the website address therefor (except as otherwise provided in the penultimate paragraph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1088"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(each such Person an “</w:t>
      </w:r>
      <w:r>
        <w:rPr>
          <w:rFonts w:ascii="Times New Roman" w:cs="Times New Roman" w:eastAsia="Times New Roman" w:hAnsi="Times New Roman"/>
          <w:sz w:val="20"/>
          <w:szCs w:val="20"/>
          <w:u w:val="single" w:color="auto"/>
          <w:color w:val="auto"/>
        </w:rPr>
        <w:t>Agent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as to the foregoing in this paragraph (c) shall any Agent Party have any liability to any Borrower, any Lender, the L/C Issuer or any other Person for indirect, special, incidental, consequential or punitive damages (as opposed to direct or actual damages).</w:t>
      </w:r>
    </w:p>
    <w:p>
      <w:pPr>
        <w:spacing w:after="0" w:line="183" w:lineRule="exact"/>
        <w:rPr>
          <w:rFonts w:ascii="Times New Roman" w:cs="Times New Roman" w:eastAsia="Times New Roman" w:hAnsi="Times New Roman"/>
          <w:sz w:val="20"/>
          <w:szCs w:val="20"/>
          <w:color w:val="auto"/>
        </w:rPr>
      </w:pPr>
    </w:p>
    <w:p>
      <w:pPr>
        <w:jc w:val="both"/>
        <w:ind w:firstLine="656"/>
        <w:spacing w:after="0" w:line="268" w:lineRule="auto"/>
        <w:tabs>
          <w:tab w:leader="none" w:pos="1112"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Loan Parties,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13" w:right="339" w:bottom="1440" w:gutter="0" w:footer="0" w:header="0"/>
        </w:sectPr>
      </w:pPr>
    </w:p>
    <w:bookmarkStart w:id="138" w:name="page139"/>
    <w:bookmarkEnd w:id="138"/>
    <w:p>
      <w:pPr>
        <w:jc w:val="both"/>
        <w:spacing w:after="0" w:line="252" w:lineRule="auto"/>
        <w:rPr>
          <w:sz w:val="20"/>
          <w:szCs w:val="20"/>
          <w:color w:val="auto"/>
        </w:rPr>
      </w:pPr>
      <w:r>
        <w:rPr>
          <w:rFonts w:ascii="Times New Roman" w:cs="Times New Roman" w:eastAsia="Times New Roman" w:hAnsi="Times New Roman"/>
          <w:sz w:val="20"/>
          <w:szCs w:val="20"/>
          <w:color w:val="auto"/>
        </w:rPr>
        <w:t>Company,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76" w:lineRule="exact"/>
        <w:rPr>
          <w:sz w:val="20"/>
          <w:szCs w:val="20"/>
          <w:color w:val="auto"/>
        </w:rPr>
      </w:pPr>
    </w:p>
    <w:p>
      <w:pPr>
        <w:jc w:val="both"/>
        <w:ind w:firstLine="656"/>
        <w:spacing w:after="0" w:line="252" w:lineRule="auto"/>
        <w:tabs>
          <w:tab w:leader="none" w:pos="107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telephonic or electronic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other than such losses, costs, expenses and liabilities resulting from such Person’s bad faith,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11.03</w:t>
      </w:r>
      <w:r>
        <w:rPr>
          <w:sz w:val="20"/>
          <w:szCs w:val="20"/>
          <w:color w:val="auto"/>
        </w:rPr>
        <w:tab/>
      </w:r>
      <w:r>
        <w:rPr>
          <w:rFonts w:ascii="Times New Roman" w:cs="Times New Roman" w:eastAsia="Times New Roman" w:hAnsi="Times New Roman"/>
          <w:sz w:val="19"/>
          <w:szCs w:val="19"/>
          <w:u w:val="single" w:color="auto"/>
          <w:color w:val="auto"/>
        </w:rPr>
        <w:t>No Waiver; Cumulative Remedies; Enforcement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for the benefit of all the Lenders and the L/C Issuer;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9"/>
          <w:szCs w:val="19"/>
          <w:u w:val="single" w:color="auto"/>
          <w:color w:val="auto"/>
        </w:rPr>
        <w:t>Section 11.08</w:t>
      </w:r>
      <w:r>
        <w:rPr>
          <w:rFonts w:ascii="Times New Roman" w:cs="Times New Roman" w:eastAsia="Times New Roman" w:hAnsi="Times New Roman"/>
          <w:sz w:val="19"/>
          <w:szCs w:val="19"/>
          <w:color w:val="auto"/>
        </w:rPr>
        <w:t xml:space="preserve"> (subject to the terms of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or (d) any Lender from filing proofs of claim or appearing and filing pleadings on its own behalf during the pendency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(ii) in addition to the matters set forth in clauses (b), (c) and (d)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9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11.04</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14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xml:space="preserve">. The Loan Parties shall pay (i) all reasonable and documented out-of-pocket expenses incurred by the Administrative Agent and its Affiliates (but limited, in the case of legal fees and expenses, to the reasonable and documented fees, charges and disbursements of one outside counsel for the Administrative Agent and its Affiliates taken as a whole and, if necessary, one local counsel to the Administrative Agent and its Affiliates in any relevant jurisdiction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(but limited, in the case of legal fees and expenses, to the reasonable and documented fees, charges and disbursements of one counsel to the Administrative Agent, the Lenders and the L/C Issuer taken as a whole and, if reasonably necessary, a single local counsel for the Administrative Agent, the Lenders and the L/C Issuer taken as a whole in each relevant jurisdiction, and solely in the case of a conflict of interest, one additional counsel in each relevant jurisdiction to the affected Lender and/or L/C Issuer similarly situated taken as a whole) in connection with the enforcement or protection of their respective rights (A) in connection with this Agreement and the other Loan Documents, including their respective rights under this Section, or (B) in connection with the Loans made or Letters of Credit issued hereunder, including all such out-of-pocket expenses incurred during any workout, restructuring or negotiations in respect of such Loans or Letters of Credit.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11.04(a)</w:t>
      </w:r>
      <w:r>
        <w:rPr>
          <w:rFonts w:ascii="Times New Roman" w:cs="Times New Roman" w:eastAsia="Times New Roman" w:hAnsi="Times New Roman"/>
          <w:sz w:val="20"/>
          <w:szCs w:val="20"/>
          <w:color w:val="auto"/>
        </w:rPr>
        <w:t xml:space="preserve"> shall not apply with respect to Taxes.</w:t>
      </w:r>
    </w:p>
    <w:p>
      <w:pPr>
        <w:spacing w:after="0" w:line="196" w:lineRule="exact"/>
        <w:rPr>
          <w:rFonts w:ascii="Times New Roman" w:cs="Times New Roman" w:eastAsia="Times New Roman" w:hAnsi="Times New Roman"/>
          <w:sz w:val="20"/>
          <w:szCs w:val="20"/>
          <w:color w:val="auto"/>
        </w:rPr>
      </w:pPr>
    </w:p>
    <w:p>
      <w:pPr>
        <w:jc w:val="both"/>
        <w:ind w:firstLine="656"/>
        <w:spacing w:after="0" w:line="250" w:lineRule="auto"/>
        <w:tabs>
          <w:tab w:leader="none" w:pos="109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(but limited, in the case of legal fees and expenses, to the reasonable and documented out-of-pocket fees, disbursements and other charges of one counsel to the Indemnitees taken as a whole and, if reasonably necessary, a single local counsel for the Indemnitees taken as a whole in each relevant jurisdiction, and solely in the case of a conflict of interest, one additional counsel in each relevant jurisdiction to the affected Indemnitees similarly situated taken as a whole),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(ii) any Loan or Letter of Credit or the use or proposed use of the proceeds therefrom (including any refusal by the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Issuer to honor a demand for payment under a Letter of Credit if the documents presented in connection with such demand do not strictly comply with the terms of such Letter of Credit), (iii) any actual or alleged presence or release of Hazardous Substances on or from any property owned or operated by a Loan Party or any of its Subsidiaries, or any Environmental Claims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(or a settlement that expressly addresses indemnification) to have resulted from the gross negligence or willful misconduct of such Indemnitee, (y) result from a claim brought by any Borrower or any other Loan Party against an Indemnitee for a breach in bad faith of such Indemnitee’s obligations hereunder or under any other Loan Document, if such Borrower or such Loan Party has obtained a final and nonappealable judgment (or a settlement that expressly addresses indemnification) in its favor on such claim as determined by a court of competent jurisdiction or (z) arise solely from claims of any Indemnitee against one or more other Indemnities that do not involve or have not resulted from (A) an act or omission of an Indemnitee in its capacity as Administrative Agent, Lender, L/C Issuer, arranger or bookrunner or (B) an act or omission (or an alleged act or omission) by any Loan Party or any Subsidiary.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205" w:lineRule="exact"/>
        <w:rPr>
          <w:sz w:val="20"/>
          <w:szCs w:val="20"/>
          <w:color w:val="auto"/>
        </w:rPr>
      </w:pPr>
    </w:p>
    <w:p>
      <w:pPr>
        <w:ind w:left="1060" w:hanging="404"/>
        <w:spacing w:after="0"/>
        <w:tabs>
          <w:tab w:leader="none" w:pos="1060"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by Lenders</w:t>
      </w:r>
      <w:r>
        <w:rPr>
          <w:rFonts w:ascii="Times New Roman" w:cs="Times New Roman" w:eastAsia="Times New Roman" w:hAnsi="Times New Roman"/>
          <w:sz w:val="19"/>
          <w:szCs w:val="19"/>
          <w:color w:val="auto"/>
        </w:rPr>
        <w:t>. To the extent that the Loan Parties for any reason fail to pay any amount required under subsection</w:t>
      </w:r>
    </w:p>
    <w:p>
      <w:pPr>
        <w:spacing w:after="0" w:line="33"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(b) of this Section to be paid by them to the Administrative Agent (or any sub-agent thereof), the L/C Issuer, the Swing Line Lender or</w:t>
      </w:r>
    </w:p>
    <w:p>
      <w:pPr>
        <w:spacing w:after="0" w:line="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Revolving Outstandings of all Lenders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56"/>
        <w:spacing w:after="0" w:line="251" w:lineRule="auto"/>
        <w:tabs>
          <w:tab w:leader="none" w:pos="107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To the fullest extent permitted by applicable Law, no Loan Party shall assert, and each Loan Party hereby waives, and acknowledges that, to the actual knowledge of any Executive Officer of the Loan Parties,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13" w:right="339" w:bottom="1440" w:gutter="0" w:footer="0" w:header="0"/>
        </w:sectPr>
      </w:pPr>
    </w:p>
    <w:bookmarkStart w:id="141" w:name="page142"/>
    <w:bookmarkEnd w:id="141"/>
    <w:p>
      <w:pPr>
        <w:jc w:val="both"/>
        <w:spacing w:after="0" w:line="258" w:lineRule="auto"/>
        <w:rPr>
          <w:sz w:val="20"/>
          <w:szCs w:val="20"/>
          <w:color w:val="auto"/>
        </w:rPr>
      </w:pPr>
      <w:r>
        <w:rPr>
          <w:rFonts w:ascii="Times New Roman" w:cs="Times New Roman" w:eastAsia="Times New Roman" w:hAnsi="Times New Roman"/>
          <w:sz w:val="20"/>
          <w:szCs w:val="20"/>
          <w:color w:val="auto"/>
        </w:rPr>
        <w:t>Agreement or the other Loan Documents or the transactions contemplated hereby or thereby other than for direct or actual damages resulting from the gross negligence or willful misconduct of such Indemnitee (or from any such Person’s material breach in bad faith of any such Person’s obligations under any Loan Documents) as determined by a final and nonappealable judgment of a court of competent jurisdiction (or a settlement that expressly addresses indemnification).</w:t>
      </w:r>
    </w:p>
    <w:p>
      <w:pPr>
        <w:spacing w:after="0" w:line="172" w:lineRule="exact"/>
        <w:rPr>
          <w:sz w:val="20"/>
          <w:szCs w:val="20"/>
          <w:color w:val="auto"/>
        </w:rPr>
      </w:pPr>
    </w:p>
    <w:p>
      <w:pPr>
        <w:ind w:firstLine="656"/>
        <w:spacing w:after="0" w:line="283" w:lineRule="auto"/>
        <w:tabs>
          <w:tab w:leader="none" w:pos="108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written demand therefor setting forth in reasonable detail the basis therefor.</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11.02(e)</w:t>
      </w:r>
      <w:r>
        <w:rPr>
          <w:rFonts w:ascii="Times New Roman" w:cs="Times New Roman" w:eastAsia="Times New Roman" w:hAnsi="Times New Roman"/>
          <w:sz w:val="20"/>
          <w:szCs w:val="20"/>
          <w:color w:val="auto"/>
        </w:rPr>
        <w:t xml:space="preserve"> shall survive the resignation of the Administrative Agent, the L/C Issuer and the Swing Line Lender, the replacement of any Lender, the termination of the Commitments and the repayment, satisfaction or discharge of all the other Obligations.</w:t>
      </w:r>
    </w:p>
    <w:p>
      <w:pPr>
        <w:spacing w:after="0" w:line="1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11.05</w:t>
      </w:r>
      <w:r>
        <w:rPr>
          <w:sz w:val="20"/>
          <w:szCs w:val="20"/>
          <w:color w:val="auto"/>
        </w:rPr>
        <w:tab/>
      </w:r>
      <w:r>
        <w:rPr>
          <w:rFonts w:ascii="Times New Roman" w:cs="Times New Roman" w:eastAsia="Times New Roman" w:hAnsi="Times New Roman"/>
          <w:sz w:val="19"/>
          <w:szCs w:val="19"/>
          <w:u w:val="single" w:color="auto"/>
          <w:color w:val="auto"/>
        </w:rPr>
        <w:t>Payments Set Aside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8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11.06</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0" w:lineRule="auto"/>
        <w:tabs>
          <w:tab w:leader="none" w:pos="108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Agreement and the other Loan Documents shall be binding upon and inure to the benefit of the parties hereto and thereto and their respective successors and assigns permitted hereby, except that neither the Company nor any Designated Borrower may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13" w:right="339" w:bottom="1440" w:gutter="0" w:footer="0" w:header="0"/>
        </w:sectPr>
      </w:pPr>
    </w:p>
    <w:bookmarkStart w:id="142" w:name="page143"/>
    <w:bookmarkEnd w:id="142"/>
    <w:p>
      <w:pPr>
        <w:jc w:val="both"/>
        <w:ind w:firstLine="656"/>
        <w:spacing w:after="0" w:line="258" w:lineRule="auto"/>
        <w:tabs>
          <w:tab w:leader="none" w:pos="118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72"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300" w:right="20" w:firstLine="652"/>
        <w:spacing w:after="0" w:line="258" w:lineRule="auto"/>
        <w:tabs>
          <w:tab w:leader="none" w:pos="2457"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related Loans at the time owing to it or contemporaneous assignments to related Approved Funds that equal at least the amount specified in subsection (b)(i)(B) of this Section in the aggregate or in the case of an assignment to a Lender, an Affiliate of a Lender or an Approved Fund, no minimum amount need be assigned; and</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473"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37"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Loans and Commitments, and rights and obligations with respect thereto, assigned, except that this clause (ii) shall not apply to the Swing Line Lender’s rights and obligations in respect of Swing Line Loans;</w:t>
      </w:r>
    </w:p>
    <w:p>
      <w:pPr>
        <w:spacing w:after="0" w:line="167"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subsection (b)(i)</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of this Section and, in addition:</w:t>
      </w:r>
    </w:p>
    <w:p>
      <w:pPr>
        <w:spacing w:after="0" w:line="200" w:lineRule="exact"/>
        <w:rPr>
          <w:rFonts w:ascii="Times New Roman" w:cs="Times New Roman" w:eastAsia="Times New Roman" w:hAnsi="Times New Roman"/>
          <w:sz w:val="20"/>
          <w:szCs w:val="20"/>
          <w:color w:val="auto"/>
        </w:rPr>
      </w:pPr>
    </w:p>
    <w:p>
      <w:pPr>
        <w:jc w:val="both"/>
        <w:ind w:left="1300" w:firstLine="652"/>
        <w:spacing w:after="0" w:line="252" w:lineRule="auto"/>
        <w:tabs>
          <w:tab w:leader="none" w:pos="2457"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Company (such consent not to be unreasonably withheld or delayed (it being understood, without limiting other factors that may be reasonable, it shall be reasonable for the Company to consider the proposed assignee’s right to require reimbursement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be required unless (1) in the case of an assignment to a Person that is (x) not a Disqualified Institution, an Event of Default has occurred and is continuing at the time of such assignment or (y) a Disqualified Institution, an Event of Default under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9.01(c)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 xml:space="preserve"> (solely as a result of the failure to comply with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has occurred and is continuing at the time of such assignment, or (2) such assignment is to a Lender, an Affiliate of a Lender or an Approved Fund; provided, however, that with respect to any assignment that does not require the Company’s consent hereunder, the assignor shall nevertheless provide written notice to the Company thereof prior to, or promptly after, such assignment (it being understood that failure by such assignor to provide such notice shall not limit the effectiveness of such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13" w:right="339" w:bottom="1440" w:gutter="0" w:footer="0" w:header="0"/>
        </w:sectPr>
      </w:pPr>
    </w:p>
    <w:bookmarkStart w:id="143" w:name="page144"/>
    <w:bookmarkEnd w:id="143"/>
    <w:p>
      <w:pPr>
        <w:jc w:val="both"/>
        <w:ind w:left="180" w:firstLine="652"/>
        <w:spacing w:after="0" w:line="258" w:lineRule="auto"/>
        <w:tabs>
          <w:tab w:leader="none" w:pos="1339"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Commitment subject to such assignment, an Affiliate of such Lender or an Approved Fund with respect to such Lender; and</w:t>
      </w:r>
    </w:p>
    <w:p>
      <w:pPr>
        <w:spacing w:after="0" w:line="172" w:lineRule="exact"/>
        <w:rPr>
          <w:rFonts w:ascii="Times New Roman" w:cs="Times New Roman" w:eastAsia="Times New Roman" w:hAnsi="Times New Roman"/>
          <w:sz w:val="20"/>
          <w:szCs w:val="20"/>
          <w:color w:val="auto"/>
        </w:rPr>
      </w:pPr>
    </w:p>
    <w:p>
      <w:pPr>
        <w:jc w:val="both"/>
        <w:ind w:left="180" w:firstLine="652"/>
        <w:spacing w:after="0" w:line="268" w:lineRule="auto"/>
        <w:tabs>
          <w:tab w:leader="none" w:pos="1312"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61" w:lineRule="exact"/>
        <w:rPr>
          <w:rFonts w:ascii="Times New Roman" w:cs="Times New Roman" w:eastAsia="Times New Roman" w:hAnsi="Times New Roman"/>
          <w:sz w:val="20"/>
          <w:szCs w:val="20"/>
          <w:color w:val="auto"/>
        </w:rPr>
      </w:pPr>
    </w:p>
    <w:p>
      <w:pPr>
        <w:ind w:left="180" w:firstLine="652"/>
        <w:spacing w:after="0" w:line="283" w:lineRule="auto"/>
        <w:tabs>
          <w:tab w:leader="none" w:pos="1377"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Swing Line Lender (such consent not to be unreasonably withheld or delayed) shall be required for any assignment in respect of Revolving Loans and Revolving Commitments.</w:t>
      </w:r>
    </w:p>
    <w:p>
      <w:pPr>
        <w:spacing w:after="0" w:line="146" w:lineRule="exact"/>
        <w:rPr>
          <w:rFonts w:ascii="Times New Roman" w:cs="Times New Roman" w:eastAsia="Times New Roman" w:hAnsi="Times New Roman"/>
          <w:sz w:val="20"/>
          <w:szCs w:val="20"/>
          <w:color w:val="auto"/>
        </w:rPr>
      </w:pPr>
    </w:p>
    <w:p>
      <w:pPr>
        <w:jc w:val="both"/>
        <w:ind w:left="-460" w:firstLine="644"/>
        <w:spacing w:after="0" w:line="258" w:lineRule="auto"/>
        <w:tabs>
          <w:tab w:leader="none" w:pos="681"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85"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61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to (A) </w:t>
      </w:r>
      <w:r>
        <w:rPr>
          <w:rFonts w:ascii="Times New Roman" w:cs="Times New Roman" w:eastAsia="Times New Roman" w:hAnsi="Times New Roman"/>
          <w:sz w:val="20"/>
          <w:szCs w:val="20"/>
          <w:color w:val="FF0000"/>
          <w:strike w:val="1"/>
        </w:rPr>
        <w:t>to</w:t>
      </w:r>
      <w:r>
        <w:rPr>
          <w:rFonts w:ascii="Times New Roman" w:cs="Times New Roman" w:eastAsia="Times New Roman" w:hAnsi="Times New Roman"/>
          <w:sz w:val="20"/>
          <w:szCs w:val="20"/>
          <w:color w:val="auto"/>
        </w:rPr>
        <w:t xml:space="preserve"> the Company or any of the Company’s Affiliates or Subsidiaries, (B) any Defaulting Lender or any of its Subsidiaries, or any Person who, upon becoming a Lender hereunder, would constitute any of the foregoing Persons described in this clause (B) or (C) a natural Person.</w:t>
      </w:r>
    </w:p>
    <w:p>
      <w:pPr>
        <w:spacing w:after="0" w:line="181" w:lineRule="exact"/>
        <w:rPr>
          <w:rFonts w:ascii="Times New Roman" w:cs="Times New Roman" w:eastAsia="Times New Roman" w:hAnsi="Times New Roman"/>
          <w:sz w:val="20"/>
          <w:szCs w:val="20"/>
          <w:color w:val="auto"/>
        </w:rPr>
      </w:pPr>
    </w:p>
    <w:p>
      <w:pPr>
        <w:jc w:val="both"/>
        <w:ind w:left="-460" w:firstLine="644"/>
        <w:spacing w:after="0" w:line="249" w:lineRule="auto"/>
        <w:tabs>
          <w:tab w:leader="none" w:pos="70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1"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77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Resulting in Additional Indemnified Taxes</w:t>
      </w:r>
      <w:r>
        <w:rPr>
          <w:rFonts w:ascii="Times New Roman" w:cs="Times New Roman" w:eastAsia="Times New Roman" w:hAnsi="Times New Roman"/>
          <w:sz w:val="20"/>
          <w:szCs w:val="20"/>
          <w:color w:val="auto"/>
        </w:rPr>
        <w:t>. No such assignment shall be made to any Person that, through its Lending Offices, is not capable of lending the applicable Alternative Currencies to the relevant Borrowers without the imposition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120"/>
          </w:cols>
          <w:pgMar w:left="1440" w:top="1413" w:right="339" w:bottom="1440" w:gutter="0" w:footer="0" w:header="0"/>
        </w:sectPr>
      </w:pPr>
    </w:p>
    <w:bookmarkStart w:id="144" w:name="page145"/>
    <w:bookmarkEnd w:id="144"/>
    <w:p>
      <w:pPr>
        <w:ind w:left="660" w:right="20"/>
        <w:spacing w:after="0" w:line="283" w:lineRule="auto"/>
        <w:rPr>
          <w:sz w:val="20"/>
          <w:szCs w:val="20"/>
          <w:color w:val="auto"/>
        </w:rPr>
      </w:pPr>
      <w:r>
        <w:rPr>
          <w:rFonts w:ascii="Times New Roman" w:cs="Times New Roman" w:eastAsia="Times New Roman" w:hAnsi="Times New Roman"/>
          <w:sz w:val="20"/>
          <w:szCs w:val="20"/>
          <w:color w:val="auto"/>
        </w:rPr>
        <w:t xml:space="preserve">additional Taxes for which the Loan Parties are required to indemnify the Administrative Agent and the Lenders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 having been a Defaulting Lender. Upon request, the Borrowers (at their expense) shall execute and deliver Notes to the assignee Lender and the assigning Lender shall use commercially reasonable efforts to return its Note(s) to the Company marked “paid in full” (or similar term).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3" w:lineRule="exact"/>
        <w:rPr>
          <w:sz w:val="20"/>
          <w:szCs w:val="20"/>
          <w:color w:val="auto"/>
        </w:rPr>
      </w:pPr>
    </w:p>
    <w:p>
      <w:pPr>
        <w:jc w:val="both"/>
        <w:ind w:firstLine="656"/>
        <w:spacing w:after="0" w:line="251" w:lineRule="auto"/>
        <w:tabs>
          <w:tab w:leader="none" w:pos="107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95" w:lineRule="exact"/>
        <w:rPr>
          <w:rFonts w:ascii="Times New Roman" w:cs="Times New Roman" w:eastAsia="Times New Roman" w:hAnsi="Times New Roman"/>
          <w:sz w:val="20"/>
          <w:szCs w:val="20"/>
          <w:color w:val="auto"/>
        </w:rPr>
      </w:pPr>
    </w:p>
    <w:p>
      <w:pPr>
        <w:jc w:val="both"/>
        <w:ind w:firstLine="656"/>
        <w:spacing w:after="0" w:line="250" w:lineRule="auto"/>
        <w:tabs>
          <w:tab w:leader="none" w:pos="1099"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Borrowers or the Administrative Agent, sell participations to any Person (other than a natural Person, a Defaulting Lender or the Borrowers or any of the Borrowers’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without regard to the existence of any participation.</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13" w:right="339" w:bottom="1440" w:gutter="0" w:footer="0" w:header="0"/>
        </w:sectPr>
      </w:pPr>
    </w:p>
    <w:bookmarkStart w:id="145" w:name="page146"/>
    <w:bookmarkEnd w:id="145"/>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may provide that such Lender will not, without the consent of the Participant, agree to any amendment, waiver or other modification described in </w:t>
      </w:r>
      <w:r>
        <w:rPr>
          <w:rFonts w:ascii="Times New Roman" w:cs="Times New Roman" w:eastAsia="Times New Roman" w:hAnsi="Times New Roman"/>
          <w:sz w:val="20"/>
          <w:szCs w:val="20"/>
          <w:u w:val="single" w:color="auto"/>
          <w:color w:val="auto"/>
        </w:rPr>
        <w:t>Section 11.01(a)</w:t>
      </w:r>
      <w:r>
        <w:rPr>
          <w:rFonts w:ascii="Times New Roman" w:cs="Times New Roman" w:eastAsia="Times New Roman" w:hAnsi="Times New Roman"/>
          <w:sz w:val="20"/>
          <w:szCs w:val="20"/>
          <w:color w:val="auto"/>
        </w:rPr>
        <w:t xml:space="preserve"> that directly affects such Participant (it being understood that (i) any vote to rescind any acceleration made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of amounts owing with respect to the Loans and other Obligations and (ii) any modifications of the provisions relating to amounts, timing or application of prepayments of Loans and other Obligations shall not require the approval of such Participant). Subject to </w:t>
      </w:r>
      <w:r>
        <w:rPr>
          <w:rFonts w:ascii="Times New Roman" w:cs="Times New Roman" w:eastAsia="Times New Roman" w:hAnsi="Times New Roman"/>
          <w:sz w:val="20"/>
          <w:szCs w:val="20"/>
          <w:u w:val="single" w:color="auto"/>
          <w:color w:val="auto"/>
        </w:rPr>
        <w:t>Section 11.06(f)</w:t>
      </w:r>
      <w:r>
        <w:rPr>
          <w:rFonts w:ascii="Times New Roman" w:cs="Times New Roman" w:eastAsia="Times New Roman" w:hAnsi="Times New Roman"/>
          <w:sz w:val="20"/>
          <w:szCs w:val="20"/>
          <w:color w:val="auto"/>
        </w:rPr>
        <w:t xml:space="preserve">, the Borrowers agree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to the same extent (subject to the requirements in those Sections, including timely delivery of forms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as if it were a Lender and had acquired its interest by assignment pursuant to subsection (b)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11.14</w:t>
      </w:r>
      <w:r>
        <w:rPr>
          <w:rFonts w:ascii="Times New Roman" w:cs="Times New Roman" w:eastAsia="Times New Roman" w:hAnsi="Times New Roman"/>
          <w:sz w:val="20"/>
          <w:szCs w:val="20"/>
          <w:color w:val="auto"/>
        </w:rPr>
        <w:t xml:space="preserve"> as if it were an assignee under paragraph (b) of this Section.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Notwithstanding anything to the contrary herein, a Participant shall not be entitled to receive any greater payment under Section 3.01, 3.04 or 3.05 than its participating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215" w:lineRule="exact"/>
        <w:rPr>
          <w:sz w:val="20"/>
          <w:szCs w:val="20"/>
          <w:color w:val="auto"/>
        </w:rPr>
      </w:pPr>
    </w:p>
    <w:p>
      <w:pPr>
        <w:jc w:val="both"/>
        <w:ind w:firstLine="656"/>
        <w:spacing w:after="0" w:line="258" w:lineRule="auto"/>
        <w:tabs>
          <w:tab w:leader="none" w:pos="1102"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Certain Pledges.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3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upon Participant Rights</w:t>
      </w:r>
      <w:r>
        <w:rPr>
          <w:rFonts w:ascii="Times New Roman" w:cs="Times New Roman" w:eastAsia="Times New Roman" w:hAnsi="Times New Roman"/>
          <w:sz w:val="20"/>
          <w:szCs w:val="20"/>
          <w:color w:val="auto"/>
        </w:rPr>
        <w:t xml:space="preserve">. A Participant that would be a Foreign Lender if it were a Lender shall not be entitled to the benefits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unless the Company is notified of the participation sold to such Participant and such Participant agrees, for the benefit of the Borrowers,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as though it were a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L/C Issuer or Swing Line Lender after Assignment</w:t>
      </w:r>
      <w:r>
        <w:rPr>
          <w:rFonts w:ascii="Times New Roman" w:cs="Times New Roman" w:eastAsia="Times New Roman" w:hAnsi="Times New Roman"/>
          <w:sz w:val="20"/>
          <w:szCs w:val="20"/>
          <w:color w:val="auto"/>
        </w:rPr>
        <w:t>. Notwithstanding anything to the contrary contained herein, if at any time BMO or Bank of America assigns all of its Commitment and Loans pursuant to subsection (b) above, (i) BMO or Bank of America may,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13" w:right="339" w:bottom="1440" w:gutter="0" w:footer="0" w:header="0"/>
        </w:sectPr>
      </w:pPr>
    </w:p>
    <w:bookmarkStart w:id="146" w:name="page147"/>
    <w:bookmarkEnd w:id="146"/>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applicable, upon thirty days’ notice to the Company and the Lenders, resign as L/C Issuer and/or (ii) BMO may upon thirty days’ notice to the Company, resign as Swing Line Lender. In the event of any such resignation as L/C Issuer or Swing Line Lender, the Company shall be entitled to appoint from among the Lenders a successor L/C Issuer or Swing Line Lender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failure by the Company to appoint any such successor shall affect the resignation of BMO or Bank of America as L/C Issuer or Swing Line Lender, as the case may be. If BMO or Bank of America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the related Unreimbursed Amounts pursuant to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If BMO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such outstanding Swing Line Loans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Upon the appointment of a successor L/C Issuer and/or Swing Line Lender, (1) such successor shall succeed to and become vested with all of the rights, powers, privileges and duties of the retiring L/C Issuer or Swing Line Lender, as the case may be, and</w:t>
      </w:r>
    </w:p>
    <w:p>
      <w:pPr>
        <w:spacing w:after="0" w:line="8" w:lineRule="exact"/>
        <w:rPr>
          <w:sz w:val="20"/>
          <w:szCs w:val="20"/>
          <w:color w:val="auto"/>
        </w:rPr>
      </w:pPr>
    </w:p>
    <w:p>
      <w:pPr>
        <w:jc w:val="both"/>
        <w:ind w:firstLine="8"/>
        <w:spacing w:after="0" w:line="249" w:lineRule="auto"/>
        <w:tabs>
          <w:tab w:leader="none" w:pos="291"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L/C Issuer shall issue letters of credit in substitution for the applicable Letters of Credit, if any, outstanding at the time of such succession or make other arrangements satisfactory to BMO or Bank of America to effectively assume the obligations of BMO or Bank of America with respect to such Letters of Credit.</w:t>
      </w:r>
    </w:p>
    <w:p>
      <w:pPr>
        <w:spacing w:after="0" w:line="193" w:lineRule="exact"/>
        <w:rPr>
          <w:rFonts w:ascii="Times New Roman" w:cs="Times New Roman" w:eastAsia="Times New Roman" w:hAnsi="Times New Roman"/>
          <w:sz w:val="20"/>
          <w:szCs w:val="20"/>
          <w:color w:val="auto"/>
        </w:rPr>
      </w:pPr>
    </w:p>
    <w:p>
      <w:pPr>
        <w:jc w:val="both"/>
        <w:ind w:firstLine="656"/>
        <w:spacing w:after="0" w:line="265" w:lineRule="auto"/>
        <w:tabs>
          <w:tab w:leader="none" w:pos="1112"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Disqualified Institutions</w:t>
      </w:r>
      <w:r>
        <w:rPr>
          <w:rFonts w:ascii="Times New Roman" w:cs="Times New Roman" w:eastAsia="Times New Roman" w:hAnsi="Times New Roman"/>
          <w:sz w:val="19"/>
          <w:szCs w:val="19"/>
          <w:color w:val="auto"/>
        </w:rPr>
        <w:t>. Notwithstanding anything to the contrary in this Agreement, no assignment or participation shall be made to any Person that was a Disqualified Institution as of the date (the “</w:t>
      </w:r>
      <w:r>
        <w:rPr>
          <w:rFonts w:ascii="Times New Roman" w:cs="Times New Roman" w:eastAsia="Times New Roman" w:hAnsi="Times New Roman"/>
          <w:sz w:val="19"/>
          <w:szCs w:val="19"/>
          <w:u w:val="single" w:color="auto"/>
          <w:color w:val="auto"/>
        </w:rPr>
        <w:t>Trade Date</w:t>
      </w:r>
      <w:r>
        <w:rPr>
          <w:rFonts w:ascii="Times New Roman" w:cs="Times New Roman" w:eastAsia="Times New Roman" w:hAnsi="Times New Roman"/>
          <w:sz w:val="19"/>
          <w:szCs w:val="19"/>
          <w:color w:val="auto"/>
        </w:rPr>
        <w:t xml:space="preserve">”) on which the assigning Lender entered into an Assignment and Assumption or participation agreement, as applicable, with such Person (unless the Company has consented to such assignment to such entity (or unless such consent is not required because an Event of Default has occurred under </w:t>
      </w:r>
      <w:r>
        <w:rPr>
          <w:rFonts w:ascii="Times New Roman" w:cs="Times New Roman" w:eastAsia="Times New Roman" w:hAnsi="Times New Roman"/>
          <w:sz w:val="19"/>
          <w:szCs w:val="19"/>
          <w:u w:val="single" w:color="auto"/>
          <w:color w:val="auto"/>
        </w:rPr>
        <w:t>Section 9.01(a)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9.01(c)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9.01(d)</w:t>
      </w:r>
      <w:r>
        <w:rPr>
          <w:rFonts w:ascii="Times New Roman" w:cs="Times New Roman" w:eastAsia="Times New Roman" w:hAnsi="Times New Roman"/>
          <w:sz w:val="19"/>
          <w:szCs w:val="19"/>
          <w:color w:val="auto"/>
        </w:rPr>
        <w:t xml:space="preserve"> (solely as a result of the failure to comply with </w:t>
      </w:r>
      <w:r>
        <w:rPr>
          <w:rFonts w:ascii="Times New Roman" w:cs="Times New Roman" w:eastAsia="Times New Roman" w:hAnsi="Times New Roman"/>
          <w:sz w:val="19"/>
          <w:szCs w:val="19"/>
          <w:u w:val="single" w:color="auto"/>
          <w:color w:val="auto"/>
        </w:rPr>
        <w:t>Section 7.06</w:t>
      </w:r>
      <w:r>
        <w:rPr>
          <w:rFonts w:ascii="Times New Roman" w:cs="Times New Roman" w:eastAsia="Times New Roman" w:hAnsi="Times New Roman"/>
          <w:sz w:val="19"/>
          <w:szCs w:val="19"/>
          <w:color w:val="auto"/>
        </w:rPr>
        <w:t xml:space="preserve">)), in which case such entity will not be considered a Disqualified Institution for the purpose of such assignment). For the avoidance of doubt, with respect to any assignee that becomes a Disqualified Institution after the applicable Trade Date (including as a result of the delivery of a notice pursuant to the definition of “Disqualified Institution”), (i) such assignee shall not retroactively be disqualified from becoming a Lender and (ii) the execution by the Company of an Assignment and Assumption with respect to such assignee will not by itself result in such assignee no longer being considered a Disqualified Institution. Any assignment in violation of this </w:t>
      </w:r>
      <w:r>
        <w:rPr>
          <w:rFonts w:ascii="Times New Roman" w:cs="Times New Roman" w:eastAsia="Times New Roman" w:hAnsi="Times New Roman"/>
          <w:sz w:val="19"/>
          <w:szCs w:val="19"/>
          <w:u w:val="single" w:color="auto"/>
          <w:color w:val="auto"/>
        </w:rPr>
        <w:t>Section 11.06(h)</w:t>
      </w:r>
      <w:r>
        <w:rPr>
          <w:rFonts w:ascii="Times New Roman" w:cs="Times New Roman" w:eastAsia="Times New Roman" w:hAnsi="Times New Roman"/>
          <w:sz w:val="19"/>
          <w:szCs w:val="19"/>
          <w:color w:val="auto"/>
        </w:rPr>
        <w:t xml:space="preserve"> shall not be void, but the provisions of the paragraphs below shall apply.</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any assignment or participation is made to any Disqualified Institution without the Company’s prior written consent (if required), or if any Person becomes a Disqualified Institution after the applicable Trade Date, the Company may, at its sole expense and effort, upon notice to the applicable Disqualified Institution and the Administrative Agent, (A) terminate any Revolving Commitment of such Disqualified Institution and repay all obligations of the Borrowers owing to such Disqualified Institution in connection with such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 such purchase or prepayment shall be made with the proceeds of any Revolving Loans), plus accrued interest, accrued fees and all other amounts (other than principal amounts) payable to it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no such purchase or prepayment shall be made with the proceeds of any Revolving Loans) and/or (B) require such Disqualified Institutions to assign, without recourse (in accordance with and subject to the restrictions contained in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all of their respective interest, rights and obligations under this Agreement to one or more Eligible Assignees at the principal amount thereof, plus accrued interest, accrued fees and all other amounts (other than principal amounts) payable to 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13" w:right="339" w:bottom="1440" w:gutter="0" w:footer="0" w:header="0"/>
        </w:sectPr>
      </w:pPr>
    </w:p>
    <w:bookmarkStart w:id="147" w:name="page148"/>
    <w:bookmarkEnd w:id="147"/>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Notwithstanding anything to the contrary contained in this Agreement, Disqualified Institutions acquiring their interest in violation of this Agreement (1) will not (x) have the right to receive information, reports or other materials provided to the Lenders by the Borrowers, the Administrative Agent or any other Lender, (y) attend or participate in meetings attended by the Lenders (or any of them) and the Administrative Agent, or (z) access the Platform or any other electronic site established for the Lenders or confidential communications from counsel to or financial advisors of the Administrative Agent or the Lenders and (2)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bankruptcy reorganization plan that affects the Loans, each Disqualified Institution hereby agrees (I) not to vote on such plan,</w:t>
      </w:r>
    </w:p>
    <w:p>
      <w:pPr>
        <w:jc w:val="both"/>
        <w:ind w:firstLine="8"/>
        <w:spacing w:after="0" w:line="249" w:lineRule="auto"/>
        <w:tabs>
          <w:tab w:leader="none" w:pos="33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Disqualified Institution does vote on such plan notwithstanding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such vote will be deemed not to have been in good faith and shall be “designated” pursuant to Section 1126(e) of the Bankruptcy Code of the United States (or any similar provision of any other Debtor Relief Laws), and such vote shall not be counted in determine whether the applicable class has accepted or rejected such plan in accordance with Section 1126(c) of the Bankruptcy Code of the United States (or any similar provision of any other Debtor Relief Laws), and (III)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11.07</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and that the Administrative Agent, the relevant Lender or the L/C Issuer, as the case may be, shall be responsible to the Loan Parties for any failure by such Person to maintain the confidentiality of the Information),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this clause (c) and the foregoing clause (b), (i) the Administrative Agent, the Lenders or the L/C Issuer, as the case may be, shall disclose only the information required and, to the extent permitted by applicable law and regulation and practical under the circumstances, shall notify the Company in writing prior to such disclosure and (ii) notwithstanding anything to the contrary contained herein, the Administrative Agent, the Lenders or the L/C Issuer, and their Affiliates may disclose Information, without notice to the Company, to any governmental agency, regulatory authority or self-regulatory authority (including bank and securities examiners) having or claiming to have authority to regulate or oversee any aspect of such Person’s or its Affiliate’s business in connection with the exercise of such authority or claimed authority),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or (ii) any actual or prospective party (or its Related Parties) to any swap derivative or other transaction under which payments are to be made by reference to the Loan Parties and their obligations, this Agreement or payments hereunder, (g)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49" w:lineRule="auto"/>
        <w:rPr>
          <w:sz w:val="20"/>
          <w:szCs w:val="20"/>
          <w:color w:val="auto"/>
        </w:rPr>
      </w:pPr>
      <w:r>
        <w:rPr>
          <w:rFonts w:ascii="Times New Roman" w:cs="Times New Roman" w:eastAsia="Times New Roman" w:hAnsi="Times New Roman"/>
          <w:sz w:val="20"/>
          <w:szCs w:val="20"/>
          <w:color w:val="auto"/>
        </w:rPr>
        <w:t>confidential basis to (i) any rating agency in connection with rating any Loan Party or its Subsidiaries or the credit facility provided hereunder or (ii) the CUSIP Service Bureau or any similar agency in connection with the issuance and monitoring of CUSIP numbers or other market identifiers with respect to the credit facility provided hereunder,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Loan Parties so long as such source is not known by such Person to be bound by a confidentiality agreement with any Loan Party or Subsidiary or (i) with the consent of the Company. In addition, the Administrative Agent and the Lenders may disclose the existence of this Agreement and customary information about this Agreement to market data collectors. 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a Loan Party or any Subsidiary after the Closing Date, such information is clearly identified at the time of delivery as confidential or delivered under circumstances that would cause a reasonable person to believe such information to be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11.08</w:t>
      </w:r>
      <w:r>
        <w:rPr>
          <w:sz w:val="20"/>
          <w:szCs w:val="20"/>
          <w:color w:val="auto"/>
        </w:rPr>
        <w:tab/>
      </w:r>
      <w:r>
        <w:rPr>
          <w:rFonts w:ascii="Times New Roman" w:cs="Times New Roman" w:eastAsia="Times New Roman" w:hAnsi="Times New Roman"/>
          <w:sz w:val="19"/>
          <w:szCs w:val="19"/>
          <w:u w:val="single" w:color="auto"/>
          <w:color w:val="auto"/>
        </w:rPr>
        <w:t>Set-off</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Lender, the L/C Issuer and each of their respective Affiliates is hereby authorized at any time and from time to time, to the fullest extent permitted by applicable Law, to set-off and apply any and all deposits (general or special, time or demand, provisional or final, in whatever currency, but excluding deposits held in a trustee, fiduciary, agency or similar capacity or otherwise for the benefit of a third party)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or office or Affiliate of such Lender or the L/C Issuer different from the branch or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11.09</w:t>
      </w:r>
      <w:r>
        <w:rPr>
          <w:sz w:val="20"/>
          <w:szCs w:val="20"/>
          <w:color w:val="auto"/>
        </w:rPr>
        <w:tab/>
      </w:r>
      <w:r>
        <w:rPr>
          <w:rFonts w:ascii="Times New Roman" w:cs="Times New Roman" w:eastAsia="Times New Roman" w:hAnsi="Times New Roman"/>
          <w:sz w:val="19"/>
          <w:szCs w:val="19"/>
          <w:u w:val="single" w:color="auto"/>
          <w:color w:val="auto"/>
        </w:rPr>
        <w:t>Interest Rate Limitation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This Agreement and each of the other Loan Documents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6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19"/>
          <w:szCs w:val="19"/>
          <w:u w:val="single" w:color="auto"/>
          <w:color w:val="auto"/>
        </w:rPr>
        <w:t>Integration; Effectiveness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6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19"/>
          <w:szCs w:val="19"/>
          <w:u w:val="single" w:color="auto"/>
          <w:color w:val="auto"/>
        </w:rPr>
        <w:t>Survival of Representations and Warranties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13" w:right="339" w:bottom="1440" w:gutter="0" w:footer="0" w:header="0"/>
        </w:sectPr>
      </w:pPr>
    </w:p>
    <w:bookmarkStart w:id="150" w:name="page151"/>
    <w:bookmarkEnd w:id="150"/>
    <w:p>
      <w:pPr>
        <w:jc w:val="both"/>
        <w:spacing w:after="0" w:line="258" w:lineRule="auto"/>
        <w:rPr>
          <w:sz w:val="20"/>
          <w:szCs w:val="20"/>
          <w:color w:val="auto"/>
        </w:rPr>
      </w:pPr>
      <w:r>
        <w:rPr>
          <w:rFonts w:ascii="Times New Roman" w:cs="Times New Roman" w:eastAsia="Times New Roman" w:hAnsi="Times New Roman"/>
          <w:sz w:val="20"/>
          <w:szCs w:val="20"/>
          <w:color w:val="auto"/>
        </w:rPr>
        <w:t>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9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If the Company is entitled to replace a Lender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 if any Lender is a Defaulting Lender or a Non-Consenting Lender, or if any Lender shall effectuate (or purport to effectuate) an assignment in violation of the terms of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9" w:lineRule="exact"/>
        <w:rPr>
          <w:sz w:val="20"/>
          <w:szCs w:val="20"/>
          <w:color w:val="auto"/>
        </w:rPr>
      </w:pPr>
    </w:p>
    <w:p>
      <w:pPr>
        <w:ind w:left="660" w:right="20" w:firstLine="644"/>
        <w:spacing w:after="0" w:line="283" w:lineRule="auto"/>
        <w:tabs>
          <w:tab w:leader="none" w:pos="168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(or caused to be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86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applicable Borrower(s) (in the case of all other amounts);</w:t>
      </w:r>
    </w:p>
    <w:p>
      <w:pPr>
        <w:spacing w:after="0" w:line="187" w:lineRule="exact"/>
        <w:rPr>
          <w:rFonts w:ascii="Times New Roman" w:cs="Times New Roman" w:eastAsia="Times New Roman" w:hAnsi="Times New Roman"/>
          <w:sz w:val="20"/>
          <w:szCs w:val="20"/>
          <w:color w:val="auto"/>
        </w:rPr>
      </w:pPr>
    </w:p>
    <w:p>
      <w:pPr>
        <w:ind w:left="660" w:firstLine="644"/>
        <w:spacing w:after="0" w:line="283" w:lineRule="auto"/>
        <w:tabs>
          <w:tab w:leader="none" w:pos="178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46"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1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Lender becoming a Non-Consenting Lender, the applicable assignee shall have consented to the applicable amendment, waiver or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by such Non-Consenting Lender to execute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13" w:right="339" w:bottom="1440" w:gutter="0" w:footer="0" w:header="0"/>
        </w:sectPr>
      </w:pPr>
    </w:p>
    <w:bookmarkStart w:id="151" w:name="page152"/>
    <w:bookmarkEnd w:id="151"/>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 xml:space="preserve">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shall nevertheless be effective without the execution by such Non-Consenting Lender of an Assignment and Assumption.</w:t>
      </w:r>
    </w:p>
    <w:p>
      <w:pPr>
        <w:spacing w:after="0" w:line="17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8" w:lineRule="auto"/>
        <w:tabs>
          <w:tab w:leader="none" w:pos="111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SHALL BE GOVERNED BY, AND CONSTRUED IN ACCORDANCE WITH, THE LAW OF THE STATE OF ILLINOIS APPLICABLE TO AGREEMENTS MADE AND TO BE PERFORMED ENTIRELY WITHIN SUCH STATE;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AND EACH LENDER SHALL RETAIN ALL RIGHTS ARISING UNDER FEDERAL LAW.</w:t>
      </w:r>
    </w:p>
    <w:p>
      <w:pPr>
        <w:spacing w:after="0" w:line="18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LEGAL ACTION OR PROCEEDING WITH RESPECT TO THIS AGREEMENT OR ANY OTHER LOAN DOCUMENT MAY BE BROUGHT IN THE COURTS OF THE STATE OF ILLINOIS SITTING IN CHICAGO, ILLINOIS OR OF THE UNITED STATES FOR THE NORTHERN DISTRICT OF ILLINOIS (EASTERN DIVISION), AND BY EXECUTION AND DELIVERY OF THIS AGREEMENT, EACH PARTY HERETO CONSENTS, FOR ITSELF AND IN RESPECT OF ITS PROPERTY, TO THE NON-EXCLUSIVE JURISDICTION OF THOSE COURTS. EACH PARTY HERETO IRREVOCABLY WAIVES ANY OBJECTION, INCLUDING ANY OBJECTION TO THE LAYING OF VENUE OR BASED ON THE GROUNDS OF </w:t>
      </w:r>
      <w:r>
        <w:rPr>
          <w:rFonts w:ascii="Times New Roman" w:cs="Times New Roman" w:eastAsia="Times New Roman" w:hAnsi="Times New Roman"/>
          <w:sz w:val="20"/>
          <w:szCs w:val="20"/>
          <w:i w:val="1"/>
          <w:iCs w:val="1"/>
          <w:color w:val="auto"/>
        </w:rPr>
        <w:t>FORUM NON CONVENIENS</w:t>
      </w:r>
      <w:r>
        <w:rPr>
          <w:rFonts w:ascii="Times New Roman" w:cs="Times New Roman" w:eastAsia="Times New Roman" w:hAnsi="Times New Roman"/>
          <w:sz w:val="20"/>
          <w:szCs w:val="20"/>
          <w:color w:val="auto"/>
        </w:rPr>
        <w:t>, WHICH IT MAY NOW OR HEREAFTER HAVE TO THE BRINGING OF ANY ACTION OR PROCEEDING IN SUCH JURISDICTION IN RESPECT OF ANY LOAN DOCUMENT OR OTHER DOCUMENT RELATED THERETO. EACH PARTY HERETO WAIVES PERSONAL SERVICE OF ANY SUMMONS, COMPLAINT OR OTHER PROCESS, WHICH MAY BE MADE BY ANY OTHER MEANS PERMITTED BY THE LAW OF SUCH STATE.</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u w:val="single" w:color="auto"/>
          <w:color w:val="auto"/>
        </w:rPr>
        <w:t>Waiver of Right to Trial by Jury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u w:val="single" w:color="auto"/>
          <w:color w:val="auto"/>
        </w:rPr>
        <w:t>USA PATRIOT Act Notice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13" w:right="339" w:bottom="1440" w:gutter="0" w:footer="0" w:header="0"/>
        </w:sectPr>
      </w:pPr>
    </w:p>
    <w:bookmarkStart w:id="152" w:name="page153"/>
    <w:bookmarkEnd w:id="152"/>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Lender that is subject to the Act (as hereinafter defined) and the Administrative Agent (for 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9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11.18</w:t>
      </w:r>
      <w:r>
        <w:rPr>
          <w:sz w:val="20"/>
          <w:szCs w:val="20"/>
          <w:color w:val="auto"/>
        </w:rPr>
        <w:tab/>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them to the Administrative Agent or the Lenders hereunder or under the other Loan Documents shall, notwithstanding any judgment in a currency (the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other than that in which such sum is denominated in accordance with the applicable provisions of this Agreement (the “</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u w:val="single" w:color="auto"/>
          <w:color w:val="auto"/>
        </w:rPr>
        <w:t>Concerning Joint and Several Liability of the Domestic Borrowers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4" w:lineRule="auto"/>
        <w:tabs>
          <w:tab w:leader="none" w:pos="115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Domestic Borrower is accepting joint and several liability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in consideration of the financial accommodation to be provided by the Lenders under this Agreement, for the mutual benefit, directly and indirectly, of each Domestic Borrower and in consideration of the undertakings of each Domestic Borrower to accept joint and several liability for the Obligations of each of the other Domestic Borrowers.</w:t>
      </w:r>
    </w:p>
    <w:p>
      <w:pPr>
        <w:spacing w:after="0" w:line="187" w:lineRule="exact"/>
        <w:rPr>
          <w:rFonts w:ascii="Times New Roman" w:cs="Times New Roman" w:eastAsia="Times New Roman" w:hAnsi="Times New Roman"/>
          <w:sz w:val="20"/>
          <w:szCs w:val="20"/>
          <w:color w:val="auto"/>
        </w:rPr>
      </w:pPr>
    </w:p>
    <w:p>
      <w:pPr>
        <w:jc w:val="both"/>
        <w:ind w:firstLine="656"/>
        <w:spacing w:after="0" w:line="258" w:lineRule="auto"/>
        <w:tabs>
          <w:tab w:leader="none" w:pos="108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Domestic Borrower jointly and severally hereby irrevocably and unconditionally accepts, not merely as a surety but also as a co-debtor, joint and several liability with the other Domestic Borrowers with respect to the payment and performance of all of the Obligations arising under this Agreement and the other Loan Documents, it being the intention of the parties hereto that all the Obligations shall be the joint and several obligations of each of the Domestic Borrowers without preferences or distinction among them.</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04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a Domestic Borrower shall fail to make any payment with respect to any of the Obligations hereunder as and when due or to perform any of such obligations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13" w:right="339" w:bottom="1440" w:gutter="0" w:footer="0" w:header="0"/>
        </w:sectPr>
      </w:pPr>
    </w:p>
    <w:bookmarkStart w:id="153" w:name="page154"/>
    <w:bookmarkEnd w:id="153"/>
    <w:p>
      <w:pPr>
        <w:spacing w:after="0" w:line="283" w:lineRule="auto"/>
        <w:rPr>
          <w:sz w:val="20"/>
          <w:szCs w:val="20"/>
          <w:color w:val="auto"/>
        </w:rPr>
      </w:pPr>
      <w:r>
        <w:rPr>
          <w:rFonts w:ascii="Times New Roman" w:cs="Times New Roman" w:eastAsia="Times New Roman" w:hAnsi="Times New Roman"/>
          <w:sz w:val="20"/>
          <w:szCs w:val="20"/>
          <w:color w:val="auto"/>
        </w:rPr>
        <w:t>with the terms thereof, then in each such event, the other Domestic Borrowers will make such payment with respect to, or perform, such obligation.</w:t>
      </w:r>
    </w:p>
    <w:p>
      <w:pPr>
        <w:spacing w:after="0" w:line="146" w:lineRule="exact"/>
        <w:rPr>
          <w:sz w:val="20"/>
          <w:szCs w:val="20"/>
          <w:color w:val="auto"/>
        </w:rPr>
      </w:pPr>
    </w:p>
    <w:p>
      <w:pPr>
        <w:jc w:val="both"/>
        <w:ind w:firstLine="656"/>
        <w:spacing w:after="0" w:line="261" w:lineRule="auto"/>
        <w:tabs>
          <w:tab w:leader="none" w:pos="111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each Domestic Borrower under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constitute full recourse obligations of such Domestic Borrower, enforceable against it to the full extent of its properties and assets, irrespective of the validity, regularity or enforceability of this Agreement or any other circumstances whatsoever.</w:t>
      </w:r>
    </w:p>
    <w:p>
      <w:pPr>
        <w:spacing w:after="0" w:line="181" w:lineRule="exact"/>
        <w:rPr>
          <w:rFonts w:ascii="Times New Roman" w:cs="Times New Roman" w:eastAsia="Times New Roman" w:hAnsi="Times New Roman"/>
          <w:sz w:val="20"/>
          <w:szCs w:val="20"/>
          <w:color w:val="auto"/>
        </w:rPr>
      </w:pPr>
    </w:p>
    <w:p>
      <w:pPr>
        <w:jc w:val="both"/>
        <w:ind w:firstLine="656"/>
        <w:spacing w:after="0" w:line="263" w:lineRule="auto"/>
        <w:tabs>
          <w:tab w:leader="none" w:pos="1115"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expressly provided herein, each Domestic Borrower hereby waives notice of acceptance of its joint and several liability, notice of occurrence of any Default (except to the extent notice is expressly required to be given pursuant to the terms of any Loan Document), or of any demand for any payment under this Agreement, notice of any action at any time taken or omitted by the Administrative Agent or the Lenders under or in respect of any of the Obligations hereunder, any requirement of diligence and, generally, all demands, notices and other formalities of every kind in connection with this Agreement (other than, in each case, any notice any Domestic Borrower has the express right to receive under the Loan Documents). Each Domestic Borrower hereby assents to, and waives notice of (other than, in each case, any notice any Domestic Borrower has the express right to receive under the Loan Documents), any extension or postponement of the time for the payment of any of the Obligations hereunder of the Domestic Borrowers, the acceptance of any partial payment thereon, any waiver, consent or other action or acquiescence by the Lenders at any time or times in respect of any default by any other Domestic Borrower in the performance or satisfaction of any term, covenant, condition or provision of this Agreement, any and all other indulgences whatsoever by the Lenders in respect of any of the Obligations hereunder of the other Domestic Borrowers, and the taking, addition, substitution or release, in whole or in part, at any time or times, of any security from any other Domestic Borrower for any of such Obligations or the addition, substitution or release, in whole or in part, of any other Domestic Borrower. Without limiting the generality of the foregoing, each Domestic Borrower assents to any other action or delay in acting or any failure to act without the other Borrowers on the part of the Administrative Agent or the Lenders, including, without limitation,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9"/>
          <w:szCs w:val="19"/>
          <w:u w:val="single" w:color="auto"/>
          <w:color w:val="auto"/>
        </w:rPr>
        <w:t>Section 11.19</w:t>
      </w:r>
      <w:r>
        <w:rPr>
          <w:rFonts w:ascii="Times New Roman" w:cs="Times New Roman" w:eastAsia="Times New Roman" w:hAnsi="Times New Roman"/>
          <w:sz w:val="19"/>
          <w:szCs w:val="19"/>
          <w:color w:val="auto"/>
        </w:rPr>
        <w:t xml:space="preserve">, afford grounds for terminating, discharging or relieving such Domestic Borrower, in whole or in part, from any of its obligations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11.19</w:t>
      </w:r>
      <w:r>
        <w:rPr>
          <w:rFonts w:ascii="Times New Roman" w:cs="Times New Roman" w:eastAsia="Times New Roman" w:hAnsi="Times New Roman"/>
          <w:sz w:val="19"/>
          <w:szCs w:val="19"/>
          <w:color w:val="auto"/>
        </w:rPr>
        <w:t xml:space="preserve">, it being the intention of each Domestic Borrower that, so long as any of the Obligations hereunder of the other Domestic Borrowers remain unsatisfied, the obligations of such Domestic Borrower under this </w:t>
      </w:r>
      <w:r>
        <w:rPr>
          <w:rFonts w:ascii="Times New Roman" w:cs="Times New Roman" w:eastAsia="Times New Roman" w:hAnsi="Times New Roman"/>
          <w:sz w:val="19"/>
          <w:szCs w:val="19"/>
          <w:u w:val="single" w:color="auto"/>
          <w:color w:val="auto"/>
        </w:rPr>
        <w:t>Section 11.19</w:t>
      </w:r>
      <w:r>
        <w:rPr>
          <w:rFonts w:ascii="Times New Roman" w:cs="Times New Roman" w:eastAsia="Times New Roman" w:hAnsi="Times New Roman"/>
          <w:sz w:val="19"/>
          <w:szCs w:val="19"/>
          <w:color w:val="auto"/>
        </w:rPr>
        <w:t xml:space="preserve"> shall not be discharged except by performance and then only to the extent of such performance. The obligations of each Domestic Borrower under this </w:t>
      </w:r>
      <w:r>
        <w:rPr>
          <w:rFonts w:ascii="Times New Roman" w:cs="Times New Roman" w:eastAsia="Times New Roman" w:hAnsi="Times New Roman"/>
          <w:sz w:val="19"/>
          <w:szCs w:val="19"/>
          <w:u w:val="single" w:color="auto"/>
          <w:color w:val="auto"/>
        </w:rPr>
        <w:t>Section 11.19</w:t>
      </w:r>
      <w:r>
        <w:rPr>
          <w:rFonts w:ascii="Times New Roman" w:cs="Times New Roman" w:eastAsia="Times New Roman" w:hAnsi="Times New Roman"/>
          <w:sz w:val="19"/>
          <w:szCs w:val="19"/>
          <w:color w:val="auto"/>
        </w:rPr>
        <w:t xml:space="preserve"> shall not be diminished or rendered unenforceable by any winding up, reorganization, arrangement, liquidation, reconstruction or similar proceeding with respect to any reconstruction or similar proceeding with respect to any Loan Party or the Lenders. The joint and several liability of the Domestic Borrowers under this </w:t>
      </w:r>
      <w:r>
        <w:rPr>
          <w:rFonts w:ascii="Times New Roman" w:cs="Times New Roman" w:eastAsia="Times New Roman" w:hAnsi="Times New Roman"/>
          <w:sz w:val="19"/>
          <w:szCs w:val="19"/>
          <w:u w:val="single" w:color="auto"/>
          <w:color w:val="auto"/>
        </w:rPr>
        <w:t>Section 11.19</w:t>
      </w:r>
      <w:r>
        <w:rPr>
          <w:rFonts w:ascii="Times New Roman" w:cs="Times New Roman" w:eastAsia="Times New Roman" w:hAnsi="Times New Roman"/>
          <w:sz w:val="19"/>
          <w:szCs w:val="19"/>
          <w:color w:val="auto"/>
        </w:rPr>
        <w:t xml:space="preserve"> shall continue in full force and effect notwithstanding any absorption, merger, amalgamation or any other change whatsoever in the name, membership, constitution or place of formation of any Loan Party or the Lenders.</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jc w:val="both"/>
        <w:ind w:firstLine="656"/>
        <w:spacing w:after="0" w:line="253" w:lineRule="auto"/>
        <w:tabs>
          <w:tab w:leader="none" w:pos="105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are made for the benefit of the Administrative Agent and the Lenders and their respective successors and assigns, and may be enforced by any such Person from time to time against any of the Domestic Borrowers as often as occasion therefore may arise and without requirement on the part of any Lender first to marshal any of its claims or to exercise any of its rights against any other Loan Party or to exhaust any remedies available to it against any other Loan Party or to resort to any other source or means of obtaining payment of any of the Obligations or to elect any other remedy.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shall remain in effect until all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13" w:right="339" w:bottom="1440" w:gutter="0" w:footer="0" w:header="0"/>
        </w:sectPr>
      </w:pPr>
    </w:p>
    <w:bookmarkStart w:id="154" w:name="page155"/>
    <w:bookmarkEnd w:id="154"/>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hereunder shall have been paid in full or otherwise fully satisfied. If at any time, any payment, or any part thereof, made in respect of any of the Obligations, is rescinded or must otherwise be restored or returned by the Lenders upon the insolvency, bankruptcy or reorganization of any of the Loan Parties, or otherwise,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will forthwith be reinstated and in effect as though such payment had not been made.</w:t>
      </w:r>
    </w:p>
    <w:p>
      <w:pPr>
        <w:spacing w:after="0" w:line="172" w:lineRule="exact"/>
        <w:rPr>
          <w:sz w:val="20"/>
          <w:szCs w:val="20"/>
          <w:color w:val="auto"/>
        </w:rPr>
      </w:pPr>
    </w:p>
    <w:p>
      <w:pPr>
        <w:jc w:val="both"/>
        <w:ind w:firstLine="656"/>
        <w:spacing w:after="0" w:line="258" w:lineRule="auto"/>
        <w:tabs>
          <w:tab w:leader="none" w:pos="107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provision to the contrary contained herein or in any other of the Loan Documents or Hedging Agreements or Treasury Management Agreements, the obligations of each Domestic Borrower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shall be limited to an aggregate amount equal to the largest amount that would not render its obligations hereunder subject to avoidance under Section 548 of the Bankruptcy Code of the United States or any comparable provisions of any applicable Debtor Relief Law.</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clarification with respect to the Designated Borrowers that are Foreign Subsidiaries, (i) the Obligations of such Designated Borrowers are several and not joint and several and (ii)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the Company and the other Domestic Borrowers shall guarantee the Obligations of such Designated Borrowers.</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11.20</w:t>
      </w:r>
      <w:r>
        <w:rPr>
          <w:sz w:val="20"/>
          <w:szCs w:val="20"/>
          <w:color w:val="auto"/>
        </w:rPr>
        <w:tab/>
      </w:r>
      <w:r>
        <w:rPr>
          <w:rFonts w:ascii="Times New Roman" w:cs="Times New Roman" w:eastAsia="Times New Roman" w:hAnsi="Times New Roman"/>
          <w:sz w:val="19"/>
          <w:szCs w:val="19"/>
          <w:u w:val="single" w:color="auto"/>
          <w:color w:val="auto"/>
        </w:rPr>
        <w:t>Subordination of Intercompany Debt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Loan Party agrees that all intercompany Debt among Loan Parties (the “</w:t>
      </w:r>
      <w:r>
        <w:rPr>
          <w:rFonts w:ascii="Times New Roman" w:cs="Times New Roman" w:eastAsia="Times New Roman" w:hAnsi="Times New Roman"/>
          <w:sz w:val="20"/>
          <w:szCs w:val="20"/>
          <w:u w:val="single" w:color="auto"/>
          <w:color w:val="auto"/>
        </w:rPr>
        <w:t>Intercompany Debt</w:t>
      </w:r>
      <w:r>
        <w:rPr>
          <w:rFonts w:ascii="Times New Roman" w:cs="Times New Roman" w:eastAsia="Times New Roman" w:hAnsi="Times New Roman"/>
          <w:sz w:val="20"/>
          <w:szCs w:val="20"/>
          <w:color w:val="auto"/>
        </w:rPr>
        <w:t xml:space="preserve">”) is subordinated in right of payment, to the prior payment in full of all Obligations (other than contingent obligations not yet due and payable). Notwithstanding any provision of this Agreement to the contrary, provided that no Event of Default has occurred and is continuing, Loan Parties may make and receive payments with respect to the Intercompany Debt to the extent otherwise permitted by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of and during the continuation of any Event of Default, no payment shall be made by or on behalf of any Loan Party on account of any Intercompany Debt. In the event that any Loan Party receives any payment of any Intercompany Debt at a time when such payment is prohibited by this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such payment shall be held by such Loan Party, in trust for the benefit of, and shall be paid forthwith over and delivered, upon written request, to, the Administrative Agent</w:t>
      </w:r>
    </w:p>
    <w:p>
      <w:pPr>
        <w:spacing w:after="0" w:line="19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11.21</w:t>
      </w:r>
      <w:r>
        <w:rPr>
          <w:sz w:val="20"/>
          <w:szCs w:val="20"/>
          <w:color w:val="auto"/>
        </w:rPr>
        <w:tab/>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any Lender has any obligation to the Loan Parties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58" w:lineRule="auto"/>
        <w:rPr>
          <w:sz w:val="20"/>
          <w:szCs w:val="20"/>
          <w:color w:val="auto"/>
        </w:rPr>
      </w:pPr>
      <w:r>
        <w:rPr>
          <w:rFonts w:ascii="Times New Roman" w:cs="Times New Roman" w:eastAsia="Times New Roman" w:hAnsi="Times New Roman"/>
          <w:sz w:val="20"/>
          <w:szCs w:val="20"/>
          <w:color w:val="auto"/>
        </w:rPr>
        <w:t>the Loan Parties and their respective Affiliates, and neither the Administrative Agent, the Arrangers nor any Lender has any obligation to disclose any of such interests to the Loan Parties and their respective Affiliates. To the fullest extent permitted by Law, each of the Loan Parties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7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11.22</w:t>
      </w:r>
      <w:r>
        <w:rPr>
          <w:sz w:val="20"/>
          <w:szCs w:val="20"/>
          <w:color w:val="auto"/>
        </w:rPr>
        <w:tab/>
      </w:r>
      <w:r>
        <w:rPr>
          <w:rFonts w:ascii="Times New Roman" w:cs="Times New Roman" w:eastAsia="Times New Roman" w:hAnsi="Times New Roman"/>
          <w:sz w:val="19"/>
          <w:szCs w:val="19"/>
          <w:u w:val="single" w:color="auto"/>
          <w:color w:val="auto"/>
        </w:rPr>
        <w:t>Electronic Execution of Assignments and Certain Other Documents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words “execute,” “execution,” “signed,” “signature,” and words of like import in or related to any document to be signed in connection with this Agreement, any other document executed in connection herewith and the transactions contemplated hereby (including without limitation Assignment and Assumptions, amendments or other modifications,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without limiting the foregoing, upon the request of any party, any electronic signature shall be promptly followed by such manually executed counterpart.</w:t>
      </w:r>
    </w:p>
    <w:p>
      <w:pPr>
        <w:spacing w:after="0" w:line="17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11.23</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2" w:lineRule="exact"/>
        <w:rPr>
          <w:sz w:val="20"/>
          <w:szCs w:val="20"/>
          <w:color w:val="auto"/>
        </w:rPr>
      </w:pPr>
    </w:p>
    <w:p>
      <w:pPr>
        <w:ind w:firstLine="656"/>
        <w:spacing w:after="0" w:line="269" w:lineRule="auto"/>
        <w:tabs>
          <w:tab w:leader="none" w:pos="1048"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51"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13" w:right="339" w:bottom="1440" w:gutter="0" w:footer="0" w:header="0"/>
        </w:sectPr>
      </w:pPr>
    </w:p>
    <w:bookmarkStart w:id="156" w:name="page157"/>
    <w:bookmarkEnd w:id="156"/>
    <w:p>
      <w:pPr>
        <w:ind w:left="660" w:right="200" w:firstLine="644"/>
        <w:spacing w:after="0" w:line="283" w:lineRule="auto"/>
        <w:tabs>
          <w:tab w:leader="none" w:pos="178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11.24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xml:space="preserve"> .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Illinois and/or of the United States or any other state of the United States):</w:t>
      </w:r>
    </w:p>
    <w:p>
      <w:pPr>
        <w:spacing w:after="0" w:line="179" w:lineRule="exact"/>
        <w:rPr>
          <w:sz w:val="20"/>
          <w:szCs w:val="20"/>
          <w:color w:val="auto"/>
        </w:rPr>
      </w:pPr>
    </w:p>
    <w:p>
      <w:pPr>
        <w:jc w:val="both"/>
        <w:ind w:firstLine="656"/>
        <w:spacing w:after="0" w:line="251" w:lineRule="auto"/>
        <w:tabs>
          <w:tab w:leader="none" w:pos="104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11.24</w:t>
      </w:r>
      <w:r>
        <w:rPr>
          <w:rFonts w:ascii="Times New Roman" w:cs="Times New Roman" w:eastAsia="Times New Roman" w:hAnsi="Times New Roman"/>
          <w:sz w:val="20"/>
          <w:szCs w:val="20"/>
          <w:color w:val="auto"/>
        </w:rPr>
        <w:t>, the following terms have the following meanings:</w:t>
      </w:r>
    </w:p>
    <w:p>
      <w:pPr>
        <w:spacing w:after="0" w:line="229" w:lineRule="exact"/>
        <w:rPr>
          <w:sz w:val="20"/>
          <w:szCs w:val="20"/>
          <w:color w:val="auto"/>
        </w:rPr>
      </w:pPr>
    </w:p>
    <w:p>
      <w:pPr>
        <w:jc w:val="both"/>
        <w:ind w:left="660" w:firstLine="917"/>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73" w:lineRule="exact"/>
        <w:rPr>
          <w:sz w:val="20"/>
          <w:szCs w:val="20"/>
          <w:color w:val="auto"/>
        </w:rPr>
      </w:pPr>
    </w:p>
    <w:p>
      <w:pPr>
        <w:jc w:val="both"/>
        <w:ind w:left="660" w:firstLine="1295"/>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8" w:lineRule="exact"/>
        <w:rPr>
          <w:sz w:val="20"/>
          <w:szCs w:val="20"/>
          <w:color w:val="auto"/>
        </w:rPr>
      </w:pPr>
    </w:p>
    <w:p>
      <w:pPr>
        <w:jc w:val="both"/>
        <w:ind w:left="660" w:right="20" w:firstLine="81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ind w:left="660" w:right="160" w:firstLine="791"/>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11.25</w:t>
      </w:r>
      <w:r>
        <w:rPr>
          <w:sz w:val="20"/>
          <w:szCs w:val="20"/>
          <w:color w:val="auto"/>
        </w:rPr>
        <w:tab/>
      </w:r>
      <w:r>
        <w:rPr>
          <w:rFonts w:ascii="Times New Roman" w:cs="Times New Roman" w:eastAsia="Times New Roman" w:hAnsi="Times New Roman"/>
          <w:sz w:val="19"/>
          <w:szCs w:val="19"/>
          <w:u w:val="single" w:color="auto"/>
          <w:color w:val="auto"/>
        </w:rPr>
        <w:t>Erroneous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13" w:right="339" w:bottom="1440" w:gutter="0" w:footer="0" w:header="0"/>
        </w:sectPr>
      </w:pPr>
    </w:p>
    <w:bookmarkStart w:id="157" w:name="page158"/>
    <w:bookmarkEnd w:id="157"/>
    <w:p>
      <w:pPr>
        <w:jc w:val="both"/>
        <w:ind w:firstLine="656"/>
        <w:spacing w:after="0" w:line="249" w:lineRule="auto"/>
        <w:tabs>
          <w:tab w:leader="none" w:pos="128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or other holder of any Obligations (each, a “</w:t>
      </w:r>
      <w:r>
        <w:rPr>
          <w:rFonts w:ascii="Times New Roman" w:cs="Times New Roman" w:eastAsia="Times New Roman" w:hAnsi="Times New Roman"/>
          <w:sz w:val="20"/>
          <w:szCs w:val="20"/>
          <w:u w:val="single" w:color="auto"/>
          <w:color w:val="auto"/>
        </w:rPr>
        <w:t>Lender Party</w:t>
      </w:r>
      <w:r>
        <w:rPr>
          <w:rFonts w:ascii="Times New Roman" w:cs="Times New Roman" w:eastAsia="Times New Roman" w:hAnsi="Times New Roman"/>
          <w:sz w:val="20"/>
          <w:szCs w:val="20"/>
          <w:color w:val="auto"/>
        </w:rPr>
        <w:t>”), or any Person who has received funds on behalf of a Lender Party (any such Lender Party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that the Administrative Agent has determined in its sole discretion (whether or not after receipt of any notice under Section 11.25(b)) that any funds received by such Payment Recipient from the Administrative Agent or any of its Affiliates were erroneously transmitted to, or otherwise erroneously received by, such Payment Recipient (whether or not such error is known to any Payment Recipient)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0"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Section 11.25(a),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 prepayment or repayment, (y) was not preceded or accompanied by a notice of payment, prepayment or repayment sent by the Administrative Agent (or any of its Affiliates), or (z) such Payment Recipient otherwise becomes aware was transmitted, or received, in error (in whole or in part):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54"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the case of immediately preceding clause (x) or (y), an error shall be presumed to have been made (absent written confirmation from the Administrative Agent to the contrary) or (B) in the case of immediately preceding clause (z), an error has been made, in each case, with respect to such payment, prepayment or repayment;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Recipient shall promptly (and, in all events, within one Business Day of its knowledge of such error or presumed error) notify the Administrative Agent of its receipt of such payment, prepayment or repayment, the details thereof (in reasonable detail) and that it is so notifying the Administrative Agent pursuant to this Section 11.25(b).</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Party hereby authorizes the Administrative Agent to set off, net and apply any and all amounts at any time owing to such Lender Party under any Loan Document, or otherwise payable or distributable by the Administrative Agent to such Lender Party from any source, against any amount due to the Administrative Agent under Section 11.25(a) or under the indemnification provisions of this Agreement.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Erroneous Payment shall not pay, prepay, repay, discharge or otherwise satisfy any Obligations, except to the extent such Erroneous Payment comprises funds received by the Administrative Agent from a Loan Party for the purpose of making such Erroneous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13" w:right="339" w:bottom="1440" w:gutter="0" w:footer="0" w:header="0"/>
        </w:sectPr>
      </w:pPr>
    </w:p>
    <w:bookmarkStart w:id="158" w:name="page159"/>
    <w:bookmarkEnd w:id="158"/>
    <w:p>
      <w:pPr>
        <w:jc w:val="both"/>
        <w:ind w:left="-20" w:firstLine="656"/>
        <w:spacing w:after="0" w:line="258" w:lineRule="auto"/>
        <w:tabs>
          <w:tab w:leader="none" w:pos="126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each Payment Recipient hereby agrees not to assert any right or claim to an Erroneous Payment, and hereby waives, and is deemed to waive, any claim, counterclaim, defense or right of set-off or recoupment, including without limitation any defense based on “discharge for value” or any similar doctrine, with respect to any demand, claim or counterclaim by the Administrative Agent for the return of any Erroneous Payment.</w:t>
      </w:r>
    </w:p>
    <w:p>
      <w:pPr>
        <w:spacing w:after="0" w:line="172" w:lineRule="exact"/>
        <w:rPr>
          <w:rFonts w:ascii="Times New Roman" w:cs="Times New Roman" w:eastAsia="Times New Roman" w:hAnsi="Times New Roman"/>
          <w:sz w:val="20"/>
          <w:szCs w:val="20"/>
          <w:color w:val="auto"/>
        </w:rPr>
      </w:pPr>
    </w:p>
    <w:p>
      <w:pPr>
        <w:jc w:val="both"/>
        <w:ind w:left="-20" w:firstLine="656"/>
        <w:spacing w:after="0" w:line="268" w:lineRule="auto"/>
        <w:tabs>
          <w:tab w:leader="none" w:pos="1271"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agreements under this Section 11.25 shall survive the resignation or replacement of the Administrative Agent, any transfer of rights or obligations by, or the replacement of, a Lender, the termination of the Commitments, or the repayment, satisfaction or discharge of any or all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1."/>
      <w:numFmt w:val="decimal"/>
      <w:start w:val="1"/>
    </w:lvl>
    <w:lvl w:ilvl="1">
      <w:lvlJc w:val="left"/>
      <w:lvlText w:val="(%2)"/>
      <w:numFmt w:val="lowerLetter"/>
      <w:start w:val="1"/>
    </w:lvl>
  </w:abstractNum>
  <w:abstractNum w:abstractNumId="2">
    <w:nsid w:val="7FFFCA11"/>
    <w:multiLevelType w:val="hybridMultilevel"/>
    <w:lvl w:ilvl="0">
      <w:lvlJc w:val="left"/>
      <w:lvlText w:val="%1"/>
      <w:numFmt w:val="decimal"/>
      <w:start w:val="1"/>
    </w:lvl>
    <w:lvl w:ilvl="1">
      <w:lvlJc w:val="left"/>
      <w:lvlText w:val="(%2)"/>
      <w:numFmt w:val="lowerLetter"/>
      <w:start w:val="4"/>
    </w:lvl>
  </w:abstractNum>
  <w:abstractNum w:abstractNumId="3">
    <w:nsid w:val="1A27709E"/>
    <w:multiLevelType w:val="hybridMultilevel"/>
    <w:lvl w:ilvl="0">
      <w:lvlJc w:val="left"/>
      <w:lvlText w:val="%1."/>
      <w:numFmt w:val="decimal"/>
      <w:start w:val="4"/>
    </w:lvl>
    <w:lvl w:ilvl="1">
      <w:lvlJc w:val="left"/>
      <w:lvlText w:val="(%2)"/>
      <w:numFmt w:val="lowerLetter"/>
      <w:start w:val="1"/>
    </w:lvl>
  </w:abstractNum>
  <w:abstractNum w:abstractNumId="4">
    <w:nsid w:val="71EA1109"/>
    <w:multiLevelType w:val="hybridMultilevel"/>
    <w:lvl w:ilvl="0">
      <w:lvlJc w:val="left"/>
      <w:lvlText w:val="%1"/>
      <w:numFmt w:val="decimal"/>
      <w:start w:val="1"/>
    </w:lvl>
    <w:lvl w:ilvl="1">
      <w:lvlJc w:val="left"/>
      <w:lvlText w:val="(%2)"/>
      <w:numFmt w:val="lowerLetter"/>
      <w:start w:val="3"/>
    </w:lvl>
  </w:abstractNum>
  <w:abstractNum w:abstractNumId="5">
    <w:nsid w:val="100F59DC"/>
    <w:multiLevelType w:val="hybridMultilevel"/>
    <w:lvl w:ilvl="0">
      <w:lvlJc w:val="left"/>
      <w:lvlText w:val="%1."/>
      <w:numFmt w:val="decimal"/>
      <w:start w:val="6"/>
    </w:lvl>
    <w:lvl w:ilvl="1">
      <w:lvlJc w:val="left"/>
      <w:lvlText w:val="(%2)"/>
      <w:numFmt w:val="lowerLetter"/>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1)"/>
      <w:numFmt w:val="decimal"/>
      <w:start w:val="1"/>
    </w:lvl>
  </w:abstractNum>
  <w:abstractNum w:abstractNumId="8">
    <w:nsid w:val="6F6DD9AC"/>
    <w:multiLevelType w:val="hybridMultilevel"/>
    <w:lvl w:ilvl="0">
      <w:lvlJc w:val="left"/>
      <w:lvlText w:val="(%1)"/>
      <w:numFmt w:val="decimal"/>
      <w:start w:val="1"/>
    </w:lvl>
  </w:abstractNum>
  <w:abstractNum w:abstractNumId="9">
    <w:nsid w:val="94211F2"/>
    <w:multiLevelType w:val="hybridMultilevel"/>
    <w:lvl w:ilvl="0">
      <w:lvlJc w:val="left"/>
      <w:lvlText w:val="(%1)"/>
      <w:numFmt w:val="decimal"/>
      <w:start w:val="3"/>
    </w:lvl>
  </w:abstractNum>
  <w:abstractNum w:abstractNumId="10">
    <w:nsid w:val="885E1B"/>
    <w:multiLevelType w:val="hybridMultilevel"/>
    <w:lvl w:ilvl="0">
      <w:lvlJc w:val="left"/>
      <w:lvlText w:val="(%1)"/>
      <w:numFmt w:val="decimal"/>
      <w:start w:val="1"/>
    </w:lvl>
  </w:abstractNum>
  <w:abstractNum w:abstractNumId="11">
    <w:nsid w:val="76272110"/>
    <w:multiLevelType w:val="hybridMultilevel"/>
    <w:lvl w:ilvl="0">
      <w:lvlJc w:val="left"/>
      <w:lvlText w:val="(%1)"/>
      <w:numFmt w:val="lowerRoman"/>
      <w:start w:val="2"/>
    </w:lvl>
  </w:abstractNum>
  <w:abstractNum w:abstractNumId="12">
    <w:nsid w:val="4C04A8AF"/>
    <w:multiLevelType w:val="hybridMultilevel"/>
    <w:lvl w:ilvl="0">
      <w:lvlJc w:val="left"/>
      <w:lvlText w:val="(%1)"/>
      <w:numFmt w:val="lowerLetter"/>
      <w:start w:val="2"/>
    </w:lvl>
  </w:abstractNum>
  <w:abstractNum w:abstractNumId="13">
    <w:nsid w:val="1716703B"/>
    <w:multiLevelType w:val="hybridMultilevel"/>
    <w:lvl w:ilvl="0">
      <w:lvlJc w:val="left"/>
      <w:lvlText w:val="(%1)"/>
      <w:numFmt w:val="lowerLetter"/>
      <w:start w:val="2"/>
    </w:lvl>
  </w:abstractNum>
  <w:abstractNum w:abstractNumId="14">
    <w:nsid w:val="14E17E33"/>
    <w:multiLevelType w:val="hybridMultilevel"/>
    <w:lvl w:ilvl="0">
      <w:lvlJc w:val="left"/>
      <w:lvlText w:val="(%1)"/>
      <w:numFmt w:val="lowerRoman"/>
      <w:start w:val="1"/>
    </w:lvl>
  </w:abstractNum>
  <w:abstractNum w:abstractNumId="15">
    <w:nsid w:val="3222E7CD"/>
    <w:multiLevelType w:val="hybridMultilevel"/>
    <w:lvl w:ilvl="0">
      <w:lvlJc w:val="left"/>
      <w:lvlText w:val="(%1)"/>
      <w:numFmt w:val="lowerRoman"/>
      <w:start w:val="2"/>
    </w:lvl>
  </w:abstractNum>
  <w:abstractNum w:abstractNumId="16">
    <w:nsid w:val="74DE0EE3"/>
    <w:multiLevelType w:val="hybridMultilevel"/>
    <w:lvl w:ilvl="0">
      <w:lvlJc w:val="left"/>
      <w:lvlText w:val="(%1)"/>
      <w:numFmt w:val="lowerLetter"/>
      <w:start w:val="1"/>
    </w:lvl>
  </w:abstractNum>
  <w:abstractNum w:abstractNumId="17">
    <w:nsid w:val="68EBC550"/>
    <w:multiLevelType w:val="hybridMultilevel"/>
    <w:lvl w:ilvl="0">
      <w:lvlJc w:val="left"/>
      <w:lvlText w:val="(%1)"/>
      <w:numFmt w:val="lowerRoman"/>
      <w:start w:val="2"/>
    </w:lvl>
  </w:abstractNum>
  <w:abstractNum w:abstractNumId="18">
    <w:nsid w:val="2DF6D648"/>
    <w:multiLevelType w:val="hybridMultilevel"/>
    <w:lvl w:ilvl="0">
      <w:lvlJc w:val="left"/>
      <w:lvlText w:val="(%1)"/>
      <w:numFmt w:val="lowerRoman"/>
      <w:start w:val="2"/>
    </w:lvl>
  </w:abstractNum>
  <w:abstractNum w:abstractNumId="19">
    <w:nsid w:val="46B7D447"/>
    <w:multiLevelType w:val="hybridMultilevel"/>
    <w:lvl w:ilvl="0">
      <w:lvlJc w:val="left"/>
      <w:lvlText w:val="(%1)"/>
      <w:numFmt w:val="lowerLetter"/>
      <w:start w:val="1"/>
    </w:lvl>
    <w:lvl w:ilvl="1">
      <w:lvlJc w:val="left"/>
      <w:lvlText w:val="(%2)"/>
      <w:numFmt w:val="lowerLetter"/>
      <w:start w:val="35"/>
    </w:lvl>
  </w:abstractNum>
  <w:abstractNum w:abstractNumId="20">
    <w:nsid w:val="4A2AC315"/>
    <w:multiLevelType w:val="hybridMultilevel"/>
    <w:lvl w:ilvl="0">
      <w:lvlJc w:val="left"/>
      <w:lvlText w:val="%1"/>
      <w:numFmt w:val="lowerLetter"/>
      <w:start w:val="1"/>
    </w:lvl>
    <w:lvl w:ilvl="1">
      <w:lvlJc w:val="left"/>
      <w:lvlText w:val="(%2)"/>
      <w:numFmt w:val="lowerRoman"/>
      <w:start w:val="3"/>
    </w:lvl>
  </w:abstractNum>
  <w:abstractNum w:abstractNumId="21">
    <w:nsid w:val="39EE015C"/>
    <w:multiLevelType w:val="hybridMultilevel"/>
    <w:lvl w:ilvl="0">
      <w:lvlJc w:val="left"/>
      <w:lvlText w:val="(%1)"/>
      <w:numFmt w:val="lowerLetter"/>
      <w:start w:val="3"/>
    </w:lvl>
    <w:lvl w:ilvl="1">
      <w:lvlJc w:val="left"/>
      <w:lvlText w:val="%2"/>
      <w:numFmt w:val="lowerRoman"/>
      <w:start w:val="1"/>
    </w:lvl>
  </w:abstractNum>
  <w:abstractNum w:abstractNumId="22">
    <w:nsid w:val="57FC4FBB"/>
    <w:multiLevelType w:val="hybridMultilevel"/>
    <w:lvl w:ilvl="0">
      <w:lvlJc w:val="left"/>
      <w:lvlText w:val="(%1)"/>
      <w:numFmt w:val="lowerLetter"/>
      <w:start w:val="1"/>
    </w:lvl>
  </w:abstractNum>
  <w:abstractNum w:abstractNumId="23">
    <w:nsid w:val="CC1016F"/>
    <w:multiLevelType w:val="hybridMultilevel"/>
    <w:lvl w:ilvl="0">
      <w:lvlJc w:val="left"/>
      <w:lvlText w:val="(%1)"/>
      <w:numFmt w:val="lowerLetter"/>
      <w:start w:val="1"/>
    </w:lvl>
  </w:abstractNum>
  <w:abstractNum w:abstractNumId="24">
    <w:nsid w:val="43F18422"/>
    <w:multiLevelType w:val="hybridMultilevel"/>
    <w:lvl w:ilvl="0">
      <w:lvlJc w:val="left"/>
      <w:lvlText w:val="(%1)"/>
      <w:numFmt w:val="lowerLetter"/>
      <w:start w:val="1"/>
    </w:lvl>
  </w:abstractNum>
  <w:abstractNum w:abstractNumId="25">
    <w:nsid w:val="60EF0119"/>
    <w:multiLevelType w:val="hybridMultilevel"/>
    <w:lvl w:ilvl="0">
      <w:lvlJc w:val="left"/>
      <w:lvlText w:val="(%1)"/>
      <w:numFmt w:val="lowerLetter"/>
      <w:start w:val="2"/>
    </w:lvl>
  </w:abstractNum>
  <w:abstractNum w:abstractNumId="26">
    <w:nsid w:val="26F324BA"/>
    <w:multiLevelType w:val="hybridMultilevel"/>
    <w:lvl w:ilvl="0">
      <w:lvlJc w:val="left"/>
      <w:lvlText w:val="(%1)"/>
      <w:numFmt w:val="lowerLetter"/>
      <w:start w:val="1"/>
    </w:lvl>
  </w:abstractNum>
  <w:abstractNum w:abstractNumId="27">
    <w:nsid w:val="7F01579B"/>
    <w:multiLevelType w:val="hybridMultilevel"/>
    <w:lvl w:ilvl="0">
      <w:lvlJc w:val="left"/>
      <w:lvlText w:val="(%1)"/>
      <w:numFmt w:val="lowerLetter"/>
      <w:start w:val="2"/>
    </w:lvl>
  </w:abstractNum>
  <w:abstractNum w:abstractNumId="28">
    <w:nsid w:val="49DA307D"/>
    <w:multiLevelType w:val="hybridMultilevel"/>
    <w:lvl w:ilvl="0">
      <w:lvlJc w:val="left"/>
      <w:lvlText w:val="(%1)"/>
      <w:numFmt w:val="lowerLetter"/>
      <w:start w:val="1"/>
    </w:lvl>
  </w:abstractNum>
  <w:abstractNum w:abstractNumId="29">
    <w:nsid w:val="7055A5F5"/>
    <w:multiLevelType w:val="hybridMultilevel"/>
    <w:lvl w:ilvl="0">
      <w:lvlJc w:val="left"/>
      <w:lvlText w:val="(%1)"/>
      <w:numFmt w:val="lowerRoman"/>
      <w:start w:val="1"/>
    </w:lvl>
  </w:abstractNum>
  <w:abstractNum w:abstractNumId="30">
    <w:nsid w:val="5FB8370B"/>
    <w:multiLevelType w:val="hybridMultilevel"/>
    <w:lvl w:ilvl="0">
      <w:lvlJc w:val="left"/>
      <w:lvlText w:val="(%1)"/>
      <w:numFmt w:val="lowerLetter"/>
      <w:start w:val="1"/>
    </w:lvl>
  </w:abstractNum>
  <w:abstractNum w:abstractNumId="31">
    <w:nsid w:val="50801EE1"/>
    <w:multiLevelType w:val="hybridMultilevel"/>
    <w:lvl w:ilvl="0">
      <w:lvlJc w:val="left"/>
      <w:lvlText w:val="(%1)"/>
      <w:numFmt w:val="lowerLetter"/>
      <w:start w:val="61"/>
    </w:lvl>
    <w:lvl w:ilvl="1">
      <w:lvlJc w:val="left"/>
      <w:lvlText w:val="(%2)"/>
      <w:numFmt w:val="lowerLetter"/>
      <w:start w:val="2"/>
    </w:lvl>
  </w:abstractNum>
  <w:abstractNum w:abstractNumId="32">
    <w:nsid w:val="488AC1A"/>
    <w:multiLevelType w:val="hybridMultilevel"/>
    <w:lvl w:ilvl="0">
      <w:lvlJc w:val="left"/>
      <w:lvlText w:val="(%1)"/>
      <w:numFmt w:val="lowerLetter"/>
      <w:start w:val="4"/>
    </w:lvl>
  </w:abstractNum>
  <w:abstractNum w:abstractNumId="33">
    <w:nsid w:val="5FB801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
    <w:nsid w:val="6AA78F7F"/>
    <w:multiLevelType w:val="hybridMultilevel"/>
    <w:lvl w:ilvl="0">
      <w:lvlJc w:val="left"/>
      <w:lvlText w:val="(%1)"/>
      <w:numFmt w:val="lowerRoman"/>
      <w:start w:val="3"/>
    </w:lvl>
    <w:lvl w:ilvl="1">
      <w:lvlJc w:val="left"/>
      <w:lvlText w:val="(%2)"/>
      <w:numFmt w:val="upperLetter"/>
      <w:start w:val="1"/>
    </w:lvl>
  </w:abstractNum>
  <w:abstractNum w:abstractNumId="35">
    <w:nsid w:val="7672BD23"/>
    <w:multiLevelType w:val="hybridMultilevel"/>
    <w:lvl w:ilvl="0">
      <w:lvlJc w:val="left"/>
      <w:lvlText w:val="%1"/>
      <w:numFmt w:val="lowerLetter"/>
      <w:start w:val="1"/>
    </w:lvl>
    <w:lvl w:ilvl="1">
      <w:lvlJc w:val="left"/>
      <w:lvlText w:val="(%2)"/>
      <w:numFmt w:val="lowerRoman"/>
      <w:start w:val="6"/>
    </w:lvl>
  </w:abstractNum>
  <w:abstractNum w:abstractNumId="36">
    <w:nsid w:val="6FC75AF8"/>
    <w:multiLevelType w:val="hybridMultilevel"/>
    <w:lvl w:ilvl="0">
      <w:lvlJc w:val="left"/>
      <w:lvlText w:val="(%1)"/>
      <w:numFmt w:val="lowerLetter"/>
      <w:start w:val="2"/>
    </w:lvl>
    <w:lvl w:ilvl="1">
      <w:lvlJc w:val="left"/>
      <w:lvlText w:val="(%2)"/>
      <w:numFmt w:val="lowerRoman"/>
      <w:start w:val="1"/>
    </w:lvl>
  </w:abstractNum>
  <w:abstractNum w:abstractNumId="37">
    <w:nsid w:val="6A5F7029"/>
    <w:multiLevelType w:val="hybridMultilevel"/>
    <w:lvl w:ilvl="0">
      <w:lvlJc w:val="left"/>
      <w:lvlText w:val="%1"/>
      <w:numFmt w:val="lowerLetter"/>
      <w:start w:val="1"/>
    </w:lvl>
    <w:lvl w:ilvl="1">
      <w:lvlJc w:val="left"/>
      <w:lvlText w:val="(%2)"/>
      <w:numFmt w:val="lowerRoman"/>
      <w:start w:val="2"/>
    </w:lvl>
  </w:abstractNum>
  <w:abstractNum w:abstractNumId="38">
    <w:nsid w:val="7D5E18F8"/>
    <w:multiLevelType w:val="hybridMultilevel"/>
    <w:lvl w:ilvl="0">
      <w:lvlJc w:val="left"/>
      <w:lvlText w:val="(%1)"/>
      <w:numFmt w:val="lowerLetter"/>
      <w:start w:val="3"/>
    </w:lvl>
    <w:lvl w:ilvl="1">
      <w:lvlJc w:val="left"/>
      <w:lvlText w:val="(%2)"/>
      <w:numFmt w:val="lowerRoman"/>
      <w:start w:val="1"/>
    </w:lvl>
  </w:abstractNum>
  <w:abstractNum w:abstractNumId="39">
    <w:nsid w:val="5F3534A4"/>
    <w:multiLevelType w:val="hybridMultilevel"/>
    <w:lvl w:ilvl="0">
      <w:lvlJc w:val="left"/>
      <w:lvlText w:val="(%1)"/>
      <w:numFmt w:val="lowerRoman"/>
      <w:start w:val="2"/>
    </w:lvl>
  </w:abstractNum>
  <w:abstractNum w:abstractNumId="40">
    <w:nsid w:val="73A1821B"/>
    <w:multiLevelType w:val="hybridMultilevel"/>
    <w:lvl w:ilvl="0">
      <w:lvlJc w:val="left"/>
      <w:lvlText w:val="%1"/>
      <w:numFmt w:val="lowerLetter"/>
      <w:start w:val="1"/>
    </w:lvl>
    <w:lvl w:ilvl="1">
      <w:lvlJc w:val="left"/>
      <w:lvlText w:val="(%2)"/>
      <w:numFmt w:val="lowerRoman"/>
      <w:start w:val="4"/>
    </w:lvl>
  </w:abstractNum>
  <w:abstractNum w:abstractNumId="41">
    <w:nsid w:val="7DE67713"/>
    <w:multiLevelType w:val="hybridMultilevel"/>
    <w:lvl w:ilvl="0">
      <w:lvlJc w:val="left"/>
      <w:lvlText w:val="(%1)"/>
      <w:numFmt w:val="lowerLetter"/>
      <w:start w:val="4"/>
    </w:lvl>
    <w:lvl w:ilvl="1">
      <w:lvlJc w:val="left"/>
      <w:lvlText w:val="(%2)"/>
      <w:numFmt w:val="lowerRoman"/>
      <w:start w:val="1"/>
    </w:lvl>
  </w:abstractNum>
  <w:abstractNum w:abstractNumId="42">
    <w:nsid w:val="555C55B5"/>
    <w:multiLevelType w:val="hybridMultilevel"/>
    <w:lvl w:ilvl="0">
      <w:lvlJc w:val="left"/>
      <w:lvlText w:val="(%1)"/>
      <w:numFmt w:val="lowerLetter"/>
      <w:start w:val="5"/>
    </w:lvl>
    <w:lvl w:ilvl="1">
      <w:lvlJc w:val="left"/>
      <w:lvlText w:val="(%2)"/>
      <w:numFmt w:val="lowerRoman"/>
      <w:start w:val="1"/>
    </w:lvl>
  </w:abstractNum>
  <w:abstractNum w:abstractNumId="43">
    <w:nsid w:val="3FA62ACA"/>
    <w:multiLevelType w:val="hybridMultilevel"/>
    <w:lvl w:ilvl="0">
      <w:lvlJc w:val="left"/>
      <w:lvlText w:val="(%1)"/>
      <w:numFmt w:val="lowerRoman"/>
      <w:start w:val="9"/>
    </w:lvl>
  </w:abstractNum>
  <w:abstractNum w:abstractNumId="44">
    <w:nsid w:val="14FCE74E"/>
    <w:multiLevelType w:val="hybridMultilevel"/>
    <w:lvl w:ilvl="0">
      <w:lvlJc w:val="left"/>
      <w:lvlText w:val="(%1)"/>
      <w:numFmt w:val="lowerLetter"/>
      <w:start w:val="6"/>
    </w:lvl>
  </w:abstractNum>
  <w:abstractNum w:abstractNumId="45">
    <w:nsid w:val="6A3DD3E8"/>
    <w:multiLevelType w:val="hybridMultilevel"/>
    <w:lvl w:ilvl="0">
      <w:lvlJc w:val="left"/>
      <w:lvlText w:val="(%1)"/>
      <w:numFmt w:val="lowerLetter"/>
      <w:start w:val="8"/>
    </w:lvl>
  </w:abstractNum>
  <w:abstractNum w:abstractNumId="46">
    <w:nsid w:val="71C91298"/>
    <w:multiLevelType w:val="hybridMultilevel"/>
    <w:lvl w:ilvl="0">
      <w:lvlJc w:val="left"/>
      <w:lvlText w:val="(%1)"/>
      <w:numFmt w:val="lowerLetter"/>
      <w:start w:val="10"/>
    </w:lvl>
  </w:abstractNum>
  <w:abstractNum w:abstractNumId="47">
    <w:nsid w:val="9DAF632"/>
    <w:multiLevelType w:val="hybridMultilevel"/>
    <w:lvl w:ilvl="0">
      <w:lvlJc w:val="left"/>
      <w:lvlText w:val="%1"/>
      <w:numFmt w:val="lowerLetter"/>
      <w:start w:val="1"/>
    </w:lvl>
    <w:lvl w:ilvl="1">
      <w:lvlJc w:val="left"/>
      <w:lvlText w:val="(%2)"/>
      <w:numFmt w:val="lowerLetter"/>
      <w:start w:val="1"/>
    </w:lvl>
  </w:abstractNum>
  <w:abstractNum w:abstractNumId="48">
    <w:nsid w:val="53299938"/>
    <w:multiLevelType w:val="hybridMultilevel"/>
    <w:lvl w:ilvl="0">
      <w:lvlJc w:val="left"/>
      <w:lvlText w:val="(%1)"/>
      <w:numFmt w:val="lowerLetter"/>
      <w:start w:val="61"/>
    </w:lvl>
    <w:lvl w:ilvl="1">
      <w:lvlJc w:val="left"/>
      <w:lvlText w:val="(%2)"/>
      <w:numFmt w:val="lowerLetter"/>
      <w:start w:val="2"/>
    </w:lvl>
  </w:abstractNum>
  <w:abstractNum w:abstractNumId="49">
    <w:nsid w:val="1FBFE8E0"/>
    <w:multiLevelType w:val="hybridMultilevel"/>
    <w:lvl w:ilvl="0">
      <w:lvlJc w:val="left"/>
      <w:lvlText w:val="(%1)"/>
      <w:numFmt w:val="lowerLetter"/>
      <w:start w:val="3"/>
    </w:lvl>
    <w:lvl w:ilvl="1">
      <w:lvlJc w:val="left"/>
      <w:lvlText w:val="(%2)"/>
      <w:numFmt w:val="lowerRoman"/>
      <w:start w:val="1"/>
    </w:lvl>
  </w:abstractNum>
  <w:abstractNum w:abstractNumId="50">
    <w:nsid w:val="5092CA79"/>
    <w:multiLevelType w:val="hybridMultilevel"/>
    <w:lvl w:ilvl="0">
      <w:lvlJc w:val="left"/>
      <w:lvlText w:val="%1"/>
      <w:numFmt w:val="lowerLetter"/>
      <w:start w:val="1"/>
    </w:lvl>
    <w:lvl w:ilvl="1">
      <w:lvlJc w:val="left"/>
      <w:lvlText w:val="(%2)"/>
      <w:numFmt w:val="lowerRoman"/>
      <w:start w:val="4"/>
    </w:lvl>
  </w:abstractNum>
  <w:abstractNum w:abstractNumId="51">
    <w:nsid w:val="1D545C4D"/>
    <w:multiLevelType w:val="hybridMultilevel"/>
    <w:lvl w:ilvl="0">
      <w:lvlJc w:val="left"/>
      <w:lvlText w:val="(%1)"/>
      <w:numFmt w:val="lowerLetter"/>
      <w:start w:val="4"/>
    </w:lvl>
    <w:lvl w:ilvl="1">
      <w:lvlJc w:val="left"/>
      <w:lvlText w:val="(%2)"/>
      <w:numFmt w:val="lowerRoman"/>
      <w:start w:val="1"/>
    </w:lvl>
  </w:abstractNum>
  <w:abstractNum w:abstractNumId="52">
    <w:nsid w:val="59ADEA3D"/>
    <w:multiLevelType w:val="hybridMultilevel"/>
    <w:lvl w:ilvl="0">
      <w:lvlJc w:val="left"/>
      <w:lvlText w:val="(%1)"/>
      <w:numFmt w:val="lowerLetter"/>
      <w:start w:val="1"/>
    </w:lvl>
    <w:lvl w:ilvl="1">
      <w:lvlJc w:val="left"/>
      <w:lvlText w:val="(%2)"/>
      <w:numFmt w:val="lowerLetter"/>
      <w:start w:val="9"/>
    </w:lvl>
  </w:abstractNum>
  <w:abstractNum w:abstractNumId="53">
    <w:nsid w:val="288F1A34"/>
    <w:multiLevelType w:val="hybridMultilevel"/>
    <w:lvl w:ilvl="0">
      <w:lvlJc w:val="left"/>
      <w:lvlText w:val="%1"/>
      <w:numFmt w:val="lowerRoman"/>
      <w:start w:val="1"/>
    </w:lvl>
    <w:lvl w:ilvl="1">
      <w:lvlJc w:val="left"/>
      <w:lvlText w:val="(%2)"/>
      <w:numFmt w:val="lowerRoman"/>
      <w:start w:val="2"/>
    </w:lvl>
  </w:abstractNum>
  <w:abstractNum w:abstractNumId="54">
    <w:nsid w:val="2A155DBC"/>
    <w:multiLevelType w:val="hybridMultilevel"/>
    <w:lvl w:ilvl="0">
      <w:lvlJc w:val="left"/>
      <w:lvlText w:val="(%1)"/>
      <w:numFmt w:val="lowerRoman"/>
      <w:start w:val="1"/>
    </w:lvl>
    <w:lvl w:ilvl="1">
      <w:lvlJc w:val="left"/>
      <w:lvlText w:val="%2"/>
      <w:numFmt w:val="lowerRoman"/>
      <w:start w:val="1"/>
    </w:lvl>
  </w:abstractNum>
  <w:abstractNum w:abstractNumId="55">
    <w:nsid w:val="1D9F6E5F"/>
    <w:multiLevelType w:val="hybridMultilevel"/>
    <w:lvl w:ilvl="0">
      <w:lvlJc w:val="left"/>
      <w:lvlText w:val="(%1)"/>
      <w:numFmt w:val="lowerLetter"/>
      <w:start w:val="2"/>
    </w:lvl>
    <w:lvl w:ilvl="1">
      <w:lvlJc w:val="left"/>
      <w:lvlText w:val="(%2)"/>
      <w:numFmt w:val="lowerRoman"/>
      <w:start w:val="1"/>
    </w:lvl>
  </w:abstractNum>
  <w:abstractNum w:abstractNumId="56">
    <w:nsid w:val="97E1B4E"/>
    <w:multiLevelType w:val="hybridMultilevel"/>
    <w:lvl w:ilvl="0">
      <w:lvlJc w:val="left"/>
      <w:lvlText w:val="(%1)"/>
      <w:numFmt w:val="lowerLetter"/>
      <w:start w:val="1"/>
    </w:lvl>
  </w:abstractNum>
  <w:abstractNum w:abstractNumId="57">
    <w:nsid w:val="51088277"/>
    <w:multiLevelType w:val="hybridMultilevel"/>
    <w:lvl w:ilvl="0">
      <w:lvlJc w:val="left"/>
      <w:lvlText w:val="(%1)"/>
      <w:numFmt w:val="lowerLetter"/>
      <w:start w:val="1"/>
    </w:lvl>
    <w:lvl w:ilvl="1">
      <w:lvlJc w:val="left"/>
      <w:lvlText w:val="(%2)"/>
      <w:numFmt w:val="lowerRoman"/>
      <w:start w:val="2"/>
    </w:lvl>
  </w:abstractNum>
  <w:abstractNum w:abstractNumId="58">
    <w:nsid w:val="1CA0C5FA"/>
    <w:multiLevelType w:val="hybridMultilevel"/>
    <w:lvl w:ilvl="0">
      <w:lvlJc w:val="left"/>
      <w:lvlText w:val="(%1)"/>
      <w:numFmt w:val="lowerLetter"/>
      <w:start w:val="1"/>
    </w:lvl>
  </w:abstractNum>
  <w:abstractNum w:abstractNumId="59">
    <w:nsid w:val="53584BCB"/>
    <w:multiLevelType w:val="hybridMultilevel"/>
    <w:lvl w:ilvl="0">
      <w:lvlJc w:val="left"/>
      <w:lvlText w:val="(%1)"/>
      <w:numFmt w:val="lowerLetter"/>
      <w:start w:val="2"/>
    </w:lvl>
    <w:lvl w:ilvl="1">
      <w:lvlJc w:val="left"/>
      <w:lvlText w:val="(%2)"/>
      <w:numFmt w:val="lowerRoman"/>
      <w:start w:val="1"/>
    </w:lvl>
  </w:abstractNum>
  <w:abstractNum w:abstractNumId="60">
    <w:nsid w:val="415E286C"/>
    <w:multiLevelType w:val="hybridMultilevel"/>
    <w:lvl w:ilvl="0">
      <w:lvlJc w:val="left"/>
      <w:lvlText w:val="(%1)"/>
      <w:numFmt w:val="lowerLetter"/>
      <w:start w:val="1"/>
    </w:lvl>
  </w:abstractNum>
  <w:abstractNum w:abstractNumId="61">
    <w:nsid w:val="7C58FD05"/>
    <w:multiLevelType w:val="hybridMultilevel"/>
    <w:lvl w:ilvl="0">
      <w:lvlJc w:val="left"/>
      <w:lvlText w:val="(%1)"/>
      <w:numFmt w:val="lowerLetter"/>
      <w:start w:val="2"/>
    </w:lvl>
  </w:abstractNum>
  <w:abstractNum w:abstractNumId="62">
    <w:nsid w:val="23D86AAC"/>
    <w:multiLevelType w:val="hybridMultilevel"/>
    <w:lvl w:ilvl="0">
      <w:lvlJc w:val="left"/>
      <w:lvlText w:val="(%1)"/>
      <w:numFmt w:val="lowerLetter"/>
      <w:start w:val="1"/>
    </w:lvl>
  </w:abstractNum>
  <w:abstractNum w:abstractNumId="63">
    <w:nsid w:val="45E6D486"/>
    <w:multiLevelType w:val="hybridMultilevel"/>
    <w:lvl w:ilvl="0">
      <w:lvlJc w:val="left"/>
      <w:lvlText w:val="%1"/>
      <w:numFmt w:val="lowerLetter"/>
      <w:start w:val="1"/>
    </w:lvl>
    <w:lvl w:ilvl="1">
      <w:lvlJc w:val="left"/>
      <w:lvlText w:val="(%2)"/>
      <w:numFmt w:val="lowerRoman"/>
      <w:start w:val="2"/>
    </w:lvl>
  </w:abstractNum>
  <w:abstractNum w:abstractNumId="64">
    <w:nsid w:val="5C10FE21"/>
    <w:multiLevelType w:val="hybridMultilevel"/>
    <w:lvl w:ilvl="0">
      <w:lvlJc w:val="left"/>
      <w:lvlText w:val="(%1)"/>
      <w:numFmt w:val="lowerLetter"/>
      <w:start w:val="3"/>
    </w:lvl>
    <w:lvl w:ilvl="1">
      <w:lvlJc w:val="left"/>
      <w:lvlText w:val="%2"/>
      <w:numFmt w:val="lowerRoman"/>
      <w:start w:val="1"/>
    </w:lvl>
  </w:abstractNum>
  <w:abstractNum w:abstractNumId="65">
    <w:nsid w:val="E7FFA2B"/>
    <w:multiLevelType w:val="hybridMultilevel"/>
    <w:lvl w:ilvl="0">
      <w:lvlJc w:val="left"/>
      <w:lvlText w:val="(%1)"/>
      <w:numFmt w:val="lowerRoman"/>
      <w:start w:val="1"/>
    </w:lvl>
  </w:abstractNum>
  <w:abstractNum w:abstractNumId="66">
    <w:nsid w:val="3C5991AA"/>
    <w:multiLevelType w:val="hybridMultilevel"/>
    <w:lvl w:ilvl="0">
      <w:lvlJc w:val="left"/>
      <w:lvlText w:val="(%1)"/>
      <w:numFmt w:val="lowerLetter"/>
      <w:start w:val="1"/>
    </w:lvl>
  </w:abstractNum>
  <w:abstractNum w:abstractNumId="67">
    <w:nsid w:val="4BD8591A"/>
    <w:multiLevelType w:val="hybridMultilevel"/>
    <w:lvl w:ilvl="0">
      <w:lvlJc w:val="left"/>
      <w:lvlText w:val="(%1)"/>
      <w:numFmt w:val="lowerLetter"/>
      <w:start w:val="3"/>
    </w:lvl>
  </w:abstractNum>
  <w:abstractNum w:abstractNumId="68">
    <w:nsid w:val="78DF6A55"/>
    <w:multiLevelType w:val="hybridMultilevel"/>
    <w:lvl w:ilvl="0">
      <w:lvlJc w:val="left"/>
      <w:lvlText w:val="(%1)"/>
      <w:numFmt w:val="lowerLetter"/>
      <w:start w:val="1"/>
    </w:lvl>
  </w:abstractNum>
  <w:abstractNum w:abstractNumId="69">
    <w:nsid w:val="39B7AAA2"/>
    <w:multiLevelType w:val="hybridMultilevel"/>
    <w:lvl w:ilvl="0">
      <w:lvlJc w:val="left"/>
      <w:lvlText w:val="(%1)"/>
      <w:numFmt w:val="lowerLetter"/>
      <w:start w:val="61"/>
    </w:lvl>
    <w:lvl w:ilvl="1">
      <w:lvlJc w:val="left"/>
      <w:lvlText w:val="(%2)"/>
      <w:numFmt w:val="lowerLetter"/>
      <w:start w:val="2"/>
    </w:lvl>
  </w:abstractNum>
  <w:abstractNum w:abstractNumId="70">
    <w:nsid w:val="2B0D8DBE"/>
    <w:multiLevelType w:val="hybridMultilevel"/>
    <w:lvl w:ilvl="0">
      <w:lvlJc w:val="left"/>
      <w:lvlText w:val="(%1)"/>
      <w:numFmt w:val="lowerLetter"/>
      <w:start w:val="1"/>
    </w:lvl>
  </w:abstractNum>
  <w:abstractNum w:abstractNumId="71">
    <w:nsid w:val="6C80EC70"/>
    <w:multiLevelType w:val="hybridMultilevel"/>
    <w:lvl w:ilvl="0">
      <w:lvlJc w:val="left"/>
      <w:lvlText w:val="(%1)"/>
      <w:numFmt w:val="lowerRoman"/>
      <w:start w:val="1"/>
    </w:lvl>
    <w:lvl w:ilvl="1">
      <w:lvlJc w:val="left"/>
      <w:lvlText w:val="(%2)"/>
      <w:numFmt w:val="upperLetter"/>
      <w:start w:val="1"/>
    </w:lvl>
  </w:abstractNum>
  <w:abstractNum w:abstractNumId="72">
    <w:nsid w:val="379E21B5"/>
    <w:multiLevelType w:val="hybridMultilevel"/>
    <w:lvl w:ilvl="0">
      <w:lvlJc w:val="left"/>
      <w:lvlText w:val="%1"/>
      <w:numFmt w:val="lowerLetter"/>
      <w:start w:val="1"/>
    </w:lvl>
    <w:lvl w:ilvl="1">
      <w:lvlJc w:val="left"/>
      <w:lvlText w:val="(%2)"/>
      <w:numFmt w:val="upperLetter"/>
      <w:start w:val="2"/>
    </w:lvl>
  </w:abstractNum>
  <w:abstractNum w:abstractNumId="73">
    <w:nsid w:val="69E373"/>
    <w:multiLevelType w:val="hybridMultilevel"/>
    <w:lvl w:ilvl="0">
      <w:lvlJc w:val="left"/>
      <w:lvlText w:val="(%1)"/>
      <w:numFmt w:val="lowerLetter"/>
      <w:start w:val="2"/>
    </w:lvl>
    <w:lvl w:ilvl="1">
      <w:lvlJc w:val="left"/>
      <w:lvlText w:val="%2"/>
      <w:numFmt w:val="upperLetter"/>
      <w:start w:val="1"/>
    </w:lvl>
  </w:abstractNum>
  <w:abstractNum w:abstractNumId="74">
    <w:nsid w:val="2C27173B"/>
    <w:multiLevelType w:val="hybridMultilevel"/>
    <w:lvl w:ilvl="0">
      <w:lvlJc w:val="left"/>
      <w:lvlText w:val="(%1)"/>
      <w:numFmt w:val="lowerLetter"/>
      <w:start w:val="1"/>
    </w:lvl>
  </w:abstractNum>
  <w:abstractNum w:abstractNumId="75">
    <w:nsid w:val="4C9B0904"/>
    <w:multiLevelType w:val="hybridMultilevel"/>
    <w:lvl w:ilvl="0">
      <w:lvlJc w:val="left"/>
      <w:lvlText w:val="(%1)"/>
      <w:numFmt w:val="lowerLetter"/>
      <w:start w:val="6"/>
    </w:lvl>
    <w:lvl w:ilvl="1">
      <w:lvlJc w:val="left"/>
      <w:lvlText w:val="(%2)"/>
      <w:numFmt w:val="lowerRoman"/>
      <w:start w:val="1"/>
    </w:lvl>
  </w:abstractNum>
  <w:abstractNum w:abstractNumId="76">
    <w:nsid w:val="6AA7B75C"/>
    <w:multiLevelType w:val="hybridMultilevel"/>
    <w:lvl w:ilvl="0">
      <w:lvlJc w:val="left"/>
      <w:lvlText w:val="(%1)"/>
      <w:numFmt w:val="lowerLetter"/>
      <w:start w:val="1"/>
    </w:lvl>
    <w:lvl w:ilvl="1">
      <w:lvlJc w:val="left"/>
      <w:lvlText w:val="(%2)"/>
      <w:numFmt w:val="lowerRoman"/>
      <w:start w:val="1"/>
    </w:lvl>
  </w:abstractNum>
  <w:abstractNum w:abstractNumId="77">
    <w:nsid w:val="1DF029D3"/>
    <w:multiLevelType w:val="hybridMultilevel"/>
    <w:lvl w:ilvl="0">
      <w:lvlJc w:val="left"/>
      <w:lvlText w:val="%1"/>
      <w:numFmt w:val="lowerLetter"/>
      <w:start w:val="1"/>
    </w:lvl>
    <w:lvl w:ilvl="1">
      <w:lvlJc w:val="left"/>
      <w:lvlText w:val="(%2)"/>
      <w:numFmt w:val="lowerLetter"/>
      <w:start w:val="61"/>
    </w:lvl>
  </w:abstractNum>
  <w:abstractNum w:abstractNumId="78">
    <w:nsid w:val="5675FF36"/>
    <w:multiLevelType w:val="hybridMultilevel"/>
    <w:lvl w:ilvl="0">
      <w:lvlJc w:val="left"/>
      <w:lvlText w:val="(%1)"/>
      <w:numFmt w:val="lowerLetter"/>
      <w:start w:val="2"/>
    </w:lvl>
    <w:lvl w:ilvl="1">
      <w:lvlJc w:val="left"/>
      <w:lvlText w:val="(%2)"/>
      <w:numFmt w:val="lowerLetter"/>
      <w:start w:val="35"/>
    </w:lvl>
  </w:abstractNum>
  <w:abstractNum w:abstractNumId="79">
    <w:nsid w:val="3DD1509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0">
    <w:nsid w:val="3DB012B3"/>
    <w:multiLevelType w:val="hybridMultilevel"/>
    <w:lvl w:ilvl="0">
      <w:lvlJc w:val="left"/>
      <w:lvlText w:val="(%1)"/>
      <w:numFmt w:val="upperLetter"/>
      <w:start w:val="2"/>
    </w:lvl>
    <w:lvl w:ilvl="1">
      <w:lvlJc w:val="left"/>
      <w:lvlText w:val="(%2)"/>
      <w:numFmt w:val="decimal"/>
      <w:start w:val="1"/>
    </w:lvl>
  </w:abstractNum>
  <w:abstractNum w:abstractNumId="81">
    <w:nsid w:val="2708C9A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82">
    <w:nsid w:val="5B25ACE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3">
    <w:nsid w:val="175DFCF0"/>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84">
    <w:nsid w:val="4F97E3E4"/>
    <w:multiLevelType w:val="hybridMultilevel"/>
    <w:lvl w:ilvl="0">
      <w:lvlJc w:val="left"/>
      <w:lvlText w:val="(%1)"/>
      <w:numFmt w:val="lowerLetter"/>
      <w:start w:val="7"/>
    </w:lvl>
  </w:abstractNum>
  <w:abstractNum w:abstractNumId="85">
    <w:nsid w:val="53B0A9E"/>
    <w:multiLevelType w:val="hybridMultilevel"/>
    <w:lvl w:ilvl="0">
      <w:lvlJc w:val="left"/>
      <w:lvlText w:val="(%1)"/>
      <w:numFmt w:val="lowerLetter"/>
      <w:start w:val="1"/>
    </w:lvl>
    <w:lvl w:ilvl="1">
      <w:lvlJc w:val="left"/>
      <w:lvlText w:val="(%2)"/>
      <w:numFmt w:val="lowerRoman"/>
      <w:start w:val="1"/>
    </w:lvl>
  </w:abstractNum>
  <w:abstractNum w:abstractNumId="86">
    <w:nsid w:val="34FD6B4F"/>
    <w:multiLevelType w:val="hybridMultilevel"/>
    <w:lvl w:ilvl="0">
      <w:lvlJc w:val="left"/>
      <w:lvlText w:val="(%1)"/>
      <w:numFmt w:val="lowerLetter"/>
      <w:start w:val="2"/>
    </w:lvl>
  </w:abstractNum>
  <w:abstractNum w:abstractNumId="87">
    <w:nsid w:val="5915FF32"/>
    <w:multiLevelType w:val="hybridMultilevel"/>
    <w:lvl w:ilvl="0">
      <w:lvlJc w:val="left"/>
      <w:lvlText w:val="(%1)"/>
      <w:numFmt w:val="lowerLetter"/>
      <w:start w:val="3"/>
    </w:lvl>
  </w:abstractNum>
  <w:abstractNum w:abstractNumId="88">
    <w:nsid w:val="56438D15"/>
    <w:multiLevelType w:val="hybridMultilevel"/>
    <w:lvl w:ilvl="0">
      <w:lvlJc w:val="left"/>
      <w:lvlText w:val="(%1)"/>
      <w:numFmt w:val="lowerLetter"/>
      <w:start w:val="1"/>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lowerLetter"/>
      <w:start w:val="1"/>
    </w:lvl>
    <w:lvl w:ilvl="1">
      <w:lvlJc w:val="left"/>
      <w:lvlText w:val="(%2)"/>
      <w:numFmt w:val="lowerLetter"/>
      <w:start w:val="9"/>
    </w:lvl>
  </w:abstractNum>
  <w:abstractNum w:abstractNumId="91">
    <w:nsid w:val="17A1B582"/>
    <w:multiLevelType w:val="hybridMultilevel"/>
    <w:lvl w:ilvl="0">
      <w:lvlJc w:val="left"/>
      <w:lvlText w:val="(%1)"/>
      <w:numFmt w:val="lowerRoman"/>
      <w:start w:val="2"/>
    </w:lvl>
  </w:abstractNum>
  <w:abstractNum w:abstractNumId="92">
    <w:nsid w:val="4DF72E4E"/>
    <w:multiLevelType w:val="hybridMultilevel"/>
    <w:lvl w:ilvl="0">
      <w:lvlJc w:val="left"/>
      <w:lvlText w:val="(%1)"/>
      <w:numFmt w:val="lowerLetter"/>
      <w:start w:val="2"/>
    </w:lvl>
  </w:abstractNum>
  <w:abstractNum w:abstractNumId="93">
    <w:nsid w:val="5046B5A9"/>
    <w:multiLevelType w:val="hybridMultilevel"/>
    <w:lvl w:ilvl="0">
      <w:lvlJc w:val="left"/>
      <w:lvlText w:val="(%1)"/>
      <w:numFmt w:val="lowerRoman"/>
      <w:start w:val="1"/>
    </w:lvl>
  </w:abstractNum>
  <w:abstractNum w:abstractNumId="94">
    <w:nsid w:val="5D888A08"/>
    <w:multiLevelType w:val="hybridMultilevel"/>
    <w:lvl w:ilvl="0">
      <w:lvlJc w:val="left"/>
      <w:lvlText w:val="(%1)"/>
      <w:numFmt w:val="lowerLetter"/>
      <w:start w:val="4"/>
    </w:lvl>
  </w:abstractNum>
  <w:abstractNum w:abstractNumId="95">
    <w:nsid w:val="2A082C70"/>
    <w:multiLevelType w:val="hybridMultilevel"/>
    <w:lvl w:ilvl="0">
      <w:lvlJc w:val="left"/>
      <w:lvlText w:val="(%1)"/>
      <w:numFmt w:val="lowerLetter"/>
      <w:start w:val="1"/>
    </w:lvl>
  </w:abstractNum>
  <w:abstractNum w:abstractNumId="96">
    <w:nsid w:val="5EC6AFD4"/>
    <w:multiLevelType w:val="hybridMultilevel"/>
    <w:lvl w:ilvl="0">
      <w:lvlJc w:val="left"/>
      <w:lvlText w:val="(%1)"/>
      <w:numFmt w:val="lowerLetter"/>
      <w:start w:val="1"/>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lowerLetter"/>
      <w:start w:val="4"/>
    </w:lvl>
    <w:lvl w:ilvl="1">
      <w:lvlJc w:val="left"/>
      <w:lvlText w:val="(%2)"/>
      <w:numFmt w:val="lowerRoman"/>
      <w:start w:val="1"/>
    </w:lvl>
  </w:abstractNum>
  <w:abstractNum w:abstractNumId="99">
    <w:nsid w:val="57A61A29"/>
    <w:multiLevelType w:val="hybridMultilevel"/>
    <w:lvl w:ilvl="0">
      <w:lvlJc w:val="left"/>
      <w:lvlText w:val="(%1)"/>
      <w:numFmt w:val="lowerLetter"/>
      <w:start w:val="8"/>
    </w:lvl>
    <w:lvl w:ilvl="1">
      <w:lvlJc w:val="left"/>
      <w:lvlText w:val="(%2)"/>
      <w:numFmt w:val="lowerRoman"/>
      <w:start w:val="1"/>
    </w:lvl>
  </w:abstractNum>
  <w:abstractNum w:abstractNumId="100">
    <w:nsid w:val="5399C654"/>
    <w:multiLevelType w:val="hybridMultilevel"/>
    <w:lvl w:ilvl="0">
      <w:lvlJc w:val="left"/>
      <w:lvlText w:val="(%1)"/>
      <w:numFmt w:val="lowerLetter"/>
      <w:start w:val="1"/>
    </w:lvl>
  </w:abstractNum>
  <w:abstractNum w:abstractNumId="101">
    <w:nsid w:val="20EE1348"/>
    <w:multiLevelType w:val="hybridMultilevel"/>
    <w:lvl w:ilvl="0">
      <w:lvlJc w:val="left"/>
      <w:lvlText w:val="(%1)"/>
      <w:numFmt w:val="lowerLetter"/>
      <w:start w:val="2"/>
    </w:lvl>
  </w:abstractNum>
  <w:abstractNum w:abstractNumId="102">
    <w:nsid w:val="4427069A"/>
    <w:multiLevelType w:val="hybridMultilevel"/>
    <w:lvl w:ilvl="0">
      <w:lvlJc w:val="left"/>
      <w:lvlText w:val="(%1)"/>
      <w:numFmt w:val="lowerRoman"/>
      <w:start w:val="3"/>
    </w:lvl>
  </w:abstractNum>
  <w:abstractNum w:abstractNumId="103">
    <w:nsid w:val="B37E80A"/>
    <w:multiLevelType w:val="hybridMultilevel"/>
    <w:lvl w:ilvl="0">
      <w:lvlJc w:val="left"/>
      <w:lvlText w:val="%1"/>
      <w:numFmt w:val="lowerLetter"/>
      <w:start w:val="1"/>
    </w:lvl>
    <w:lvl w:ilvl="1">
      <w:lvlJc w:val="left"/>
      <w:lvlText w:val="(%2)"/>
      <w:numFmt w:val="lowerLetter"/>
      <w:start w:val="1"/>
    </w:lvl>
  </w:abstractNum>
  <w:abstractNum w:abstractNumId="104">
    <w:nsid w:val="2157F6BC"/>
    <w:multiLevelType w:val="hybridMultilevel"/>
    <w:lvl w:ilvl="0">
      <w:lvlJc w:val="left"/>
      <w:lvlText w:val="(%1)"/>
      <w:numFmt w:val="lowerLetter"/>
      <w:start w:val="35"/>
    </w:lvl>
    <w:lvl w:ilvl="1">
      <w:lvlJc w:val="left"/>
      <w:lvlText w:val="%2"/>
      <w:numFmt w:val="lowerLetter"/>
      <w:start w:val="1"/>
    </w:lvl>
  </w:abstractNum>
  <w:abstractNum w:abstractNumId="105">
    <w:nsid w:val="704E1DD5"/>
    <w:multiLevelType w:val="hybridMultilevel"/>
    <w:lvl w:ilvl="0">
      <w:lvlJc w:val="left"/>
      <w:lvlText w:val="(%1)"/>
      <w:numFmt w:val="lowerLetter"/>
      <w:start w:val="2"/>
    </w:lvl>
  </w:abstractNum>
  <w:abstractNum w:abstractNumId="106">
    <w:nsid w:val="57D2F10E"/>
    <w:multiLevelType w:val="hybridMultilevel"/>
    <w:lvl w:ilvl="0">
      <w:lvlJc w:val="left"/>
      <w:lvlText w:val="(%1)"/>
      <w:numFmt w:val="lowerRoman"/>
      <w:start w:val="1"/>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lowerLetter"/>
      <w:start w:val="1"/>
    </w:lvl>
  </w:abstractNum>
  <w:abstractNum w:abstractNumId="109">
    <w:nsid w:val="2E48F044"/>
    <w:multiLevelType w:val="hybridMultilevel"/>
    <w:lvl w:ilvl="0">
      <w:lvlJc w:val="left"/>
      <w:lvlText w:val="(%1)"/>
      <w:numFmt w:val="lowerLetter"/>
      <w:start w:val="5"/>
    </w:lvl>
    <w:lvl w:ilvl="1">
      <w:lvlJc w:val="left"/>
      <w:lvlText w:val="(%2)"/>
      <w:numFmt w:val="lowerRoman"/>
      <w:start w:val="1"/>
    </w:lvl>
  </w:abstractNum>
  <w:abstractNum w:abstractNumId="110">
    <w:nsid w:val="49D0FEAC"/>
    <w:multiLevelType w:val="hybridMultilevel"/>
    <w:lvl w:ilvl="0">
      <w:lvlJc w:val="left"/>
      <w:lvlText w:val="(%1)"/>
      <w:numFmt w:val="lowerLetter"/>
      <w:start w:val="1"/>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lowerLetter"/>
      <w:start w:val="2"/>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8"/>
    </w:lvl>
  </w:abstractNum>
  <w:abstractNum w:abstractNumId="116">
    <w:nsid w:val="2A31B62D"/>
    <w:multiLevelType w:val="hybridMultilevel"/>
    <w:lvl w:ilvl="0">
      <w:lvlJc w:val="left"/>
      <w:lvlText w:val="(%1)"/>
      <w:numFmt w:val="lowerLetter"/>
      <w:start w:val="1"/>
    </w:lvl>
  </w:abstractNum>
  <w:abstractNum w:abstractNumId="117">
    <w:nsid w:val="1849C29B"/>
    <w:multiLevelType w:val="hybridMultilevel"/>
    <w:lvl w:ilvl="0">
      <w:lvlJc w:val="left"/>
      <w:lvlText w:val="(%1)"/>
      <w:numFmt w:val="lowerLetter"/>
      <w:start w:val="8"/>
    </w:lvl>
  </w:abstractNum>
  <w:abstractNum w:abstractNumId="118">
    <w:nsid w:val="7DFF9D09"/>
    <w:multiLevelType w:val="hybridMultilevel"/>
    <w:lvl w:ilvl="0">
      <w:lvlJc w:val="left"/>
      <w:lvlText w:val="(%1)"/>
      <w:numFmt w:val="lowerLetter"/>
      <w:start w:val="19"/>
    </w:lvl>
  </w:abstractNum>
  <w:abstractNum w:abstractNumId="119">
    <w:nsid w:val="754342"/>
    <w:multiLevelType w:val="hybridMultilevel"/>
    <w:lvl w:ilvl="0">
      <w:lvlJc w:val="left"/>
      <w:lvlText w:val="(%1)"/>
      <w:numFmt w:val="lowerLetter"/>
      <w:start w:val="1"/>
    </w:lvl>
  </w:abstractNum>
  <w:abstractNum w:abstractNumId="120">
    <w:nsid w:val="69E7F3E5"/>
    <w:multiLevelType w:val="hybridMultilevel"/>
    <w:lvl w:ilvl="0">
      <w:lvlJc w:val="left"/>
      <w:lvlText w:val="(%1)"/>
      <w:numFmt w:val="lowerLetter"/>
      <w:start w:val="6"/>
    </w:lvl>
  </w:abstractNum>
  <w:abstractNum w:abstractNumId="121">
    <w:nsid w:val="2A6DE806"/>
    <w:multiLevelType w:val="hybridMultilevel"/>
    <w:lvl w:ilvl="0">
      <w:lvlJc w:val="left"/>
      <w:lvlText w:val="(%1)"/>
      <w:numFmt w:val="lowerLetter"/>
      <w:start w:val="1"/>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lowerLetter"/>
      <w:start w:val="7"/>
    </w:lvl>
  </w:abstractNum>
  <w:abstractNum w:abstractNumId="124">
    <w:nsid w:val="7AB49DAF"/>
    <w:multiLevelType w:val="hybridMultilevel"/>
    <w:lvl w:ilvl="0">
      <w:lvlJc w:val="left"/>
      <w:lvlText w:val="(%1)"/>
      <w:numFmt w:val="lowerLetter"/>
      <w:start w:val="1"/>
    </w:lvl>
  </w:abstractNum>
  <w:abstractNum w:abstractNumId="125">
    <w:nsid w:val="759F82CD"/>
    <w:multiLevelType w:val="hybridMultilevel"/>
    <w:lvl w:ilvl="0">
      <w:lvlJc w:val="left"/>
      <w:lvlText w:val="(%1)"/>
      <w:numFmt w:val="lowerLetter"/>
      <w:start w:val="1"/>
    </w:lvl>
  </w:abstractNum>
  <w:abstractNum w:abstractNumId="126">
    <w:nsid w:val="61E74EA3"/>
    <w:multiLevelType w:val="hybridMultilevel"/>
    <w:lvl w:ilvl="0">
      <w:lvlJc w:val="left"/>
      <w:lvlText w:val="(%1)"/>
      <w:numFmt w:val="lowerLetter"/>
      <w:start w:val="5"/>
    </w:lvl>
  </w:abstractNum>
  <w:abstractNum w:abstractNumId="127">
    <w:nsid w:val="597B4D84"/>
    <w:multiLevelType w:val="hybridMultilevel"/>
    <w:lvl w:ilvl="0">
      <w:lvlJc w:val="left"/>
      <w:lvlText w:val="(%1)"/>
      <w:numFmt w:val="lowerLetter"/>
      <w:start w:val="1"/>
    </w:lvl>
  </w:abstractNum>
  <w:abstractNum w:abstractNumId="128">
    <w:nsid w:val="F819E7F"/>
    <w:multiLevelType w:val="hybridMultilevel"/>
    <w:lvl w:ilvl="0">
      <w:lvlJc w:val="left"/>
      <w:lvlText w:val="(%1)"/>
      <w:numFmt w:val="lowerLetter"/>
      <w:start w:val="1"/>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lowerLetter"/>
      <w:start w:val="4"/>
    </w:lvl>
  </w:abstractNum>
  <w:abstractNum w:abstractNumId="131">
    <w:nsid w:val="631B64D4"/>
    <w:multiLevelType w:val="hybridMultilevel"/>
    <w:lvl w:ilvl="0">
      <w:lvlJc w:val="left"/>
      <w:lvlText w:val="(%1)"/>
      <w:numFmt w:val="lowerLetter"/>
      <w:start w:val="1"/>
    </w:lvl>
  </w:abstractNum>
  <w:abstractNum w:abstractNumId="132">
    <w:nsid w:val="78B5E776"/>
    <w:multiLevelType w:val="hybridMultilevel"/>
    <w:lvl w:ilvl="0">
      <w:lvlJc w:val="left"/>
      <w:lvlText w:val="(%1)"/>
      <w:numFmt w:val="lowerLetter"/>
      <w:start w:val="1"/>
    </w:lvl>
    <w:lvl w:ilvl="1">
      <w:lvlJc w:val="left"/>
      <w:lvlText w:val="(%2)"/>
      <w:numFmt w:val="lowerRoman"/>
      <w:start w:val="1"/>
    </w:lvl>
  </w:abstractNum>
  <w:abstractNum w:abstractNumId="133">
    <w:nsid w:val="75486E47"/>
    <w:multiLevelType w:val="hybridMultilevel"/>
    <w:lvl w:ilvl="0">
      <w:lvlJc w:val="left"/>
      <w:lvlText w:val="(%1)"/>
      <w:numFmt w:val="upperLetter"/>
      <w:start w:val="1"/>
    </w:lvl>
    <w:lvl w:ilvl="1">
      <w:lvlJc w:val="left"/>
      <w:lvlText w:val="(%2)"/>
      <w:numFmt w:val="lowerRoman"/>
      <w:start w:val="4"/>
    </w:lvl>
  </w:abstractNum>
  <w:abstractNum w:abstractNumId="134">
    <w:nsid w:val="6E534CDE"/>
    <w:multiLevelType w:val="hybridMultilevel"/>
    <w:lvl w:ilvl="0">
      <w:lvlJc w:val="left"/>
      <w:lvlText w:val="(%1)"/>
      <w:numFmt w:val="lowerLetter"/>
      <w:start w:val="2"/>
    </w:lvl>
  </w:abstractNum>
  <w:abstractNum w:abstractNumId="135">
    <w:nsid w:val="1A0DDE32"/>
    <w:multiLevelType w:val="hybridMultilevel"/>
    <w:lvl w:ilvl="0">
      <w:lvlJc w:val="left"/>
      <w:lvlText w:val="(%1)"/>
      <w:numFmt w:val="lowerLetter"/>
      <w:start w:val="1"/>
    </w:lvl>
    <w:lvl w:ilvl="1">
      <w:lvlJc w:val="left"/>
      <w:lvlText w:val="(%2)"/>
      <w:numFmt w:val="lowerRoman"/>
      <w:start w:val="1"/>
    </w:lvl>
  </w:abstractNum>
  <w:abstractNum w:abstractNumId="136">
    <w:nsid w:val="65968C1C"/>
    <w:multiLevelType w:val="hybridMultilevel"/>
    <w:lvl w:ilvl="0">
      <w:lvlJc w:val="left"/>
      <w:lvlText w:val="(%1)"/>
      <w:numFmt w:val="lowerLetter"/>
      <w:start w:val="2"/>
    </w:lvl>
  </w:abstractNum>
  <w:abstractNum w:abstractNumId="137">
    <w:nsid w:val="46263DEC"/>
    <w:multiLevelType w:val="hybridMultilevel"/>
    <w:lvl w:ilvl="0">
      <w:lvlJc w:val="left"/>
      <w:lvlText w:val="(%1)"/>
      <w:numFmt w:val="lowerLetter"/>
      <w:start w:val="9"/>
    </w:lvl>
    <w:lvl w:ilvl="1">
      <w:lvlJc w:val="left"/>
      <w:lvlText w:val="(%2)"/>
      <w:numFmt w:val="lowerLetter"/>
      <w:start w:val="3"/>
    </w:lvl>
  </w:abstractNum>
  <w:abstractNum w:abstractNumId="138">
    <w:nsid w:val="260D8C4A"/>
    <w:multiLevelType w:val="hybridMultilevel"/>
    <w:lvl w:ilvl="0">
      <w:lvlJc w:val="left"/>
      <w:lvlText w:val="(%1)"/>
      <w:numFmt w:val="lowerLetter"/>
      <w:start w:val="5"/>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lowerLetter"/>
      <w:start w:val="1"/>
    </w:lvl>
    <w:lvl w:ilvl="1">
      <w:lvlJc w:val="left"/>
      <w:lvlText w:val="(%2)"/>
      <w:numFmt w:val="lowerLetter"/>
      <w:start w:val="3"/>
    </w:lvl>
  </w:abstractNum>
  <w:abstractNum w:abstractNumId="141">
    <w:nsid w:val="6FDE8AF6"/>
    <w:multiLevelType w:val="hybridMultilevel"/>
    <w:lvl w:ilvl="0">
      <w:lvlJc w:val="left"/>
      <w:lvlText w:val="(%1)"/>
      <w:numFmt w:val="lowerLetter"/>
      <w:start w:val="1"/>
    </w:lvl>
    <w:lvl w:ilvl="1">
      <w:lvlJc w:val="left"/>
      <w:lvlText w:val="%2"/>
      <w:numFmt w:val="lowerLetter"/>
      <w:start w:val="1"/>
    </w:lvl>
  </w:abstractNum>
  <w:abstractNum w:abstractNumId="142">
    <w:nsid w:val="3FC32E20"/>
    <w:multiLevelType w:val="hybridMultilevel"/>
    <w:lvl w:ilvl="0">
      <w:lvlJc w:val="left"/>
      <w:lvlText w:val="(%1)"/>
      <w:numFmt w:val="lowerLetter"/>
      <w:start w:val="4"/>
    </w:lvl>
  </w:abstractNum>
  <w:abstractNum w:abstractNumId="143">
    <w:nsid w:val="49C0E823"/>
    <w:multiLevelType w:val="hybridMultilevel"/>
    <w:lvl w:ilvl="0">
      <w:lvlJc w:val="left"/>
      <w:lvlText w:val="(%1)"/>
      <w:numFmt w:val="lowerLetter"/>
      <w:start w:val="5"/>
    </w:lvl>
  </w:abstractNum>
  <w:abstractNum w:abstractNumId="144">
    <w:nsid w:val="14D53685"/>
    <w:multiLevelType w:val="hybridMultilevel"/>
    <w:lvl w:ilvl="0">
      <w:lvlJc w:val="left"/>
      <w:lvlText w:val="(%1)"/>
      <w:numFmt w:val="lowerLetter"/>
      <w:start w:val="1"/>
    </w:lvl>
  </w:abstractNum>
  <w:abstractNum w:abstractNumId="145">
    <w:nsid w:val="230F856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6">
    <w:nsid w:val="6EAA85FB"/>
    <w:multiLevelType w:val="hybridMultilevel"/>
    <w:lvl w:ilvl="0">
      <w:lvlJc w:val="left"/>
      <w:lvlText w:val="%1"/>
      <w:numFmt w:val="lowerRoman"/>
      <w:start w:val="1"/>
    </w:lvl>
    <w:lvl w:ilvl="1">
      <w:lvlJc w:val="left"/>
      <w:lvlText w:val="(%2)"/>
      <w:numFmt w:val="upperLetter"/>
      <w:start w:val="2"/>
    </w:lvl>
  </w:abstractNum>
  <w:abstractNum w:abstractNumId="147">
    <w:nsid w:val="3F06ECB2"/>
    <w:multiLevelType w:val="hybridMultilevel"/>
    <w:lvl w:ilvl="0">
      <w:lvlJc w:val="left"/>
      <w:lvlText w:val="(%1)"/>
      <w:numFmt w:val="lowerRoman"/>
      <w:start w:val="4"/>
    </w:lvl>
    <w:lvl w:ilvl="1">
      <w:lvlJc w:val="left"/>
      <w:lvlText w:val="%2"/>
      <w:numFmt w:val="upperLetter"/>
      <w:start w:val="1"/>
    </w:lvl>
  </w:abstractNum>
  <w:abstractNum w:abstractNumId="148">
    <w:nsid w:val="3B594807"/>
    <w:multiLevelType w:val="hybridMultilevel"/>
    <w:lvl w:ilvl="0">
      <w:lvlJc w:val="left"/>
      <w:lvlText w:val="(%1)"/>
      <w:numFmt w:val="lowerLetter"/>
      <w:start w:val="3"/>
    </w:lvl>
  </w:abstractNum>
  <w:abstractNum w:abstractNumId="149">
    <w:nsid w:val="6CAA2304"/>
    <w:multiLevelType w:val="hybridMultilevel"/>
    <w:lvl w:ilvl="0">
      <w:lvlJc w:val="left"/>
      <w:lvlText w:val="(%1)"/>
      <w:numFmt w:val="lowerLetter"/>
      <w:start w:val="5"/>
    </w:lvl>
  </w:abstractNum>
  <w:abstractNum w:abstractNumId="150">
    <w:nsid w:val="3F7C2FF4"/>
    <w:multiLevelType w:val="hybridMultilevel"/>
    <w:lvl w:ilvl="0">
      <w:lvlJc w:val="left"/>
      <w:lvlText w:val="(%1)"/>
      <w:numFmt w:val="decimal"/>
      <w:start w:val="2"/>
    </w:lvl>
    <w:lvl w:ilvl="1">
      <w:lvlJc w:val="left"/>
      <w:lvlText w:val="(%2)"/>
      <w:numFmt w:val="lowerLetter"/>
      <w:start w:val="8"/>
    </w:lvl>
  </w:abstractNum>
  <w:abstractNum w:abstractNumId="151">
    <w:nsid w:val="25413BEC"/>
    <w:multiLevelType w:val="hybridMultilevel"/>
    <w:lvl w:ilvl="0">
      <w:lvlJc w:val="left"/>
      <w:lvlText w:val="(%1)"/>
      <w:numFmt w:val="upperLetter"/>
      <w:start w:val="35"/>
    </w:lvl>
  </w:abstractNum>
  <w:abstractNum w:abstractNumId="152">
    <w:nsid w:val="17180B0B"/>
    <w:multiLevelType w:val="hybridMultilevel"/>
    <w:lvl w:ilvl="0">
      <w:lvlJc w:val="left"/>
      <w:lvlText w:val="(%1)"/>
      <w:numFmt w:val="lowerRoman"/>
      <w:start w:val="1"/>
    </w:lvl>
  </w:abstractNum>
  <w:abstractNum w:abstractNumId="153">
    <w:nsid w:val="579328B9"/>
    <w:multiLevelType w:val="hybridMultilevel"/>
    <w:lvl w:ilvl="0">
      <w:lvlJc w:val="left"/>
      <w:lvlText w:val="(%1)"/>
      <w:numFmt w:val="lowerLetter"/>
      <w:start w:val="1"/>
    </w:lvl>
  </w:abstractNum>
  <w:abstractNum w:abstractNumId="154">
    <w:nsid w:val="5D205E20"/>
    <w:multiLevelType w:val="hybridMultilevel"/>
    <w:lvl w:ilvl="0">
      <w:lvlJc w:val="left"/>
      <w:lvlText w:val="(%1)"/>
      <w:numFmt w:val="lowerLetter"/>
      <w:start w:val="1"/>
    </w:lvl>
  </w:abstractNum>
  <w:abstractNum w:abstractNumId="155">
    <w:nsid w:val="11CCA8BA"/>
    <w:multiLevelType w:val="hybridMultilevel"/>
    <w:lvl w:ilvl="0">
      <w:lvlJc w:val="left"/>
      <w:lvlText w:val="(%1)"/>
      <w:numFmt w:val="lowerLetter"/>
      <w:start w:val="4"/>
    </w:lvl>
  </w:abstractNum>
  <w:abstractNum w:abstractNumId="156">
    <w:nsid w:val="4D32AB86"/>
    <w:multiLevelType w:val="hybridMultilevel"/>
    <w:lvl w:ilvl="0">
      <w:lvlJc w:val="left"/>
      <w:lvlText w:val="(%1)"/>
      <w:numFmt w:val="lowerLetter"/>
      <w:start w:val="7"/>
    </w:lvl>
  </w:abstractNum>
  <w:abstractNum w:abstractNumId="157">
    <w:nsid w:val="3F07ACC3"/>
    <w:multiLevelType w:val="hybridMultilevel"/>
    <w:lvl w:ilvl="0">
      <w:lvlJc w:val="left"/>
      <w:lvlText w:val="(%1)"/>
      <w:numFmt w:val="lowerLetter"/>
      <w:start w:val="1"/>
    </w:lvl>
    <w:lvl w:ilvl="1">
      <w:lvlJc w:val="left"/>
      <w:lvlText w:val="(%2)"/>
      <w:numFmt w:val="lowerRoman"/>
      <w:start w:val="1"/>
    </w:lvl>
  </w:abstractNum>
  <w:abstractNum w:abstractNumId="158">
    <w:nsid w:val="6B47F63E"/>
    <w:multiLevelType w:val="hybridMultilevel"/>
    <w:lvl w:ilvl="0">
      <w:lvlJc w:val="left"/>
      <w:lvlText w:val="(%1)"/>
      <w:numFmt w:val="lowerRoman"/>
      <w:start w:val="3"/>
    </w:lvl>
  </w:abstractNum>
  <w:abstractNum w:abstractNumId="159">
    <w:nsid w:val="5CB44A05"/>
    <w:multiLevelType w:val="hybridMultilevel"/>
    <w:lvl w:ilvl="0">
      <w:lvlJc w:val="left"/>
      <w:lvlText w:val="(%1)"/>
      <w:numFmt w:val="lowerLetter"/>
      <w:start w:val="1"/>
    </w:lvl>
  </w:abstractNum>
  <w:abstractNum w:abstractNumId="160">
    <w:nsid w:val="16CF80F1"/>
    <w:multiLevelType w:val="hybridMultilevel"/>
    <w:lvl w:ilvl="0">
      <w:lvlJc w:val="left"/>
      <w:lvlText w:val="(%1)"/>
      <w:numFmt w:val="lowerLetter"/>
      <w:start w:val="1"/>
    </w:lvl>
    <w:lvl w:ilvl="1">
      <w:lvlJc w:val="left"/>
      <w:lvlText w:val="(%2)"/>
      <w:numFmt w:val="lowerRoman"/>
      <w:start w:val="1"/>
    </w:lvl>
  </w:abstractNum>
  <w:abstractNum w:abstractNumId="161">
    <w:nsid w:val="1C695D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2024-10-11T09:04:45Z</dcterms:created>
  <dcterms:modified xsi:type="dcterms:W3CDTF">2024-10-11T09:04:45Z</dcterms:modified>
</cp:coreProperties>
</file>