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February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4"/>
        <w:spacing w:after="0"/>
        <w:tabs>
          <w:tab w:leader="none" w:pos="943"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ind w:left="4" w:right="20" w:firstLine="579"/>
        <w:spacing w:after="0" w:line="279" w:lineRule="auto"/>
        <w:rPr>
          <w:sz w:val="20"/>
          <w:szCs w:val="20"/>
          <w:color w:val="auto"/>
        </w:rPr>
      </w:pPr>
      <w:r>
        <w:rPr>
          <w:rFonts w:ascii="Arial" w:cs="Arial" w:eastAsia="Arial" w:hAnsi="Arial"/>
          <w:sz w:val="16"/>
          <w:szCs w:val="16"/>
          <w:color w:val="auto"/>
        </w:rPr>
        <w:t>On February 19, 2015, Brady Corporation (the “Company”) issued a press release announcing its fiscal 2015 second quarter financial results. A copy of the press release is being furnished to the Securities and Exchange Commission as Exhibit 99.1 attached hereto and is incorporated herein by reference.</w:t>
      </w:r>
    </w:p>
    <w:p>
      <w:pPr>
        <w:spacing w:after="0" w:line="296" w:lineRule="exact"/>
        <w:rPr>
          <w:sz w:val="20"/>
          <w:szCs w:val="20"/>
          <w:color w:val="auto"/>
        </w:rPr>
      </w:pPr>
    </w:p>
    <w:p>
      <w:pPr>
        <w:ind w:left="24"/>
        <w:spacing w:after="0"/>
        <w:tabs>
          <w:tab w:leader="none" w:pos="943" w:val="left"/>
        </w:tabs>
        <w:rPr>
          <w:sz w:val="20"/>
          <w:szCs w:val="20"/>
          <w:color w:val="auto"/>
        </w:rPr>
      </w:pPr>
      <w:r>
        <w:rPr>
          <w:rFonts w:ascii="Arial" w:cs="Arial" w:eastAsia="Arial" w:hAnsi="Arial"/>
          <w:sz w:val="16"/>
          <w:szCs w:val="16"/>
          <w:color w:val="auto"/>
        </w:rPr>
        <w:t>Item 5.02</w:t>
      </w:r>
      <w:r>
        <w:rPr>
          <w:sz w:val="20"/>
          <w:szCs w:val="20"/>
          <w:color w:val="auto"/>
        </w:rPr>
        <w:tab/>
      </w:r>
      <w:r>
        <w:rPr>
          <w:rFonts w:ascii="Arial" w:cs="Arial" w:eastAsia="Arial" w:hAnsi="Arial"/>
          <w:sz w:val="15"/>
          <w:szCs w:val="15"/>
          <w:color w:val="auto"/>
        </w:rPr>
        <w:t>DEPARTURE OF DIRECTORS OR CERTAIN OFFICERS; ELECTION OF DIRECTORS; APPOINTMENT</w:t>
      </w:r>
    </w:p>
    <w:p>
      <w:pPr>
        <w:spacing w:after="0" w:line="21" w:lineRule="exact"/>
        <w:rPr>
          <w:sz w:val="20"/>
          <w:szCs w:val="20"/>
          <w:color w:val="auto"/>
        </w:rPr>
      </w:pPr>
    </w:p>
    <w:p>
      <w:pPr>
        <w:ind w:left="964"/>
        <w:spacing w:after="0"/>
        <w:rPr>
          <w:sz w:val="20"/>
          <w:szCs w:val="20"/>
          <w:color w:val="auto"/>
        </w:rPr>
      </w:pPr>
      <w:r>
        <w:rPr>
          <w:rFonts w:ascii="Arial" w:cs="Arial" w:eastAsia="Arial" w:hAnsi="Arial"/>
          <w:sz w:val="16"/>
          <w:szCs w:val="16"/>
          <w:color w:val="auto"/>
        </w:rPr>
        <w:t>OF CERTAIN OFFICERS; COMPENSATORY ARRANGEMENTS OF CERTAIN OFFICERS</w:t>
      </w:r>
    </w:p>
    <w:p>
      <w:pPr>
        <w:spacing w:after="0" w:line="200" w:lineRule="exact"/>
        <w:rPr>
          <w:sz w:val="20"/>
          <w:szCs w:val="20"/>
          <w:color w:val="auto"/>
        </w:rPr>
      </w:pPr>
    </w:p>
    <w:p>
      <w:pPr>
        <w:spacing w:after="0" w:line="231" w:lineRule="exact"/>
        <w:rPr>
          <w:sz w:val="20"/>
          <w:szCs w:val="20"/>
          <w:color w:val="auto"/>
        </w:rPr>
      </w:pPr>
    </w:p>
    <w:p>
      <w:pPr>
        <w:ind w:left="4" w:right="20" w:hanging="4"/>
        <w:spacing w:after="0" w:line="326" w:lineRule="auto"/>
        <w:tabs>
          <w:tab w:leader="none" w:pos="77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February 17, 2015, the Board of Directors of the Company elected Harold Sirkin to the Board of Directors, effective immediately, following a recommendation of the Corporate Governance Committee of the Board. Mr. Sirkin has been appointed to the Technology Committee of the Board of Directors.</w:t>
      </w:r>
    </w:p>
    <w:p>
      <w:pPr>
        <w:spacing w:after="0" w:line="19" w:lineRule="exact"/>
        <w:rPr>
          <w:sz w:val="20"/>
          <w:szCs w:val="20"/>
          <w:color w:val="auto"/>
        </w:rPr>
      </w:pPr>
    </w:p>
    <w:p>
      <w:pPr>
        <w:jc w:val="both"/>
        <w:ind w:left="4" w:right="20" w:firstLine="579"/>
        <w:spacing w:after="0" w:line="309" w:lineRule="auto"/>
        <w:rPr>
          <w:sz w:val="20"/>
          <w:szCs w:val="20"/>
          <w:color w:val="auto"/>
        </w:rPr>
      </w:pPr>
      <w:r>
        <w:rPr>
          <w:rFonts w:ascii="Arial" w:cs="Arial" w:eastAsia="Arial" w:hAnsi="Arial"/>
          <w:sz w:val="14"/>
          <w:szCs w:val="14"/>
          <w:color w:val="auto"/>
        </w:rPr>
        <w:t>Mr. Sirkin is Senior Partner and Managing Director of Boston Consulting Group (“BCG”), an international management consulting firm, which, from time to time, has provided consulting services to the Company, most recently in fiscal 2014. In fiscal 2014, BCG provided $2.2 million of consulting services to the Company. As a result of his relationship with BCG, the Board of Directors determined that Mr. Sirkin had an indirect material interest in the consulting services transaction under Item 404(a) of Regulation S-K during the Company's fiscal 2014. BCG has not provided consulting services to the Company in fiscal 2015 to date nor are any consulting services proposed.</w:t>
      </w:r>
    </w:p>
    <w:p>
      <w:pPr>
        <w:spacing w:after="0" w:line="27" w:lineRule="exact"/>
        <w:rPr>
          <w:sz w:val="20"/>
          <w:szCs w:val="20"/>
          <w:color w:val="auto"/>
        </w:rPr>
      </w:pPr>
    </w:p>
    <w:p>
      <w:pPr>
        <w:jc w:val="both"/>
        <w:ind w:left="4" w:right="20" w:firstLine="579"/>
        <w:spacing w:after="0" w:line="279" w:lineRule="auto"/>
        <w:rPr>
          <w:sz w:val="20"/>
          <w:szCs w:val="20"/>
          <w:color w:val="auto"/>
        </w:rPr>
      </w:pPr>
      <w:r>
        <w:rPr>
          <w:rFonts w:ascii="Arial" w:cs="Arial" w:eastAsia="Arial" w:hAnsi="Arial"/>
          <w:sz w:val="16"/>
          <w:szCs w:val="16"/>
          <w:color w:val="auto"/>
        </w:rPr>
        <w:t>Mr. Sirkin is eligible to participate in the Company’s equity incentive and other benefit plans on a basis similar to other non-employee directors. Mr. Sirkin will receive an award of 4,250 time-based stock options and 1,450 time-based restricted stock units with a grant date of March 3, 2015.</w:t>
      </w:r>
    </w:p>
    <w:p>
      <w:pPr>
        <w:spacing w:after="0" w:line="43" w:lineRule="exact"/>
        <w:rPr>
          <w:sz w:val="20"/>
          <w:szCs w:val="20"/>
          <w:color w:val="auto"/>
        </w:rPr>
      </w:pPr>
    </w:p>
    <w:p>
      <w:pPr>
        <w:jc w:val="both"/>
        <w:ind w:left="4" w:right="20" w:firstLine="579"/>
        <w:spacing w:after="0" w:line="279" w:lineRule="auto"/>
        <w:rPr>
          <w:sz w:val="20"/>
          <w:szCs w:val="20"/>
          <w:color w:val="auto"/>
        </w:rPr>
      </w:pPr>
      <w:r>
        <w:rPr>
          <w:rFonts w:ascii="Arial" w:cs="Arial" w:eastAsia="Arial" w:hAnsi="Arial"/>
          <w:sz w:val="16"/>
          <w:szCs w:val="16"/>
          <w:color w:val="auto"/>
        </w:rPr>
        <w:t>On February 17, 2015, the Company issued a press release announcing the appointment of Mr. Sirkin to the Board of Directors. A copy of the press release is being provided to the Securities and Exchange Commission as Exhibit 99.2 attached hereto and is incorporated herein by reference.</w:t>
      </w:r>
    </w:p>
    <w:p>
      <w:pPr>
        <w:spacing w:after="0" w:line="380" w:lineRule="exact"/>
        <w:rPr>
          <w:sz w:val="20"/>
          <w:szCs w:val="20"/>
          <w:color w:val="auto"/>
        </w:rPr>
      </w:pPr>
    </w:p>
    <w:p>
      <w:pPr>
        <w:ind w:left="24"/>
        <w:spacing w:after="0"/>
        <w:tabs>
          <w:tab w:leader="none" w:pos="943"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ind w:left="4"/>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are filed as Exhibits to this Report.</w:t>
      </w:r>
    </w:p>
    <w:p>
      <w:pPr>
        <w:spacing w:after="0" w:line="158" w:lineRule="exact"/>
        <w:rPr>
          <w:sz w:val="20"/>
          <w:szCs w:val="20"/>
          <w:color w:val="auto"/>
        </w:rPr>
      </w:pPr>
    </w:p>
    <w:p>
      <w:pPr>
        <w:ind w:left="24"/>
        <w:spacing w:after="0"/>
        <w:rPr>
          <w:sz w:val="20"/>
          <w:szCs w:val="20"/>
          <w:color w:val="auto"/>
        </w:rPr>
      </w:pPr>
      <w:r>
        <w:rPr>
          <w:rFonts w:ascii="Arial" w:cs="Arial" w:eastAsia="Arial" w:hAnsi="Arial"/>
          <w:sz w:val="14"/>
          <w:szCs w:val="14"/>
          <w:color w:val="auto"/>
        </w:rPr>
        <w:t>EXHIBIT</w:t>
      </w:r>
    </w:p>
    <w:p>
      <w:pPr>
        <w:spacing w:after="0" w:line="18" w:lineRule="exact"/>
        <w:rPr>
          <w:sz w:val="20"/>
          <w:szCs w:val="20"/>
          <w:color w:val="auto"/>
        </w:rPr>
      </w:pPr>
    </w:p>
    <w:p>
      <w:pPr>
        <w:ind w:left="24"/>
        <w:spacing w:after="0"/>
        <w:tabs>
          <w:tab w:leader="none" w:pos="1123"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5149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4975" cy="7620"/>
                    </a:xfrm>
                    <a:prstGeom prst="rect">
                      <a:avLst/>
                    </a:prstGeom>
                    <a:noFill/>
                  </pic:spPr>
                </pic:pic>
              </a:graphicData>
            </a:graphic>
          </wp:anchor>
        </w:drawing>
      </w:r>
    </w:p>
    <w:p>
      <w:pPr>
        <w:spacing w:after="0" w:line="108" w:lineRule="exact"/>
        <w:rPr>
          <w:sz w:val="20"/>
          <w:szCs w:val="20"/>
          <w:color w:val="auto"/>
        </w:rPr>
      </w:pPr>
    </w:p>
    <w:tbl>
      <w:tblPr>
        <w:tblLayout w:type="fixed"/>
        <w:tblInd w:w="24" w:type="dxa"/>
        <w:tblCellMar>
          <w:top w:w="0" w:type="dxa"/>
          <w:left w:w="0" w:type="dxa"/>
          <w:bottom w:w="0" w:type="dxa"/>
          <w:right w:w="0" w:type="dxa"/>
        </w:tblCellMar>
      </w:tblPr>
      <w:tr>
        <w:trPr>
          <w:trHeight w:val="193"/>
        </w:trPr>
        <w:tc>
          <w:tcPr>
            <w:tcW w:w="700" w:type="dxa"/>
            <w:vAlign w:val="bottom"/>
            <w:vMerge w:val="restart"/>
          </w:tcPr>
          <w:p>
            <w:pPr>
              <w:jc w:val="right"/>
              <w:ind w:right="340"/>
              <w:spacing w:after="0"/>
              <w:rPr>
                <w:sz w:val="20"/>
                <w:szCs w:val="20"/>
                <w:color w:val="auto"/>
              </w:rPr>
            </w:pPr>
            <w:r>
              <w:rPr>
                <w:rFonts w:ascii="Arial" w:cs="Arial" w:eastAsia="Arial" w:hAnsi="Arial"/>
                <w:sz w:val="16"/>
                <w:szCs w:val="16"/>
                <w:color w:val="auto"/>
                <w:w w:val="83"/>
              </w:rPr>
              <w:t>99.1</w:t>
            </w:r>
          </w:p>
        </w:tc>
        <w:tc>
          <w:tcPr>
            <w:tcW w:w="7900" w:type="dxa"/>
            <w:vAlign w:val="bottom"/>
          </w:tcPr>
          <w:p>
            <w:pPr>
              <w:ind w:left="420"/>
              <w:spacing w:after="0"/>
              <w:rPr>
                <w:sz w:val="20"/>
                <w:szCs w:val="20"/>
                <w:color w:val="auto"/>
              </w:rPr>
            </w:pPr>
            <w:r>
              <w:rPr>
                <w:rFonts w:ascii="Arial" w:cs="Arial" w:eastAsia="Arial" w:hAnsi="Arial"/>
                <w:sz w:val="16"/>
                <w:szCs w:val="16"/>
                <w:color w:val="auto"/>
                <w:w w:val="96"/>
              </w:rPr>
              <w:t>Press Release of Brady Corporation, dated February 19, 2015, relating to second quarter fiscal 2015 financial</w:t>
            </w: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900" w:type="dxa"/>
            <w:vAlign w:val="bottom"/>
            <w:vMerge w:val="restart"/>
          </w:tcPr>
          <w:p>
            <w:pPr>
              <w:ind w:left="42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700" w:type="dxa"/>
            <w:vAlign w:val="bottom"/>
            <w:vMerge w:val="restart"/>
          </w:tcPr>
          <w:p>
            <w:pPr>
              <w:jc w:val="right"/>
              <w:ind w:right="340"/>
              <w:spacing w:after="0"/>
              <w:rPr>
                <w:sz w:val="20"/>
                <w:szCs w:val="20"/>
                <w:color w:val="auto"/>
              </w:rPr>
            </w:pPr>
            <w:r>
              <w:rPr>
                <w:rFonts w:ascii="Arial" w:cs="Arial" w:eastAsia="Arial" w:hAnsi="Arial"/>
                <w:sz w:val="16"/>
                <w:szCs w:val="16"/>
                <w:color w:val="auto"/>
                <w:w w:val="83"/>
              </w:rPr>
              <w:t>99.2</w:t>
            </w:r>
          </w:p>
        </w:tc>
        <w:tc>
          <w:tcPr>
            <w:tcW w:w="7900" w:type="dxa"/>
            <w:vAlign w:val="bottom"/>
          </w:tcPr>
          <w:p>
            <w:pPr>
              <w:ind w:left="420"/>
              <w:spacing w:after="0"/>
              <w:rPr>
                <w:sz w:val="20"/>
                <w:szCs w:val="20"/>
                <w:color w:val="auto"/>
              </w:rPr>
            </w:pPr>
            <w:r>
              <w:rPr>
                <w:rFonts w:ascii="Arial" w:cs="Arial" w:eastAsia="Arial" w:hAnsi="Arial"/>
                <w:sz w:val="16"/>
                <w:szCs w:val="16"/>
                <w:color w:val="auto"/>
                <w:w w:val="93"/>
              </w:rPr>
              <w:t>Press Release of Brady Corporation, dated February 17, 2015, relating to the appointment of Harold Sirkin to the</w:t>
            </w: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900" w:type="dxa"/>
            <w:vAlign w:val="bottom"/>
            <w:vMerge w:val="restart"/>
          </w:tcPr>
          <w:p>
            <w:pPr>
              <w:ind w:left="42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700" w:type="dxa"/>
            <w:vAlign w:val="bottom"/>
            <w:vMerge w:val="restart"/>
          </w:tcPr>
          <w:p>
            <w:pPr>
              <w:jc w:val="right"/>
              <w:ind w:right="340"/>
              <w:spacing w:after="0"/>
              <w:rPr>
                <w:sz w:val="20"/>
                <w:szCs w:val="20"/>
                <w:color w:val="auto"/>
              </w:rPr>
            </w:pPr>
            <w:r>
              <w:rPr>
                <w:rFonts w:ascii="Arial" w:cs="Arial" w:eastAsia="Arial" w:hAnsi="Arial"/>
                <w:sz w:val="16"/>
                <w:szCs w:val="16"/>
                <w:color w:val="auto"/>
                <w:w w:val="83"/>
              </w:rPr>
              <w:t>99.3</w:t>
            </w:r>
          </w:p>
        </w:tc>
        <w:tc>
          <w:tcPr>
            <w:tcW w:w="7900" w:type="dxa"/>
            <w:vAlign w:val="bottom"/>
          </w:tcPr>
          <w:p>
            <w:pPr>
              <w:ind w:left="420"/>
              <w:spacing w:after="0"/>
              <w:rPr>
                <w:sz w:val="20"/>
                <w:szCs w:val="20"/>
                <w:color w:val="auto"/>
              </w:rPr>
            </w:pPr>
            <w:r>
              <w:rPr>
                <w:rFonts w:ascii="Arial" w:cs="Arial" w:eastAsia="Arial" w:hAnsi="Arial"/>
                <w:sz w:val="16"/>
                <w:szCs w:val="16"/>
                <w:color w:val="auto"/>
                <w:w w:val="91"/>
              </w:rPr>
              <w:t>Informational slides provided by Brady Corporation, dated February 19, 2015, relating to second quarter fiscal 2015</w:t>
            </w: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900" w:type="dxa"/>
            <w:vAlign w:val="bottom"/>
            <w:vMerge w:val="restart"/>
          </w:tcPr>
          <w:p>
            <w:pPr>
              <w:ind w:left="42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ind w:left="4"/>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4"/>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
        <w:spacing w:after="0"/>
        <w:tabs>
          <w:tab w:leader="none" w:pos="5943" w:val="left"/>
        </w:tabs>
        <w:rPr>
          <w:sz w:val="20"/>
          <w:szCs w:val="20"/>
          <w:color w:val="auto"/>
        </w:rPr>
      </w:pPr>
      <w:r>
        <w:rPr>
          <w:rFonts w:ascii="Arial" w:cs="Arial" w:eastAsia="Arial" w:hAnsi="Arial"/>
          <w:sz w:val="16"/>
          <w:szCs w:val="16"/>
          <w:color w:val="auto"/>
        </w:rPr>
        <w:t>Date: February 19, 2015</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29210</wp:posOffset>
            </wp:positionV>
            <wp:extent cx="34848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4"/>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4"/>
        <w:spacing w:after="0"/>
        <w:rPr>
          <w:sz w:val="20"/>
          <w:szCs w:val="20"/>
          <w:color w:val="auto"/>
        </w:rPr>
      </w:pPr>
      <w:r>
        <w:rPr>
          <w:rFonts w:ascii="Arial" w:cs="Arial" w:eastAsia="Arial" w:hAnsi="Arial"/>
          <w:sz w:val="16"/>
          <w:szCs w:val="16"/>
          <w:color w:val="auto"/>
        </w:rPr>
        <w:t>Senior Vice President &amp; Chief Financial Officer</w:t>
      </w:r>
    </w:p>
    <w:p>
      <w:pPr>
        <w:sectPr>
          <w:pgSz w:w="11900" w:h="16838" w:orient="portrait"/>
          <w:cols w:equalWidth="0" w:num="1">
            <w:col w:w="11444"/>
          </w:cols>
          <w:pgMar w:left="236" w:top="682" w:right="219"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100"/>
        <w:spacing w:after="0"/>
        <w:rPr>
          <w:sz w:val="20"/>
          <w:szCs w:val="20"/>
          <w:color w:val="auto"/>
        </w:rPr>
      </w:pPr>
      <w:r>
        <w:rPr>
          <w:rFonts w:ascii="Arial" w:cs="Arial" w:eastAsia="Arial" w:hAnsi="Arial"/>
          <w:sz w:val="16"/>
          <w:szCs w:val="16"/>
          <w:color w:val="auto"/>
        </w:rPr>
        <w:t>EXHIBIT INDEX</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line="18"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20320</wp:posOffset>
            </wp:positionV>
            <wp:extent cx="55149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4975" cy="762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0" w:type="dxa"/>
            <w:vAlign w:val="bottom"/>
            <w:vMerge w:val="restart"/>
          </w:tcPr>
          <w:p>
            <w:pPr>
              <w:jc w:val="right"/>
              <w:ind w:right="340"/>
              <w:spacing w:after="0"/>
              <w:rPr>
                <w:sz w:val="20"/>
                <w:szCs w:val="20"/>
                <w:color w:val="auto"/>
              </w:rPr>
            </w:pPr>
            <w:r>
              <w:rPr>
                <w:rFonts w:ascii="Arial" w:cs="Arial" w:eastAsia="Arial" w:hAnsi="Arial"/>
                <w:sz w:val="16"/>
                <w:szCs w:val="16"/>
                <w:color w:val="auto"/>
                <w:w w:val="83"/>
              </w:rPr>
              <w:t>99.1</w:t>
            </w:r>
          </w:p>
        </w:tc>
        <w:tc>
          <w:tcPr>
            <w:tcW w:w="7900" w:type="dxa"/>
            <w:vAlign w:val="bottom"/>
          </w:tcPr>
          <w:p>
            <w:pPr>
              <w:ind w:left="420"/>
              <w:spacing w:after="0"/>
              <w:rPr>
                <w:sz w:val="20"/>
                <w:szCs w:val="20"/>
                <w:color w:val="auto"/>
              </w:rPr>
            </w:pPr>
            <w:r>
              <w:rPr>
                <w:rFonts w:ascii="Arial" w:cs="Arial" w:eastAsia="Arial" w:hAnsi="Arial"/>
                <w:sz w:val="16"/>
                <w:szCs w:val="16"/>
                <w:color w:val="auto"/>
                <w:w w:val="96"/>
              </w:rPr>
              <w:t>Press Release of Brady Corporation, dated February 19, 2015, relating to second quarter fiscal 2015 financial</w:t>
            </w: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900" w:type="dxa"/>
            <w:vAlign w:val="bottom"/>
            <w:vMerge w:val="restart"/>
          </w:tcPr>
          <w:p>
            <w:pPr>
              <w:ind w:left="42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700" w:type="dxa"/>
            <w:vAlign w:val="bottom"/>
            <w:vMerge w:val="restart"/>
          </w:tcPr>
          <w:p>
            <w:pPr>
              <w:jc w:val="right"/>
              <w:ind w:right="340"/>
              <w:spacing w:after="0"/>
              <w:rPr>
                <w:sz w:val="20"/>
                <w:szCs w:val="20"/>
                <w:color w:val="auto"/>
              </w:rPr>
            </w:pPr>
            <w:r>
              <w:rPr>
                <w:rFonts w:ascii="Arial" w:cs="Arial" w:eastAsia="Arial" w:hAnsi="Arial"/>
                <w:sz w:val="16"/>
                <w:szCs w:val="16"/>
                <w:color w:val="auto"/>
                <w:w w:val="83"/>
              </w:rPr>
              <w:t>99.2</w:t>
            </w:r>
          </w:p>
        </w:tc>
        <w:tc>
          <w:tcPr>
            <w:tcW w:w="7900" w:type="dxa"/>
            <w:vAlign w:val="bottom"/>
          </w:tcPr>
          <w:p>
            <w:pPr>
              <w:ind w:left="420"/>
              <w:spacing w:after="0"/>
              <w:rPr>
                <w:sz w:val="20"/>
                <w:szCs w:val="20"/>
                <w:color w:val="auto"/>
              </w:rPr>
            </w:pPr>
            <w:r>
              <w:rPr>
                <w:rFonts w:ascii="Arial" w:cs="Arial" w:eastAsia="Arial" w:hAnsi="Arial"/>
                <w:sz w:val="16"/>
                <w:szCs w:val="16"/>
                <w:color w:val="auto"/>
                <w:w w:val="93"/>
              </w:rPr>
              <w:t>Press Release of Brady Corporation, dated February 17, 2015, relating to the appointment of Harold Sirkin to the</w:t>
            </w: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900" w:type="dxa"/>
            <w:vAlign w:val="bottom"/>
            <w:vMerge w:val="restart"/>
          </w:tcPr>
          <w:p>
            <w:pPr>
              <w:ind w:left="42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700" w:type="dxa"/>
            <w:vAlign w:val="bottom"/>
            <w:vMerge w:val="restart"/>
          </w:tcPr>
          <w:p>
            <w:pPr>
              <w:jc w:val="right"/>
              <w:ind w:right="340"/>
              <w:spacing w:after="0"/>
              <w:rPr>
                <w:sz w:val="20"/>
                <w:szCs w:val="20"/>
                <w:color w:val="auto"/>
              </w:rPr>
            </w:pPr>
            <w:r>
              <w:rPr>
                <w:rFonts w:ascii="Arial" w:cs="Arial" w:eastAsia="Arial" w:hAnsi="Arial"/>
                <w:sz w:val="16"/>
                <w:szCs w:val="16"/>
                <w:color w:val="auto"/>
                <w:w w:val="83"/>
              </w:rPr>
              <w:t>99.3</w:t>
            </w:r>
          </w:p>
        </w:tc>
        <w:tc>
          <w:tcPr>
            <w:tcW w:w="7900" w:type="dxa"/>
            <w:vAlign w:val="bottom"/>
          </w:tcPr>
          <w:p>
            <w:pPr>
              <w:ind w:left="420"/>
              <w:spacing w:after="0"/>
              <w:rPr>
                <w:sz w:val="20"/>
                <w:szCs w:val="20"/>
                <w:color w:val="auto"/>
              </w:rPr>
            </w:pPr>
            <w:r>
              <w:rPr>
                <w:rFonts w:ascii="Arial" w:cs="Arial" w:eastAsia="Arial" w:hAnsi="Arial"/>
                <w:sz w:val="16"/>
                <w:szCs w:val="16"/>
                <w:color w:val="auto"/>
                <w:w w:val="91"/>
              </w:rPr>
              <w:t>Informational slides provided by Brady Corporation, dated February 19, 2015, relating to second quarter fiscal 2015</w:t>
            </w: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900" w:type="dxa"/>
            <w:vAlign w:val="bottom"/>
            <w:vMerge w:val="restart"/>
          </w:tcPr>
          <w:p>
            <w:pPr>
              <w:ind w:left="42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73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2015 Second Quarter Results</w:t>
      </w:r>
    </w:p>
    <w:p>
      <w:pPr>
        <w:spacing w:after="0" w:line="245" w:lineRule="exact"/>
        <w:rPr>
          <w:sz w:val="20"/>
          <w:szCs w:val="20"/>
          <w:color w:val="auto"/>
        </w:rPr>
      </w:pPr>
    </w:p>
    <w:p>
      <w:pPr>
        <w:ind w:left="580" w:right="20" w:hanging="294"/>
        <w:spacing w:after="0" w:line="349"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Second quarter organic revenue growth of 1.4 percent, with 1.9 percent organic growth in Identification Solutions and 0.6 percent organic growth in Workplace Safety.</w:t>
      </w:r>
    </w:p>
    <w:p>
      <w:pPr>
        <w:spacing w:after="0" w:line="1" w:lineRule="exact"/>
        <w:rPr>
          <w:rFonts w:ascii="Arial" w:cs="Arial" w:eastAsia="Arial" w:hAnsi="Arial"/>
          <w:sz w:val="16"/>
          <w:szCs w:val="16"/>
          <w:color w:val="auto"/>
        </w:rPr>
      </w:pPr>
    </w:p>
    <w:p>
      <w:pPr>
        <w:ind w:left="580" w:right="20" w:hanging="294"/>
        <w:spacing w:after="0" w:line="349"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Non-GAAP earnings from continuing operations* growth of 12.5 percent to $15.0 million during the quarter ended January 31, 2015 compared to $13.4 million in the second quarter of last year.</w:t>
      </w:r>
    </w:p>
    <w:p>
      <w:pPr>
        <w:spacing w:after="0" w:line="1" w:lineRule="exact"/>
        <w:rPr>
          <w:rFonts w:ascii="Arial" w:cs="Arial" w:eastAsia="Arial" w:hAnsi="Arial"/>
          <w:sz w:val="16"/>
          <w:szCs w:val="16"/>
          <w:color w:val="auto"/>
        </w:rPr>
      </w:pPr>
    </w:p>
    <w:p>
      <w:pPr>
        <w:jc w:val="both"/>
        <w:ind w:left="580" w:right="20" w:hanging="294"/>
        <w:spacing w:after="0" w:line="359"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Non-GAAP earnings from continuing operations per diluted Class A Nonvoting Common Share* growth of 16.0 percent to $0.29 during the quarter ended January 31, 2015 compared to $0.25 in the same quarter of the prior year. The current quarter was positively impacted by a lower income tax rate due to the extension of certain U.S. tax provisions that were passed by Congress in late December.</w:t>
      </w:r>
    </w:p>
    <w:p>
      <w:pPr>
        <w:spacing w:after="0" w:line="253" w:lineRule="exact"/>
        <w:rPr>
          <w:sz w:val="20"/>
          <w:szCs w:val="20"/>
          <w:color w:val="auto"/>
        </w:rPr>
      </w:pPr>
    </w:p>
    <w:p>
      <w:pPr>
        <w:jc w:val="both"/>
        <w:ind w:right="20"/>
        <w:spacing w:after="0" w:line="368" w:lineRule="auto"/>
        <w:rPr>
          <w:sz w:val="20"/>
          <w:szCs w:val="20"/>
          <w:color w:val="auto"/>
        </w:rPr>
      </w:pPr>
      <w:r>
        <w:rPr>
          <w:rFonts w:ascii="Arial" w:cs="Arial" w:eastAsia="Arial" w:hAnsi="Arial"/>
          <w:sz w:val="18"/>
          <w:szCs w:val="18"/>
          <w:color w:val="auto"/>
        </w:rPr>
        <w:t>MILWAUKEE (February 19, 2015)--Brady Corporation (NYSE: BRC) (“Brady” or “Company”), a world leader in identification solutions, today reported its financial results for its fiscal 2015 second quarter ended January 31, 2015.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January 31, 2015 Financial Results:</w:t>
      </w:r>
    </w:p>
    <w:p>
      <w:pPr>
        <w:spacing w:after="0" w:line="10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Sales for the quarter ended January 31, 2015 decreased 2.9 percent to $282.6 million compared to $291.2 million in the second quarter of fiscal 2014. Total organic sales increased 1.4 percent and foreign currency translation decreased sales by 4.3 percent. By segment, organic sales increased 1.9 percent in Identification Solutions and 0.6 percent in Workplace Safety.</w:t>
      </w:r>
    </w:p>
    <w:p>
      <w:pPr>
        <w:spacing w:after="0" w:line="2" w:lineRule="exact"/>
        <w:rPr>
          <w:sz w:val="20"/>
          <w:szCs w:val="20"/>
          <w:color w:val="auto"/>
        </w:rPr>
      </w:pPr>
    </w:p>
    <w:p>
      <w:pPr>
        <w:jc w:val="both"/>
        <w:ind w:right="20" w:firstLine="579"/>
        <w:spacing w:after="0" w:line="419" w:lineRule="auto"/>
        <w:rPr>
          <w:sz w:val="20"/>
          <w:szCs w:val="20"/>
          <w:color w:val="auto"/>
        </w:rPr>
      </w:pPr>
      <w:r>
        <w:rPr>
          <w:rFonts w:ascii="Arial" w:cs="Arial" w:eastAsia="Arial" w:hAnsi="Arial"/>
          <w:sz w:val="15"/>
          <w:szCs w:val="15"/>
          <w:color w:val="auto"/>
        </w:rPr>
        <w:t>Earnings from continuing operations for the quarter ended January 31, 2015 were $11.6 million compared to $10.5 million in the prior year quarter. Non-GAAP net earnings from continuing operations* for the current quarter were $15.0 million compared to $13.4 million in the same quarter last year.</w:t>
      </w:r>
    </w:p>
    <w:p>
      <w:pPr>
        <w:spacing w:after="0" w:line="1" w:lineRule="exact"/>
        <w:rPr>
          <w:sz w:val="20"/>
          <w:szCs w:val="20"/>
          <w:color w:val="auto"/>
        </w:rPr>
      </w:pPr>
    </w:p>
    <w:p>
      <w:pPr>
        <w:jc w:val="both"/>
        <w:ind w:firstLine="579"/>
        <w:spacing w:after="0" w:line="359" w:lineRule="auto"/>
        <w:rPr>
          <w:sz w:val="20"/>
          <w:szCs w:val="20"/>
          <w:color w:val="auto"/>
        </w:rPr>
      </w:pPr>
      <w:r>
        <w:rPr>
          <w:rFonts w:ascii="Arial" w:cs="Arial" w:eastAsia="Arial" w:hAnsi="Arial"/>
          <w:sz w:val="18"/>
          <w:szCs w:val="18"/>
          <w:color w:val="auto"/>
        </w:rPr>
        <w:t>Net earnings from continuing operations per Class A Nonvoting Common Share were $0.23 for the quarter ended January 31, 2015 compared to $0.20 in the same quarter last year. Non-GAAP earnings from continuing operations per diluted Class A Nonvoting Common Share* were $0.29 in the second quarter of fiscal 2015 compared to $0.25 per share in the second quarter of fiscal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Period Ended January 31, 2015 Financial Results:</w:t>
      </w:r>
    </w:p>
    <w:p>
      <w:pPr>
        <w:spacing w:after="0" w:line="101"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Sales for the six-month period ended January 31, 2015 decreased 1.0 percent to $592.9 million compared to $598.7 million in the same period in fiscal 2014. Total organic sales increased 1.9 percent and the impact of foreign currency translation decreased sales by 2.9 percent. By segment, organic sales increased 2.1 percent in Identification Solutions and 1.5 percent in Workplace Safety.</w:t>
      </w:r>
    </w:p>
    <w:p>
      <w:pPr>
        <w:sectPr>
          <w:pgSz w:w="11900" w:h="16838" w:orient="portrait"/>
          <w:cols w:equalWidth="0" w:num="1">
            <w:col w:w="11440"/>
          </w:cols>
          <w:pgMar w:left="240" w:top="734" w:right="219" w:bottom="1440" w:gutter="0" w:footer="0" w:header="0"/>
        </w:sectPr>
      </w:pPr>
    </w:p>
    <w:bookmarkStart w:id="5" w:name="page6"/>
    <w:bookmarkEnd w:id="5"/>
    <w:p>
      <w:pPr>
        <w:jc w:val="both"/>
        <w:ind w:right="20" w:firstLine="579"/>
        <w:spacing w:after="0" w:line="349" w:lineRule="auto"/>
        <w:rPr>
          <w:sz w:val="20"/>
          <w:szCs w:val="20"/>
          <w:color w:val="auto"/>
        </w:rPr>
      </w:pPr>
      <w:r>
        <w:rPr>
          <w:rFonts w:ascii="Arial" w:cs="Arial" w:eastAsia="Arial" w:hAnsi="Arial"/>
          <w:sz w:val="18"/>
          <w:szCs w:val="18"/>
          <w:color w:val="auto"/>
        </w:rPr>
        <w:t>Earnings from continuing operations for the six-month period ended January 31, 2015 were $27.1 million compared to $28.7 million in the same period in fiscal 2014. Non-GAAP net earnings from continuing operations* for the six-month period were $33.5 million compared to $36.2 million in the same period in fiscal 2014.</w:t>
      </w:r>
    </w:p>
    <w:p>
      <w:pPr>
        <w:spacing w:after="0" w:line="2"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Net earnings from continuing operations per Class A Nonvoting Common share were $0.53 for the six-month period ended January 31, 2015 compared to $0.55 in the same period in fiscal 2014. Non-GAAP earnings from continuing operations per diluted Class A Common Share* were $0.65 in the six-month period ended January 31, 2015 compared to $0.69 in the same period in fiscal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jc w:val="both"/>
        <w:ind w:right="20" w:firstLine="579"/>
        <w:spacing w:after="0" w:line="370" w:lineRule="auto"/>
        <w:rPr>
          <w:sz w:val="20"/>
          <w:szCs w:val="20"/>
          <w:color w:val="auto"/>
        </w:rPr>
      </w:pPr>
      <w:r>
        <w:rPr>
          <w:rFonts w:ascii="Arial" w:cs="Arial" w:eastAsia="Arial" w:hAnsi="Arial"/>
          <w:sz w:val="17"/>
          <w:szCs w:val="17"/>
          <w:color w:val="auto"/>
        </w:rPr>
        <w:t>“This marks the fourth consecutive quarter of organic sales growth for Brady Corporation and the third consecutive quarter of organic sales growth in our Workplace Safety business. Our gross profit margin is also stabilizing as we near completion of our facility consolidation activities. Our gross profit margin finished at 48.9 percent, which is a 50 basis point improvement over the first quarter of fiscal 2015,” said Brady President and Chief Executive Officer, J. Michael Nauman. “Although our profitability was impacted by costs related to the consolidation of our manufacturing facilities, the level of incremental costs is moderating and we expect completion of these activities by the end of fiscal 2015. We are focused on executing business fundamentals to drive organic sales growth and improve profitability while investing in research and development and sales resources in selected industries, as well as building an enhanced, scalable digital platform that will generate value for Brady and its customers.”</w:t>
      </w:r>
    </w:p>
    <w:p>
      <w:pPr>
        <w:spacing w:after="0" w:line="1" w:lineRule="exact"/>
        <w:rPr>
          <w:sz w:val="20"/>
          <w:szCs w:val="20"/>
          <w:color w:val="auto"/>
        </w:rPr>
      </w:pPr>
    </w:p>
    <w:p>
      <w:pPr>
        <w:jc w:val="both"/>
        <w:ind w:right="20" w:firstLine="579"/>
        <w:spacing w:after="0" w:line="356" w:lineRule="auto"/>
        <w:rPr>
          <w:sz w:val="20"/>
          <w:szCs w:val="20"/>
          <w:color w:val="auto"/>
        </w:rPr>
      </w:pPr>
      <w:r>
        <w:rPr>
          <w:rFonts w:ascii="Arial" w:cs="Arial" w:eastAsia="Arial" w:hAnsi="Arial"/>
          <w:sz w:val="18"/>
          <w:szCs w:val="18"/>
          <w:color w:val="auto"/>
        </w:rPr>
        <w:t>“Along with our stabilizing gross profit margins, we are also seeing benefits from our focus on controlling selling, general, and administrative expenses, which should aid in continuing our trend of improving financial results,” said Brady’s Chief Financial Officer, Aaron Pearce. “As we look to the second half of fiscal 2015, we also anticipate free cash flow to improve as we systematically reduce our inventory levels, moderate our capital expenditures and increase profitability.”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Guidance:</w:t>
      </w:r>
    </w:p>
    <w:p>
      <w:pPr>
        <w:spacing w:after="0" w:line="101" w:lineRule="exact"/>
        <w:rPr>
          <w:sz w:val="20"/>
          <w:szCs w:val="20"/>
          <w:color w:val="auto"/>
        </w:rPr>
      </w:pPr>
    </w:p>
    <w:p>
      <w:pPr>
        <w:jc w:val="both"/>
        <w:ind w:firstLine="579"/>
        <w:spacing w:after="0" w:line="370" w:lineRule="auto"/>
        <w:rPr>
          <w:sz w:val="20"/>
          <w:szCs w:val="20"/>
          <w:color w:val="auto"/>
        </w:rPr>
      </w:pPr>
      <w:r>
        <w:rPr>
          <w:rFonts w:ascii="Arial" w:cs="Arial" w:eastAsia="Arial" w:hAnsi="Arial"/>
          <w:sz w:val="17"/>
          <w:szCs w:val="17"/>
          <w:color w:val="auto"/>
        </w:rPr>
        <w:t>The Company anticipates low single-digit organic sales growth in fiscal 2015, with organic sales growth in both the Identification Solutions and Workplace Safety platforms. Brady also expects a full-year income tax rate in the mid-to-upper 20 percent range, approximately $15 million of restructuring charges, $40 million of depreciation and amortization expense and capital expenditures of approximately $35 million in fiscal 2015.</w:t>
      </w:r>
    </w:p>
    <w:p>
      <w:pPr>
        <w:spacing w:after="0" w:line="1" w:lineRule="exact"/>
        <w:rPr>
          <w:sz w:val="20"/>
          <w:szCs w:val="20"/>
          <w:color w:val="auto"/>
        </w:rPr>
      </w:pPr>
    </w:p>
    <w:p>
      <w:pPr>
        <w:jc w:val="both"/>
        <w:ind w:firstLine="579"/>
        <w:spacing w:after="0" w:line="387" w:lineRule="auto"/>
        <w:rPr>
          <w:sz w:val="20"/>
          <w:szCs w:val="20"/>
          <w:color w:val="auto"/>
        </w:rPr>
      </w:pPr>
      <w:r>
        <w:rPr>
          <w:rFonts w:ascii="Arial" w:cs="Arial" w:eastAsia="Arial" w:hAnsi="Arial"/>
          <w:sz w:val="17"/>
          <w:szCs w:val="17"/>
          <w:color w:val="auto"/>
        </w:rPr>
        <w:t>Earnings from continuing operations per diluted Class A Nonvoting Common Share, exclusive of restructuring charges and other non-routine charges guidance remains unchanged at $1.50 to $1.70. However, due to the strengthening of the US dollar against other major currencies, the Company anticipates that its full-year fiscal 2015 results will finish at the low end of this range. This guidance is based on current exchange rates.</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2015 second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ectPr>
          <w:pgSz w:w="11900" w:h="16838" w:orient="portrait"/>
          <w:cols w:equalWidth="0" w:num="1">
            <w:col w:w="11440"/>
          </w:cols>
          <w:pgMar w:left="240" w:top="583" w:right="219" w:bottom="1440" w:gutter="0" w:footer="0" w:header="0"/>
        </w:sectPr>
      </w:pPr>
    </w:p>
    <w:bookmarkStart w:id="6" w:name="page7"/>
    <w:bookmarkEnd w:id="6"/>
    <w:p>
      <w:pPr>
        <w:jc w:val="both"/>
        <w:ind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August 1, 2014, employed approximately 6,400 people in its worldwide businesses. Brady’s fiscal 2014 sales were approximately $1.23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healthcare strategy; implementation of the Workplace Safety strategy; future competition; risks associated with restructuring plans; future financial performance of major markets Brady serves, which include, without limitation, telecommunications, hard disk drive, manufacturing, electrical, construction, laboratory, education, governmental, public utility, computer, healthcare and transportation; technology changes and potential security violations to the Company's information technology system; fluctuations in currency rates versus the U.S. dollar; risks associated with international operations; difficulties associated with exports; Brady's ability to develop and successfully market new products; risks associated with identifying, completing, and integrating acquisitions; changes in the supply of, or price for, parts and components; increased price pressure from suppliers and customers; Brady's ability to retain significant contracts and customers; risk associated with loss of key talent; risks associated with divestitures and businesses held for sale; risks associated with obtaining governmental approvals and maintaining regulatory compliance; risk associated with product liability claims; environmental, health and safety compliance costs and liabilities; potential write-offs of Brady's substantial intangible assets; risks associated with our ownership structure; unforeseen tax consequences; Brady's ability to maintain compliance with its debt covenants; increase in our level of debt;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2014.</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40" w:top="583" w:right="2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color w:val="auto"/>
              </w:rPr>
              <w:t>Three months ended January 31,</w:t>
            </w:r>
          </w:p>
        </w:tc>
        <w:tc>
          <w:tcPr>
            <w:tcW w:w="180" w:type="dxa"/>
            <w:vAlign w:val="bottom"/>
          </w:tcPr>
          <w:p>
            <w:pPr>
              <w:spacing w:after="0"/>
              <w:rPr>
                <w:sz w:val="15"/>
                <w:szCs w:val="15"/>
                <w:color w:val="auto"/>
              </w:rPr>
            </w:pPr>
          </w:p>
        </w:tc>
        <w:tc>
          <w:tcPr>
            <w:tcW w:w="2060" w:type="dxa"/>
            <w:vAlign w:val="bottom"/>
            <w:gridSpan w:val="4"/>
          </w:tcPr>
          <w:p>
            <w:pPr>
              <w:jc w:val="right"/>
              <w:ind w:right="168"/>
              <w:spacing w:after="0"/>
              <w:rPr>
                <w:sz w:val="20"/>
                <w:szCs w:val="20"/>
                <w:color w:val="auto"/>
              </w:rPr>
            </w:pPr>
            <w:r>
              <w:rPr>
                <w:rFonts w:ascii="Arial" w:cs="Arial" w:eastAsia="Arial" w:hAnsi="Arial"/>
                <w:sz w:val="14"/>
                <w:szCs w:val="14"/>
                <w:color w:val="auto"/>
                <w:w w:val="95"/>
              </w:rPr>
              <w:t>Six months ended January 31,</w:t>
            </w:r>
          </w:p>
        </w:tc>
      </w:tr>
      <w:tr>
        <w:trPr>
          <w:trHeight w:val="30"/>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282,628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291,194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592,868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598,724</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144,425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148,658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304,503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298,341</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138,203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142,536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288,365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300,383</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8,948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18,579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17,027</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107,565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111,426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216,846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224,159</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4,879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11,163</w:t>
            </w: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121,392</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124,190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244,582</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252,349</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16,811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43,783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48,034</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Other income and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income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1,017</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(7,397)</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14,022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14,925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38,427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41,654</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11,344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13,002</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11,584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10,517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27,083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28,652</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w w:val="99"/>
              </w:rPr>
              <w:t>Earnings (loss) from discontinued operations, net of income taxes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11,701</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6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11,584</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25,168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40,353</w:t>
            </w:r>
          </w:p>
        </w:tc>
      </w:tr>
      <w:tr>
        <w:trPr>
          <w:trHeight w:val="177"/>
        </w:trPr>
        <w:tc>
          <w:tcPr>
            <w:tcW w:w="4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0.55</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0.53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0.55</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B Voting Common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0.53</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0.51</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0.53</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w w:val="96"/>
              </w:rPr>
              <w:t>Earnings (loss) from discontinued operations per Class A Nonvoting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0.22</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0.22</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(loss) from discontinued operations per Class B Voting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0.22</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0.77</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0.49</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0.77</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0.39</w:t>
            </w:r>
          </w:p>
        </w:tc>
      </w:tr>
      <w:tr>
        <w:trPr>
          <w:trHeight w:val="193"/>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0.48</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0.76</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0.195</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0.383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0.373</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51,272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52,208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51,262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52,140</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51,348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51,330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52,457</w:t>
            </w: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January 31, 2015</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2014</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jc w:val="center"/>
              <w:ind w:right="2720"/>
              <w:spacing w:after="0" w:line="149" w:lineRule="exact"/>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2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93,299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81,834</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151,426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177,648</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Finished products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70,974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73,096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Work-in-process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19,315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17,689</w:t>
            </w: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Raw materials and supplies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22,490</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5"/>
            <w:shd w:val="clear" w:color="auto" w:fill="CCEEFF"/>
          </w:tcPr>
          <w:p>
            <w:pPr>
              <w:ind w:left="1000"/>
              <w:spacing w:after="0"/>
              <w:rPr>
                <w:sz w:val="20"/>
                <w:szCs w:val="20"/>
                <w:color w:val="auto"/>
              </w:rPr>
            </w:pPr>
            <w:r>
              <w:rPr>
                <w:rFonts w:ascii="Arial" w:cs="Arial" w:eastAsia="Arial" w:hAnsi="Arial"/>
                <w:sz w:val="14"/>
                <w:szCs w:val="14"/>
                <w:color w:val="auto"/>
              </w:rPr>
              <w:t>Total inventories</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116,938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113,275</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Assets held for sale</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49,542</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43,953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41,543</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assets</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405,616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463,842</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478,991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515,004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 intangible assets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81,526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91,014</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19,293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27,320</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20,775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22,314</w:t>
            </w: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Cost: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Land</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5,924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7,875</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Buildings and improvements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97,729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101,866</w:t>
            </w: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Machinery and equipment</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283,773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288,409</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Construction in progress</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395,934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410,650</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Less accumulated depreciation</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266,680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276,479</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Property, plant and equipment—net</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129,254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134,171</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1,135,455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1,253,665</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spacing w:after="0" w:line="20" w:lineRule="exact"/>
              <w:rPr>
                <w:sz w:val="1"/>
                <w:szCs w:val="1"/>
                <w:color w:val="auto"/>
              </w:rPr>
            </w:pPr>
          </w:p>
        </w:tc>
        <w:tc>
          <w:tcPr>
            <w:tcW w:w="4760" w:type="dxa"/>
            <w:vAlign w:val="bottom"/>
            <w:tcBorders>
              <w:top w:val="single" w:sz="8" w:color="CCEEFF"/>
              <w:bottom w:val="single" w:sz="8" w:color="CCEEFF"/>
            </w:tcBorders>
            <w:gridSpan w:val="4"/>
            <w:vMerge w:val="restart"/>
          </w:tcPr>
          <w:p>
            <w:pPr>
              <w:jc w:val="center"/>
              <w:ind w:right="1200"/>
              <w:spacing w:after="0"/>
              <w:rPr>
                <w:sz w:val="20"/>
                <w:szCs w:val="20"/>
                <w:color w:val="auto"/>
              </w:rPr>
            </w:pPr>
            <w:r>
              <w:rPr>
                <w:rFonts w:ascii="Arial" w:cs="Arial" w:eastAsia="Arial" w:hAnsi="Arial"/>
                <w:sz w:val="14"/>
                <w:szCs w:val="14"/>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47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520" w:type="dxa"/>
            <w:vAlign w:val="bottom"/>
            <w:tcBorders>
              <w:top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Notes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90,850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61,422</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74,154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88,099</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Wages and amounts withheld from employees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32,535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38,064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Liabilities held for sale</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10,640</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Taxes, other than income taxes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5,928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7,994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Accrued income taxes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7,893</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current liabilities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32,935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35,319</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Current maturities on long-term debt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42,514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42,514</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liabilities</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280,465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291,945</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143,778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159,296</w:t>
            </w:r>
          </w:p>
        </w:tc>
        <w:tc>
          <w:tcPr>
            <w:tcW w:w="0" w:type="dxa"/>
            <w:vAlign w:val="bottom"/>
          </w:tcPr>
          <w:p>
            <w:pPr>
              <w:spacing w:after="0"/>
              <w:rPr>
                <w:sz w:val="1"/>
                <w:szCs w:val="1"/>
                <w:color w:val="auto"/>
              </w:rPr>
            </w:pPr>
          </w:p>
        </w:tc>
      </w:tr>
      <w:tr>
        <w:trPr>
          <w:trHeight w:val="21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liabilities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65,652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69,348</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489,895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520,589</w:t>
            </w: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96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w w:val="94"/>
              </w:rPr>
              <w:t>Class A nonvoting common stock—Issued 51,261,487 and 51,261,487 shares, respectively and</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outstanding 47,748,984 and 47,704,196, respectively</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Class B voting common stock—Issued and outstanding, 3,538,628 shares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312,819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311,811</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Earnings retained in the business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456,777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452,057</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w w:val="96"/>
              </w:rPr>
              <w:t>Treasury stock—3,512,503 and 3,477,291 shares, respectively of Class A nonvoting common</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stock, at cost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(94,089)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(93,337)</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Accumulated other comprehensive (loss) income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64,156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stockholders’ investment</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645,560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733,076</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1,135,455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1,253,665</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right"/>
              <w:ind w:right="168"/>
              <w:spacing w:after="0"/>
              <w:rPr>
                <w:sz w:val="20"/>
                <w:szCs w:val="20"/>
                <w:color w:val="auto"/>
              </w:rPr>
            </w:pPr>
            <w:r>
              <w:rPr>
                <w:rFonts w:ascii="Arial" w:cs="Arial" w:eastAsia="Arial" w:hAnsi="Arial"/>
                <w:sz w:val="14"/>
                <w:szCs w:val="14"/>
                <w:color w:val="auto"/>
                <w:w w:val="95"/>
              </w:rPr>
              <w:t>Six months ended January 31,</w:t>
            </w:r>
          </w:p>
        </w:tc>
      </w:tr>
      <w:tr>
        <w:trPr>
          <w:trHeight w:val="30"/>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6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Net earnings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25,168</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40,353</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20,066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22,342</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Non-cash portion of stock-based compensation expense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2,471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4,377</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Non-cash portion of restructuring charges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97</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Loss on sale of business, net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(2,402)</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w w:val="99"/>
              </w:rPr>
              <w:t>Changes in operating assets and liabilities (net of effects of business acquisitions/divestitures):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10,918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Inventories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(10,840)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(8,754)</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(3,505)</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(7,263)</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(2,050)</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23,930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41,777</w:t>
            </w:r>
          </w:p>
        </w:tc>
      </w:tr>
      <w:tr>
        <w:trPr>
          <w:trHeight w:val="253"/>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(17,607)</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Sale of business, net of cash retained</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6,111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89</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(17,518)</w:t>
            </w:r>
          </w:p>
        </w:tc>
      </w:tr>
      <w:tr>
        <w:trPr>
          <w:trHeight w:val="253"/>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Payment of dividends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(20,370)</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10,894</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Proceeds from borrowing on notes payable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47,818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3,187</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Repayment of borrowing on notes payable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w w:val="98"/>
              </w:rPr>
              <w:t>Income tax on the exercise of stock options and deferred compensation distributions, and other</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(984)</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5,996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(37,273)</w:t>
            </w:r>
          </w:p>
        </w:tc>
      </w:tr>
      <w:tr>
        <w:trPr>
          <w:trHeight w:val="253"/>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1,072</w:t>
            </w:r>
          </w:p>
        </w:tc>
      </w:tr>
      <w:tr>
        <w:trPr>
          <w:trHeight w:val="253"/>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(11,942)</w:t>
            </w: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81,834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91,058</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5"/>
        </w:trPr>
        <w:tc>
          <w:tcPr>
            <w:tcW w:w="6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93,299</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79,116</w:t>
            </w:r>
          </w:p>
        </w:tc>
      </w:tr>
      <w:tr>
        <w:trPr>
          <w:trHeight w:val="70"/>
        </w:trPr>
        <w:tc>
          <w:tcPr>
            <w:tcW w:w="64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29"/>
        </w:trPr>
        <w:tc>
          <w:tcPr>
            <w:tcW w:w="6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16" w:lineRule="exact"/>
        <w:rPr>
          <w:sz w:val="20"/>
          <w:szCs w:val="20"/>
          <w:color w:val="auto"/>
        </w:rPr>
      </w:pPr>
    </w:p>
    <w:p>
      <w:pPr>
        <w:sectPr>
          <w:pgSz w:w="11900" w:h="16838" w:orient="portrait"/>
          <w:cols w:equalWidth="0" w:num="1">
            <w:col w:w="10219"/>
          </w:cols>
          <w:pgMar w:left="240" w:top="537" w:right="1440" w:bottom="1440" w:gutter="0" w:footer="0" w:header="0"/>
        </w:sectPr>
      </w:pPr>
    </w:p>
    <w:p>
      <w:pPr>
        <w:ind w:left="20"/>
        <w:spacing w:after="0"/>
        <w:rPr>
          <w:sz w:val="20"/>
          <w:szCs w:val="20"/>
          <w:color w:val="auto"/>
        </w:rPr>
      </w:pPr>
      <w:r>
        <w:rPr>
          <w:rFonts w:ascii="Arial" w:cs="Arial" w:eastAsia="Arial" w:hAnsi="Arial"/>
          <w:sz w:val="13"/>
          <w:szCs w:val="13"/>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5514975"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Income taxes, net of refunds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tabs>
          <w:tab w:leader="none" w:pos="640" w:val="left"/>
          <w:tab w:leader="none" w:pos="1160" w:val="left"/>
          <w:tab w:leader="none" w:pos="18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6,146</w:t>
        <w:tab/>
        <w:t>$</w:t>
      </w:r>
      <w:r>
        <w:rPr>
          <w:sz w:val="20"/>
          <w:szCs w:val="20"/>
          <w:color w:val="auto"/>
        </w:rPr>
        <w:tab/>
      </w:r>
      <w:r>
        <w:rPr>
          <w:rFonts w:ascii="Arial" w:cs="Arial" w:eastAsia="Arial" w:hAnsi="Arial"/>
          <w:sz w:val="12"/>
          <w:szCs w:val="12"/>
          <w:color w:val="auto"/>
        </w:rPr>
        <w:t>7,283</w:t>
      </w:r>
    </w:p>
    <w:p>
      <w:pPr>
        <w:spacing w:after="0" w:line="80" w:lineRule="exact"/>
        <w:rPr>
          <w:sz w:val="20"/>
          <w:szCs w:val="20"/>
          <w:color w:val="auto"/>
        </w:rPr>
      </w:pPr>
    </w:p>
    <w:p>
      <w:pPr>
        <w:jc w:val="both"/>
        <w:ind w:left="580"/>
        <w:spacing w:after="0"/>
        <w:tabs>
          <w:tab w:leader="none" w:pos="1740" w:val="left"/>
        </w:tabs>
        <w:rPr>
          <w:sz w:val="20"/>
          <w:szCs w:val="20"/>
          <w:color w:val="auto"/>
        </w:rPr>
      </w:pPr>
      <w:r>
        <w:rPr>
          <w:rFonts w:ascii="Arial" w:cs="Arial" w:eastAsia="Arial" w:hAnsi="Arial"/>
          <w:sz w:val="14"/>
          <w:szCs w:val="14"/>
          <w:color w:val="auto"/>
        </w:rPr>
        <w:t>15,727</w:t>
      </w:r>
      <w:r>
        <w:rPr>
          <w:sz w:val="20"/>
          <w:szCs w:val="20"/>
          <w:color w:val="auto"/>
        </w:rPr>
        <w:tab/>
      </w:r>
      <w:r>
        <w:rPr>
          <w:rFonts w:ascii="Arial" w:cs="Arial" w:eastAsia="Arial" w:hAnsi="Arial"/>
          <w:sz w:val="14"/>
          <w:szCs w:val="14"/>
          <w:color w:val="auto"/>
        </w:rPr>
        <w:t>14,083</w:t>
      </w:r>
    </w:p>
    <w:p>
      <w:pPr>
        <w:sectPr>
          <w:pgSz w:w="11900" w:h="16838" w:orient="portrait"/>
          <w:cols w:equalWidth="0" w:num="2">
            <w:col w:w="5740" w:space="720"/>
            <w:col w:w="3759"/>
          </w:cols>
          <w:pgMar w:left="240" w:top="537"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color w:val="auto"/>
              </w:rPr>
              <w:t>Three months ended January 31,</w:t>
            </w:r>
          </w:p>
        </w:tc>
        <w:tc>
          <w:tcPr>
            <w:tcW w:w="220" w:type="dxa"/>
            <w:vAlign w:val="bottom"/>
          </w:tcPr>
          <w:p>
            <w:pPr>
              <w:spacing w:after="0"/>
              <w:rPr>
                <w:sz w:val="15"/>
                <w:szCs w:val="15"/>
                <w:color w:val="auto"/>
              </w:rPr>
            </w:pPr>
          </w:p>
        </w:tc>
        <w:tc>
          <w:tcPr>
            <w:tcW w:w="2180" w:type="dxa"/>
            <w:vAlign w:val="bottom"/>
            <w:gridSpan w:val="4"/>
          </w:tcPr>
          <w:p>
            <w:pPr>
              <w:jc w:val="right"/>
              <w:ind w:right="248"/>
              <w:spacing w:after="0"/>
              <w:rPr>
                <w:sz w:val="20"/>
                <w:szCs w:val="20"/>
                <w:color w:val="auto"/>
              </w:rPr>
            </w:pPr>
            <w:r>
              <w:rPr>
                <w:rFonts w:ascii="Arial" w:cs="Arial" w:eastAsia="Arial" w:hAnsi="Arial"/>
                <w:sz w:val="14"/>
                <w:szCs w:val="14"/>
                <w:color w:val="auto"/>
                <w:w w:val="97"/>
              </w:rPr>
              <w:t>Six months ended January 31,</w:t>
            </w:r>
          </w:p>
        </w:tc>
      </w:tr>
      <w:tr>
        <w:trPr>
          <w:trHeight w:val="30"/>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2014</w:t>
            </w:r>
          </w:p>
        </w:tc>
      </w:tr>
      <w:tr>
        <w:trPr>
          <w:trHeight w:val="30"/>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192,065</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194,732</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404,162</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404,278</w:t>
            </w:r>
          </w:p>
        </w:tc>
      </w:tr>
      <w:tr>
        <w:trPr>
          <w:trHeight w:val="30"/>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90,563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96,462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188,706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194,446</w:t>
            </w: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282,628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291,194</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592,868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598,724</w:t>
            </w:r>
          </w:p>
        </w:tc>
      </w:tr>
      <w:tr>
        <w:trPr>
          <w:trHeight w:val="30"/>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5499735"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ID Solutions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22.3 %</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i w:val="1"/>
                <w:iCs w:val="1"/>
                <w:color w:val="auto"/>
              </w:rPr>
              <w:t>Workplace Safety</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35,719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37,526</w:t>
            </w:r>
          </w:p>
        </w:tc>
        <w:tc>
          <w:tcPr>
            <w:tcW w:w="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79,186</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88,493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12,776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14,668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28,315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33,042</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48,495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52,194</w:t>
            </w:r>
          </w:p>
        </w:tc>
        <w:tc>
          <w:tcPr>
            <w:tcW w:w="80" w:type="dxa"/>
            <w:vAlign w:val="bottom"/>
          </w:tcPr>
          <w:p>
            <w:pPr>
              <w:spacing w:after="0"/>
              <w:rPr>
                <w:sz w:val="16"/>
                <w:szCs w:val="16"/>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107,501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121,535</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SEGMENT PROFIT AS A PERCENT OF SALES</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18.1 %</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color w:val="auto"/>
              </w:rPr>
              <w:t>Three months ended January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color w:val="auto"/>
                <w:w w:val="97"/>
              </w:rPr>
              <w:t>Six months ended January 31,</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48,495</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52,194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107,501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121,535</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Arial" w:cs="Arial" w:eastAsia="Arial" w:hAnsi="Arial"/>
                <w:sz w:val="14"/>
                <w:szCs w:val="14"/>
                <w:color w:val="auto"/>
              </w:rPr>
              <w:t>Unallocated amounts: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(26,805)</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(29,524)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(62,338)</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Restructuring charges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(4,879)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(11,163)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Investment and other income</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(7,397)</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14,022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14,925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41,654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34" w:lineRule="exact"/>
        <w:rPr>
          <w:sz w:val="20"/>
          <w:szCs w:val="20"/>
          <w:color w:val="auto"/>
        </w:rPr>
      </w:pPr>
    </w:p>
    <w:p>
      <w:pPr>
        <w:ind w:left="100" w:right="169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5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color w:val="auto"/>
              </w:rPr>
              <w:t>Three Months Ended January 31,</w:t>
            </w:r>
          </w:p>
        </w:tc>
        <w:tc>
          <w:tcPr>
            <w:tcW w:w="140" w:type="dxa"/>
            <w:vAlign w:val="bottom"/>
          </w:tcPr>
          <w:p>
            <w:pPr>
              <w:spacing w:after="0"/>
              <w:rPr>
                <w:sz w:val="15"/>
                <w:szCs w:val="15"/>
                <w:color w:val="auto"/>
              </w:rPr>
            </w:pPr>
          </w:p>
        </w:tc>
        <w:tc>
          <w:tcPr>
            <w:tcW w:w="2020" w:type="dxa"/>
            <w:vAlign w:val="bottom"/>
            <w:gridSpan w:val="4"/>
          </w:tcPr>
          <w:p>
            <w:pPr>
              <w:jc w:val="right"/>
              <w:ind w:right="108"/>
              <w:spacing w:after="0"/>
              <w:rPr>
                <w:sz w:val="20"/>
                <w:szCs w:val="20"/>
                <w:color w:val="auto"/>
              </w:rPr>
            </w:pPr>
            <w:r>
              <w:rPr>
                <w:rFonts w:ascii="Arial" w:cs="Arial" w:eastAsia="Arial" w:hAnsi="Arial"/>
                <w:sz w:val="14"/>
                <w:szCs w:val="14"/>
                <w:color w:val="auto"/>
                <w:w w:val="95"/>
              </w:rPr>
              <w:t>Six Months Ended January 31,</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14,022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41,654</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11,163</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18,901</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19,249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47,584</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52,817</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Excluding Certain Items (non-GAAP measure)</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20" w:right="155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2280" w:type="dxa"/>
            <w:vAlign w:val="bottom"/>
            <w:gridSpan w:val="6"/>
          </w:tcPr>
          <w:p>
            <w:pPr>
              <w:ind w:left="140"/>
              <w:spacing w:after="0"/>
              <w:rPr>
                <w:sz w:val="20"/>
                <w:szCs w:val="20"/>
                <w:color w:val="auto"/>
              </w:rPr>
            </w:pPr>
            <w:r>
              <w:rPr>
                <w:rFonts w:ascii="Arial" w:cs="Arial" w:eastAsia="Arial" w:hAnsi="Arial"/>
                <w:sz w:val="14"/>
                <w:szCs w:val="14"/>
                <w:color w:val="auto"/>
              </w:rPr>
              <w:t>Three Months Ended January 31,</w:t>
            </w:r>
          </w:p>
        </w:tc>
        <w:tc>
          <w:tcPr>
            <w:tcW w:w="100" w:type="dxa"/>
            <w:vAlign w:val="bottom"/>
          </w:tcPr>
          <w:p>
            <w:pPr>
              <w:spacing w:after="0"/>
              <w:rPr>
                <w:sz w:val="15"/>
                <w:szCs w:val="15"/>
                <w:color w:val="auto"/>
              </w:rPr>
            </w:pPr>
          </w:p>
        </w:tc>
        <w:tc>
          <w:tcPr>
            <w:tcW w:w="1880" w:type="dxa"/>
            <w:vAlign w:val="bottom"/>
            <w:gridSpan w:val="4"/>
          </w:tcPr>
          <w:p>
            <w:pPr>
              <w:jc w:val="right"/>
              <w:ind w:right="8"/>
              <w:spacing w:after="0"/>
              <w:rPr>
                <w:sz w:val="20"/>
                <w:szCs w:val="20"/>
                <w:color w:val="auto"/>
              </w:rPr>
            </w:pPr>
            <w:r>
              <w:rPr>
                <w:rFonts w:ascii="Arial" w:cs="Arial" w:eastAsia="Arial" w:hAnsi="Arial"/>
                <w:sz w:val="14"/>
                <w:szCs w:val="14"/>
                <w:color w:val="auto"/>
                <w:w w:val="93"/>
              </w:rPr>
              <w:t>Six Months Ended January 31,</w:t>
            </w: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6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2,438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13,002</w:t>
            </w:r>
          </w:p>
        </w:tc>
        <w:tc>
          <w:tcPr>
            <w:tcW w:w="0" w:type="dxa"/>
            <w:vAlign w:val="bottom"/>
          </w:tcPr>
          <w:p>
            <w:pPr>
              <w:spacing w:after="0"/>
              <w:rPr>
                <w:sz w:val="1"/>
                <w:szCs w:val="1"/>
                <w:color w:val="auto"/>
              </w:rPr>
            </w:pPr>
          </w:p>
        </w:tc>
      </w:tr>
      <w:tr>
        <w:trPr>
          <w:trHeight w:val="211"/>
        </w:trPr>
        <w:tc>
          <w:tcPr>
            <w:tcW w:w="442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1"/>
              </w:rPr>
              <w:t>1,434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6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b w:val="1"/>
                <w:bCs w:val="1"/>
                <w:color w:val="auto"/>
                <w:w w:val="76"/>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3,872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5,889</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14,114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16,613</w:t>
            </w:r>
          </w:p>
        </w:tc>
        <w:tc>
          <w:tcPr>
            <w:tcW w:w="0" w:type="dxa"/>
            <w:vAlign w:val="bottom"/>
          </w:tcPr>
          <w:p>
            <w:pPr>
              <w:spacing w:after="0"/>
              <w:rPr>
                <w:sz w:val="1"/>
                <w:szCs w:val="1"/>
                <w:color w:val="auto"/>
              </w:rPr>
            </w:pPr>
          </w:p>
        </w:tc>
      </w:tr>
      <w:tr>
        <w:trPr>
          <w:trHeight w:val="19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(non-GAAP measure)</w:t>
            </w: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color w:val="auto"/>
              </w:rPr>
              <w:t>Three Months Ended January 31,</w:t>
            </w:r>
          </w:p>
        </w:tc>
        <w:tc>
          <w:tcPr>
            <w:tcW w:w="140" w:type="dxa"/>
            <w:vAlign w:val="bottom"/>
          </w:tcPr>
          <w:p>
            <w:pPr>
              <w:spacing w:after="0"/>
              <w:rPr>
                <w:sz w:val="15"/>
                <w:szCs w:val="15"/>
                <w:color w:val="auto"/>
              </w:rPr>
            </w:pPr>
          </w:p>
        </w:tc>
        <w:tc>
          <w:tcPr>
            <w:tcW w:w="2020" w:type="dxa"/>
            <w:vAlign w:val="bottom"/>
            <w:gridSpan w:val="4"/>
          </w:tcPr>
          <w:p>
            <w:pPr>
              <w:jc w:val="right"/>
              <w:ind w:right="108"/>
              <w:spacing w:after="0"/>
              <w:rPr>
                <w:sz w:val="20"/>
                <w:szCs w:val="20"/>
                <w:color w:val="auto"/>
              </w:rPr>
            </w:pPr>
            <w:r>
              <w:rPr>
                <w:rFonts w:ascii="Arial" w:cs="Arial" w:eastAsia="Arial" w:hAnsi="Arial"/>
                <w:sz w:val="14"/>
                <w:szCs w:val="14"/>
                <w:color w:val="auto"/>
                <w:w w:val="95"/>
              </w:rPr>
              <w:t>Six Months Ended January 31,</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27,083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28,652</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7,552</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15,029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13,360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33,470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36,204</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5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80" w:type="dxa"/>
            <w:vAlign w:val="bottom"/>
          </w:tcPr>
          <w:p>
            <w:pPr>
              <w:spacing w:after="0"/>
              <w:rPr>
                <w:sz w:val="15"/>
                <w:szCs w:val="15"/>
                <w:color w:val="auto"/>
              </w:rPr>
            </w:pPr>
          </w:p>
        </w:tc>
        <w:tc>
          <w:tcPr>
            <w:tcW w:w="2920" w:type="dxa"/>
            <w:vAlign w:val="bottom"/>
            <w:gridSpan w:val="4"/>
          </w:tcPr>
          <w:p>
            <w:pPr>
              <w:jc w:val="right"/>
              <w:ind w:right="168"/>
              <w:spacing w:after="0"/>
              <w:rPr>
                <w:sz w:val="20"/>
                <w:szCs w:val="20"/>
                <w:color w:val="auto"/>
              </w:rPr>
            </w:pPr>
            <w:r>
              <w:rPr>
                <w:rFonts w:ascii="Arial" w:cs="Arial" w:eastAsia="Arial" w:hAnsi="Arial"/>
                <w:sz w:val="14"/>
                <w:szCs w:val="14"/>
                <w:color w:val="auto"/>
              </w:rPr>
              <w:t>Three Months Ended January 31,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color w:val="auto"/>
              </w:rPr>
              <w:t>Six Months Ended January 31,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2015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2014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w:t>
            </w: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 Per Diluted Class A</w:t>
            </w: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Nonvoting Common Share (GAAP</w:t>
            </w: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1180" w:type="dxa"/>
            <w:vAlign w:val="bottom"/>
            <w:tcBorders>
              <w:bottom w:val="single" w:sz="8" w:color="CCEEFF"/>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11"/>
        </w:trPr>
        <w:tc>
          <w:tcPr>
            <w:tcW w:w="258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w:t>
            </w: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 Per Diluted Class A</w:t>
            </w: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Nonvoting Common Share Excluding</w:t>
            </w:r>
          </w:p>
        </w:tc>
        <w:tc>
          <w:tcPr>
            <w:tcW w:w="1180" w:type="dxa"/>
            <w:vAlign w:val="bottom"/>
            <w:vMerge w:val="restart"/>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0.29</w:t>
            </w: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0.25</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0.65</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0.69</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Certain Items (non-GAAP measure)</w:t>
            </w: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rPr>
          <w:sz w:val="20"/>
          <w:szCs w:val="20"/>
          <w:color w:val="auto"/>
        </w:rPr>
      </w:pPr>
      <w:r>
        <w:rPr>
          <w:rFonts w:ascii="Arial" w:cs="Arial" w:eastAsia="Arial" w:hAnsi="Arial"/>
          <w:sz w:val="18"/>
          <w:szCs w:val="18"/>
          <w:color w:val="auto"/>
        </w:rPr>
        <w:t>Carole Herbstreit (414) 438-6882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Harold L. (Hal) Sirkin Joins Brady Corporation Board of Directors.</w:t>
      </w:r>
    </w:p>
    <w:p>
      <w:pPr>
        <w:spacing w:after="0" w:line="257" w:lineRule="exact"/>
        <w:rPr>
          <w:sz w:val="20"/>
          <w:szCs w:val="20"/>
          <w:color w:val="auto"/>
        </w:rPr>
      </w:pPr>
    </w:p>
    <w:p>
      <w:pPr>
        <w:ind w:right="220"/>
        <w:spacing w:after="0" w:line="349" w:lineRule="auto"/>
        <w:rPr>
          <w:sz w:val="20"/>
          <w:szCs w:val="20"/>
          <w:color w:val="auto"/>
        </w:rPr>
      </w:pPr>
      <w:r>
        <w:rPr>
          <w:rFonts w:ascii="Arial" w:cs="Arial" w:eastAsia="Arial" w:hAnsi="Arial"/>
          <w:sz w:val="18"/>
          <w:szCs w:val="18"/>
          <w:color w:val="auto"/>
        </w:rPr>
        <w:t>MILWAUKEE (February 17, 2015)-Brady Corporation (NYSE:BRC) announced that Harold L. (Hal) Sirkin has joined its Board of Directors, effective immediately. Sirkin, 55, is senior partner and managing director of The Boston Consulting Group (BCG), a global management consulting firm specializing in business strategy. He is an expert on globalization, operations, innovation, and change management.</w:t>
      </w:r>
    </w:p>
    <w:p>
      <w:pPr>
        <w:spacing w:after="0" w:line="2" w:lineRule="exact"/>
        <w:rPr>
          <w:sz w:val="20"/>
          <w:szCs w:val="20"/>
          <w:color w:val="auto"/>
        </w:rPr>
      </w:pPr>
    </w:p>
    <w:p>
      <w:pPr>
        <w:jc w:val="both"/>
        <w:ind w:right="40" w:firstLine="579"/>
        <w:spacing w:after="0" w:line="349" w:lineRule="auto"/>
        <w:rPr>
          <w:sz w:val="20"/>
          <w:szCs w:val="20"/>
          <w:color w:val="auto"/>
        </w:rPr>
      </w:pPr>
      <w:r>
        <w:rPr>
          <w:rFonts w:ascii="Arial" w:cs="Arial" w:eastAsia="Arial" w:hAnsi="Arial"/>
          <w:sz w:val="18"/>
          <w:szCs w:val="18"/>
          <w:color w:val="auto"/>
        </w:rPr>
        <w:t>Sirkin joined BCG in 1981 and has served as the global leader of its operations practice and its information technology and e-commerce practices. He is a frequent expert commentator and contributor to a wide range of media outlets, including all major television networks and leading business publications, and is the author or co-author of several books and numerous business publications.</w:t>
      </w:r>
    </w:p>
    <w:p>
      <w:pPr>
        <w:spacing w:after="0" w:line="2" w:lineRule="exact"/>
        <w:rPr>
          <w:sz w:val="20"/>
          <w:szCs w:val="20"/>
          <w:color w:val="auto"/>
        </w:rPr>
      </w:pPr>
    </w:p>
    <w:p>
      <w:pPr>
        <w:ind w:right="40" w:firstLine="579"/>
        <w:spacing w:after="0" w:line="349" w:lineRule="auto"/>
        <w:rPr>
          <w:sz w:val="20"/>
          <w:szCs w:val="20"/>
          <w:color w:val="auto"/>
        </w:rPr>
      </w:pPr>
      <w:r>
        <w:rPr>
          <w:rFonts w:ascii="Arial" w:cs="Arial" w:eastAsia="Arial" w:hAnsi="Arial"/>
          <w:sz w:val="18"/>
          <w:szCs w:val="18"/>
          <w:color w:val="auto"/>
        </w:rPr>
        <w:t>“Hal Sirkin is intimately familiar with Brady’s businesses, having served as a consultant on several of Brady’s recent strategic planning processes,” said Conrad Goodkind, lead independent director and chair of Brady's corporate governance committee. "During his long career, Hal has provided advice to a number of the world’s most successful companies. His breadth of business expertise will be a real asset as Brady begins its second century of providing products that identify and protect premises, products and people,” Goodkind said.</w:t>
      </w:r>
    </w:p>
    <w:p>
      <w:pPr>
        <w:spacing w:after="0" w:line="2" w:lineRule="exact"/>
        <w:rPr>
          <w:sz w:val="20"/>
          <w:szCs w:val="20"/>
          <w:color w:val="auto"/>
        </w:rPr>
      </w:pPr>
    </w:p>
    <w:p>
      <w:pPr>
        <w:ind w:right="500" w:firstLine="579"/>
        <w:spacing w:after="0" w:line="349" w:lineRule="auto"/>
        <w:rPr>
          <w:sz w:val="20"/>
          <w:szCs w:val="20"/>
          <w:color w:val="auto"/>
        </w:rPr>
      </w:pPr>
      <w:r>
        <w:rPr>
          <w:rFonts w:ascii="Arial" w:cs="Arial" w:eastAsia="Arial" w:hAnsi="Arial"/>
          <w:sz w:val="18"/>
          <w:szCs w:val="18"/>
          <w:color w:val="auto"/>
        </w:rPr>
        <w:t>“Brady is a company with great customers, great products, and great people. I look forward to working with Brady’s leadership team and the other members of the Brady Board to help drive Brady’s long-term success,” said Sirkin.</w:t>
      </w:r>
    </w:p>
    <w:p>
      <w:pPr>
        <w:spacing w:after="0" w:line="1" w:lineRule="exact"/>
        <w:rPr>
          <w:sz w:val="20"/>
          <w:szCs w:val="20"/>
          <w:color w:val="auto"/>
        </w:rPr>
      </w:pPr>
    </w:p>
    <w:p>
      <w:pPr>
        <w:ind w:right="60" w:firstLine="579"/>
        <w:spacing w:after="0" w:line="349" w:lineRule="auto"/>
        <w:rPr>
          <w:sz w:val="20"/>
          <w:szCs w:val="20"/>
          <w:color w:val="auto"/>
        </w:rPr>
      </w:pPr>
      <w:r>
        <w:rPr>
          <w:rFonts w:ascii="Arial" w:cs="Arial" w:eastAsia="Arial" w:hAnsi="Arial"/>
          <w:sz w:val="18"/>
          <w:szCs w:val="18"/>
          <w:color w:val="auto"/>
        </w:rPr>
        <w:t xml:space="preserve">“Hal’s 30 plus years of experience working across multiple industries will add a valuable perspective to our Board of Directors,” said Brady President and CEO Michael Nauman. “We are excited to welcome Hal to Brady’s board and we are confident that he </w:t>
      </w:r>
      <w:r>
        <w:rPr>
          <w:rFonts w:ascii="Arial" w:cs="Arial" w:eastAsia="Arial" w:hAnsi="Arial"/>
          <w:sz w:val="18"/>
          <w:szCs w:val="18"/>
          <w:color w:val="333333"/>
        </w:rPr>
        <w:t>will make an important and positive impact on Brady</w:t>
      </w:r>
      <w:r>
        <w:rPr>
          <w:rFonts w:ascii="Arial" w:cs="Arial" w:eastAsia="Arial" w:hAnsi="Arial"/>
          <w:sz w:val="18"/>
          <w:szCs w:val="18"/>
          <w:color w:val="auto"/>
        </w:rPr>
        <w:t xml:space="preserve"> </w:t>
      </w:r>
      <w:r>
        <w:rPr>
          <w:rFonts w:ascii="Arial" w:cs="Arial" w:eastAsia="Arial" w:hAnsi="Arial"/>
          <w:sz w:val="18"/>
          <w:szCs w:val="18"/>
          <w:color w:val="333333"/>
        </w:rPr>
        <w:t>and its shareholders.”</w:t>
      </w:r>
    </w:p>
    <w:p>
      <w:pPr>
        <w:spacing w:after="0" w:line="2" w:lineRule="exact"/>
        <w:rPr>
          <w:sz w:val="20"/>
          <w:szCs w:val="20"/>
          <w:color w:val="auto"/>
        </w:rPr>
      </w:pPr>
    </w:p>
    <w:p>
      <w:pPr>
        <w:ind w:right="300" w:firstLine="579"/>
        <w:spacing w:after="0" w:line="349" w:lineRule="auto"/>
        <w:rPr>
          <w:sz w:val="20"/>
          <w:szCs w:val="20"/>
          <w:color w:val="auto"/>
        </w:rPr>
      </w:pPr>
      <w:r>
        <w:rPr>
          <w:rFonts w:ascii="Arial" w:cs="Arial" w:eastAsia="Arial" w:hAnsi="Arial"/>
          <w:sz w:val="18"/>
          <w:szCs w:val="18"/>
          <w:color w:val="auto"/>
        </w:rPr>
        <w:t>Mr. Sirkin is a graduate of the Wharton School of Business and earned his MBA from the University of Chicago. He is a Certified Public Accountant and an adjunct professor at Northwestern's Kellogg School of Management.</w:t>
      </w:r>
    </w:p>
    <w:p>
      <w:pPr>
        <w:spacing w:after="0" w:line="1" w:lineRule="exact"/>
        <w:rPr>
          <w:sz w:val="20"/>
          <w:szCs w:val="20"/>
          <w:color w:val="auto"/>
        </w:rPr>
      </w:pPr>
    </w:p>
    <w:p>
      <w:pPr>
        <w:ind w:right="100" w:firstLine="579"/>
        <w:spacing w:after="0" w:line="370"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education, medical, aerospace and a variety of other industries. Brady is headquartered in Milwaukee, Wisconsin and as of August 1, 2014, employed approximately 6,400 people in its worldwide businesses. Brady’s fiscal 2014 sales were approximately $1.23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r>
        <w:rPr>
          <w:rFonts w:ascii="Arial" w:cs="Arial" w:eastAsia="Arial" w:hAnsi="Arial"/>
          <w:sz w:val="17"/>
          <w:szCs w:val="17"/>
          <w:color w:val="auto"/>
        </w:rPr>
        <w: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0000FF"/>
        </w:rPr>
        <w:t>www.bradycorp.com</w:t>
      </w:r>
      <w:r>
        <w:rPr>
          <w:rFonts w:ascii="Arial" w:cs="Arial" w:eastAsia="Arial" w:hAnsi="Arial"/>
          <w:sz w:val="18"/>
          <w:szCs w:val="18"/>
          <w:color w:val="auto"/>
        </w:rPr>
        <w: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40"/>
          </w:cols>
          <w:pgMar w:left="240" w:top="529" w:right="219" w:bottom="1440" w:gutter="0" w:footer="0" w:header="0"/>
        </w:sectPr>
      </w:pPr>
    </w:p>
    <w:bookmarkStart w:id="14" w:name="page15"/>
    <w:bookmarkEnd w:id="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2019-12-05T22:31:21Z</dcterms:created>
  <dcterms:modified xsi:type="dcterms:W3CDTF">2019-12-05T22:31:21Z</dcterms:modified>
</cp:coreProperties>
</file>