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BRADY CORPORATION</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Class A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104674106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12/31/2021</w:t>
      </w:r>
    </w:p>
    <w:p>
      <w:pPr>
        <w:spacing w:after="0" w:line="200" w:lineRule="exact"/>
        <w:rPr>
          <w:sz w:val="24"/>
          <w:szCs w:val="24"/>
          <w:color w:val="auto"/>
        </w:rPr>
      </w:pPr>
    </w:p>
    <w:p>
      <w:pPr>
        <w:spacing w:after="0" w:line="209" w:lineRule="exact"/>
        <w:rPr>
          <w:sz w:val="24"/>
          <w:szCs w:val="24"/>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297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104674106</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45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Group plc</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#00-0000000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19" w:hanging="952"/>
        <w:spacing w:after="0" w:line="290" w:lineRule="auto"/>
        <w:tabs>
          <w:tab w:leader="none" w:pos="4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Jersey, Channel Islands</w:t>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540" w:right="781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8" w:lineRule="exact"/>
        <w:rPr>
          <w:rFonts w:ascii="Courier New" w:cs="Courier New" w:eastAsia="Courier New" w:hAnsi="Courier New"/>
          <w:sz w:val="18"/>
          <w:szCs w:val="18"/>
          <w:color w:val="auto"/>
        </w:rPr>
      </w:pPr>
    </w:p>
    <w:p>
      <w:pPr>
        <w:ind w:left="540" w:right="759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3,329,778**</w:t>
      </w:r>
    </w:p>
    <w:p>
      <w:pPr>
        <w:spacing w:after="0" w:line="208" w:lineRule="exact"/>
        <w:rPr>
          <w:rFonts w:ascii="Courier New" w:cs="Courier New" w:eastAsia="Courier New" w:hAnsi="Courier New"/>
          <w:sz w:val="18"/>
          <w:szCs w:val="18"/>
          <w:color w:val="auto"/>
        </w:rPr>
      </w:pPr>
    </w:p>
    <w:p>
      <w:pPr>
        <w:ind w:left="540" w:right="727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540" w:right="707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3,329,778**</w:t>
      </w:r>
    </w:p>
    <w:p>
      <w:pPr>
        <w:spacing w:after="0" w:line="208" w:lineRule="exact"/>
        <w:rPr>
          <w:rFonts w:ascii="Courier New" w:cs="Courier New" w:eastAsia="Courier New" w:hAnsi="Courier New"/>
          <w:sz w:val="18"/>
          <w:szCs w:val="18"/>
          <w:color w:val="auto"/>
        </w:rPr>
      </w:pPr>
    </w:p>
    <w:p>
      <w:pPr>
        <w:ind w:left="540" w:right="327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3,329,778**</w:t>
      </w:r>
    </w:p>
    <w:p>
      <w:pPr>
        <w:spacing w:after="0" w:line="208" w:lineRule="exact"/>
        <w:rPr>
          <w:rFonts w:ascii="Courier New" w:cs="Courier New" w:eastAsia="Courier New" w:hAnsi="Courier New"/>
          <w:sz w:val="18"/>
          <w:szCs w:val="18"/>
          <w:color w:val="auto"/>
        </w:rPr>
      </w:pPr>
    </w:p>
    <w:p>
      <w:pPr>
        <w:ind w:right="3179" w:firstLine="8"/>
        <w:spacing w:after="0" w:line="235" w:lineRule="auto"/>
        <w:tabs>
          <w:tab w:leader="none" w:pos="52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ectPr>
          <w:pgSz w:w="11900" w:h="16847" w:orient="portrait"/>
          <w:cols w:equalWidth="0" w:num="1">
            <w:col w:w="10139"/>
          </w:cols>
          <w:pgMar w:left="32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420" w:right="455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6.9%**</w:t>
      </w:r>
    </w:p>
    <w:p>
      <w:pPr>
        <w:spacing w:after="0" w:line="208" w:lineRule="exact"/>
        <w:rPr>
          <w:rFonts w:ascii="Courier New" w:cs="Courier New" w:eastAsia="Courier New" w:hAnsi="Courier New"/>
          <w:sz w:val="18"/>
          <w:szCs w:val="18"/>
          <w:color w:val="auto"/>
        </w:rPr>
      </w:pPr>
    </w:p>
    <w:p>
      <w:pPr>
        <w:ind w:left="420" w:right="717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420"/>
        <w:spacing w:after="0" w:line="238" w:lineRule="auto"/>
        <w:rPr>
          <w:sz w:val="20"/>
          <w:szCs w:val="20"/>
          <w:color w:val="auto"/>
        </w:rPr>
      </w:pPr>
      <w:r>
        <w:rPr>
          <w:rFonts w:ascii="Courier New" w:cs="Courier New" w:eastAsia="Courier New" w:hAnsi="Courier New"/>
          <w:sz w:val="18"/>
          <w:szCs w:val="18"/>
          <w:color w:val="auto"/>
        </w:rPr>
        <w:t>(a). Name of Issuer: BRADY CORPORATION ("Brady")</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6555 West Good Hope Road</w:t>
      </w:r>
    </w:p>
    <w:p>
      <w:pPr>
        <w:ind w:left="960"/>
        <w:spacing w:after="0" w:line="238" w:lineRule="auto"/>
        <w:rPr>
          <w:sz w:val="20"/>
          <w:szCs w:val="20"/>
          <w:color w:val="auto"/>
        </w:rPr>
      </w:pPr>
      <w:r>
        <w:rPr>
          <w:rFonts w:ascii="Courier New" w:cs="Courier New" w:eastAsia="Courier New" w:hAnsi="Courier New"/>
          <w:sz w:val="18"/>
          <w:szCs w:val="18"/>
          <w:color w:val="auto"/>
        </w:rPr>
        <w:t>Milwaukee, Wisconsin 53223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420"/>
        <w:spacing w:after="0" w:line="238" w:lineRule="auto"/>
        <w:rPr>
          <w:sz w:val="20"/>
          <w:szCs w:val="20"/>
          <w:color w:val="auto"/>
        </w:rPr>
      </w:pPr>
      <w:r>
        <w:rPr>
          <w:rFonts w:ascii="Courier New" w:cs="Courier New" w:eastAsia="Courier New" w:hAnsi="Courier New"/>
          <w:sz w:val="18"/>
          <w:szCs w:val="18"/>
          <w:color w:val="auto"/>
        </w:rPr>
        <w:t>(a).-(c). Name, Principal Business Address, and Citizenship of</w:t>
      </w:r>
    </w:p>
    <w:p>
      <w:pPr>
        <w:ind w:left="220"/>
        <w:spacing w:after="0" w:line="238" w:lineRule="auto"/>
        <w:rPr>
          <w:sz w:val="20"/>
          <w:szCs w:val="20"/>
          <w:color w:val="auto"/>
        </w:rPr>
      </w:pPr>
      <w:r>
        <w:rPr>
          <w:rFonts w:ascii="Courier New" w:cs="Courier New" w:eastAsia="Courier New" w:hAnsi="Courier New"/>
          <w:sz w:val="18"/>
          <w:szCs w:val="18"/>
          <w:color w:val="auto"/>
        </w:rPr>
        <w:t>Persons Filing:</w:t>
      </w:r>
    </w:p>
    <w:p>
      <w:pPr>
        <w:spacing w:after="0" w:line="207" w:lineRule="exact"/>
        <w:rPr>
          <w:sz w:val="20"/>
          <w:szCs w:val="20"/>
          <w:color w:val="auto"/>
        </w:rPr>
      </w:pPr>
    </w:p>
    <w:p>
      <w:pPr>
        <w:ind w:left="1480" w:right="6019" w:hanging="524"/>
        <w:spacing w:after="0" w:line="235"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w:t>
      </w:r>
    </w:p>
    <w:p>
      <w:pPr>
        <w:spacing w:after="0" w:line="5" w:lineRule="exact"/>
        <w:rPr>
          <w:rFonts w:ascii="Courier New" w:cs="Courier New" w:eastAsia="Courier New" w:hAnsi="Courier New"/>
          <w:sz w:val="18"/>
          <w:szCs w:val="18"/>
          <w:color w:val="auto"/>
        </w:rPr>
      </w:pPr>
    </w:p>
    <w:p>
      <w:pPr>
        <w:ind w:left="1480" w:right="48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EC2M 3AE, United Kingdom Citizenship: Jersey, Channel Islands</w:t>
      </w:r>
    </w:p>
    <w:p>
      <w:pPr>
        <w:spacing w:after="0" w:line="164"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Class A 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104674106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Henderson Group plc ("Janus Henderson") is a parent holding company/control person in accordance with Section 240.13d-1(b)(ii)(G). See Item 4 for additional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07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8" w:lineRule="exact"/>
        <w:rPr>
          <w:sz w:val="20"/>
          <w:szCs w:val="20"/>
          <w:color w:val="auto"/>
        </w:rPr>
      </w:pPr>
    </w:p>
    <w:p>
      <w:pPr>
        <w:ind w:right="2979"/>
        <w:spacing w:after="0" w:line="237" w:lineRule="auto"/>
        <w:rPr>
          <w:sz w:val="20"/>
          <w:szCs w:val="20"/>
          <w:color w:val="auto"/>
        </w:rPr>
      </w:pPr>
      <w:r>
        <w:rPr>
          <w:rFonts w:ascii="Courier New" w:cs="Courier New" w:eastAsia="Courier New" w:hAnsi="Courier New"/>
          <w:sz w:val="18"/>
          <w:szCs w:val="18"/>
          <w:color w:val="auto"/>
        </w:rPr>
        <w:t>Janus Henderson has an indirect 97% ownership stake in Intech Investment Management LLC ("Intech") and a 100% ownership stake in Janus Henderson Investors U.S. LLC ("JHIUS"), Henderson Global Investors Limited ("HGIL")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216" w:lineRule="exact"/>
        <w:rPr>
          <w:sz w:val="20"/>
          <w:szCs w:val="20"/>
          <w:color w:val="auto"/>
        </w:rPr>
      </w:pPr>
    </w:p>
    <w:p>
      <w:pPr>
        <w:ind w:right="2979"/>
        <w:spacing w:after="0" w:line="271" w:lineRule="auto"/>
        <w:rPr>
          <w:sz w:val="20"/>
          <w:szCs w:val="20"/>
          <w:color w:val="auto"/>
        </w:rPr>
      </w:pPr>
      <w:r>
        <w:rPr>
          <w:rFonts w:ascii="Courier New" w:cs="Courier New" w:eastAsia="Courier New" w:hAnsi="Courier New"/>
          <w:sz w:val="16"/>
          <w:szCs w:val="16"/>
          <w:color w:val="auto"/>
        </w:rPr>
        <w:t>As a result of its role as investment adviser or sub-adviser to the Managed Portfolios, JHIUS may be deemed to be the beneficial owner of 3,328,332 shares or 6.9% of the shares outstanding of Brady Class A Common Stock held by such Managed Portfolios. However, JHIUS does not have the right to receive any dividends from, or the proceeds from the sale of, the securities held in the Managed Portfolios and disclaims any ownership associated with such rights.</w:t>
      </w:r>
    </w:p>
    <w:p>
      <w:pPr>
        <w:spacing w:after="0" w:line="1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2979"/>
        <w:spacing w:after="0" w:line="236"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208"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The interest of any one such Managed Portfolio does not exceed 5% of the class of securities.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These shares were acquired in the ordinary course of business, and</w:t>
      </w:r>
    </w:p>
    <w:p>
      <w:pPr>
        <w:sectPr>
          <w:pgSz w:w="11900" w:h="16838" w:orient="portrait"/>
          <w:cols w:equalWidth="0" w:num="1">
            <w:col w:w="10139"/>
          </w:cols>
          <w:pgMar w:left="32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not with the purpose of changing or influencing control of the Issuer.</w:t>
      </w:r>
    </w:p>
    <w:p>
      <w:pPr>
        <w:spacing w:after="0" w:line="224" w:lineRule="exact"/>
        <w:rPr>
          <w:sz w:val="20"/>
          <w:szCs w:val="20"/>
          <w:color w:val="auto"/>
        </w:rPr>
      </w:pPr>
    </w:p>
    <w:p>
      <w:pPr>
        <w:ind w:right="285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9" w:lineRule="exact"/>
        <w:rPr>
          <w:sz w:val="20"/>
          <w:szCs w:val="20"/>
          <w:color w:val="auto"/>
        </w:rPr>
      </w:pPr>
    </w:p>
    <w:p>
      <w:pPr>
        <w:ind w:right="3079"/>
        <w:spacing w:after="0" w:line="236" w:lineRule="auto"/>
        <w:rPr>
          <w:sz w:val="20"/>
          <w:szCs w:val="20"/>
          <w:color w:val="auto"/>
        </w:rPr>
      </w:pPr>
      <w:r>
        <w:rPr>
          <w:rFonts w:ascii="Courier New" w:cs="Courier New" w:eastAsia="Courier New" w:hAnsi="Courier New"/>
          <w:sz w:val="18"/>
          <w:szCs w:val="18"/>
          <w:color w:val="auto"/>
        </w:rPr>
        <w:t>Intech, JHIUS, HGIL and JHIAIFML are indirect subsidiaries of Janus Henderson and are registered investment advisers furnishing investment advice to Managed Portfolios.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9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9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4" w:lineRule="exact"/>
        <w:rPr>
          <w:sz w:val="20"/>
          <w:szCs w:val="20"/>
          <w:color w:val="auto"/>
        </w:rPr>
      </w:pPr>
    </w:p>
    <w:p>
      <w:pPr>
        <w:ind w:right="4439"/>
        <w:spacing w:after="0" w:line="235" w:lineRule="auto"/>
        <w:rPr>
          <w:sz w:val="20"/>
          <w:szCs w:val="20"/>
          <w:color w:val="auto"/>
        </w:rPr>
      </w:pPr>
      <w:r>
        <w:rPr>
          <w:rFonts w:ascii="Courier New" w:cs="Courier New" w:eastAsia="Courier New" w:hAnsi="Courier New"/>
          <w:sz w:val="18"/>
          <w:szCs w:val="18"/>
          <w:color w:val="auto"/>
        </w:rPr>
        <w:t>Kristin Mariani, Head of North America Compliance, CCO Date 2/10/2022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or her authorized representative. If the statement is signed on behalf of a person by his or her authorized representative other than an executive officer or general partner of the filing person, evidence of the representative's authority to sign on behalf of such person shall be filed with the statement (see Exhibit A), provided, however, that a power of attorney for this purpose which is already on file with the Commission may be incorporated by reference. The name and any title of each person who signs the statement shall be typed or printed beneath his or her signature.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69" w:lineRule="auto"/>
        <w:rPr>
          <w:sz w:val="20"/>
          <w:szCs w:val="20"/>
          <w:color w:val="auto"/>
        </w:rPr>
      </w:pPr>
      <w:r>
        <w:rPr>
          <w:rFonts w:ascii="Courier New" w:cs="Courier New" w:eastAsia="Courier New" w:hAnsi="Courier New"/>
          <w:sz w:val="16"/>
          <w:szCs w:val="16"/>
          <w:color w:val="auto"/>
        </w:rPr>
        <w:t>The undersigned, Janus Henderson Group plc ("the Company"), does hereby make, constitute and appoint each of Kristin Mariani and Caroline Barotti acting severally, as its true and lawful attorneys-in-fact,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w:t>
      </w:r>
    </w:p>
    <w:p>
      <w:pPr>
        <w:sectPr>
          <w:pgSz w:w="11900" w:h="16838" w:orient="portrait"/>
          <w:cols w:equalWidth="0" w:num="1">
            <w:col w:w="10139"/>
          </w:cols>
          <w:pgMar w:left="320" w:top="142" w:right="1440" w:bottom="122" w:gutter="0" w:footer="0" w:header="0"/>
        </w:sectPr>
      </w:pPr>
    </w:p>
    <w:bookmarkStart w:id="3" w:name="page4"/>
    <w:bookmarkEnd w:id="3"/>
    <w:p>
      <w:pPr>
        <w:jc w:val="both"/>
        <w:ind w:right="2859"/>
        <w:spacing w:after="0" w:line="236" w:lineRule="auto"/>
        <w:rPr>
          <w:sz w:val="20"/>
          <w:szCs w:val="20"/>
          <w:color w:val="auto"/>
        </w:rPr>
      </w:pPr>
      <w:r>
        <w:rPr>
          <w:rFonts w:ascii="Courier New" w:cs="Courier New" w:eastAsia="Courier New" w:hAnsi="Courier New"/>
          <w:sz w:val="18"/>
          <w:szCs w:val="18"/>
          <w:color w:val="auto"/>
        </w:rPr>
        <w:t>attorney-in-fact named herein shall be conclusively evidenced by such person's execution, delivery, furnishing or filing of the applicable document.</w:t>
      </w:r>
    </w:p>
    <w:p>
      <w:pPr>
        <w:spacing w:after="0" w:line="208" w:lineRule="exact"/>
        <w:rPr>
          <w:sz w:val="20"/>
          <w:szCs w:val="20"/>
          <w:color w:val="auto"/>
        </w:rPr>
      </w:pPr>
    </w:p>
    <w:p>
      <w:pPr>
        <w:ind w:right="2979"/>
        <w:spacing w:after="0" w:line="237" w:lineRule="auto"/>
        <w:rPr>
          <w:sz w:val="20"/>
          <w:szCs w:val="20"/>
          <w:color w:val="auto"/>
        </w:rPr>
      </w:pPr>
      <w:r>
        <w:rPr>
          <w:rFonts w:ascii="Courier New" w:cs="Courier New" w:eastAsia="Courier New" w:hAnsi="Courier New"/>
          <w:sz w:val="18"/>
          <w:szCs w:val="18"/>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1"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September, 2021.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Bruce Koepfgen</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Bruce Koepfgen</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Title:</w:t>
        <w:tab/>
        <w:t>Executive Vice President, Head of North America</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3"/>
    </w:lvl>
    <w:lvl w:ilvl="1">
      <w:lvlJc w:val="left"/>
      <w:lvlText w:val="%2"/>
      <w:numFmt w:val="lowerLetter"/>
      <w:start w:val="1"/>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2022-02-11T14:08:37Z</dcterms:created>
  <dcterms:modified xsi:type="dcterms:W3CDTF">2022-02-11T14:08:37Z</dcterms:modified>
</cp:coreProperties>
</file>