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8"/>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192405</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43"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163830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1" w:lineRule="exact"/>
        <w:rPr>
          <w:sz w:val="24"/>
          <w:szCs w:val="24"/>
          <w:color w:val="auto"/>
        </w:rPr>
      </w:pPr>
    </w:p>
    <w:p>
      <w:pPr>
        <w:jc w:val="center"/>
        <w:ind w:right="-58"/>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Date of Report (Date of earliest event reported): February 16,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198755</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52" w:lineRule="exact"/>
        <w:rPr>
          <w:sz w:val="24"/>
          <w:szCs w:val="24"/>
          <w:color w:val="auto"/>
        </w:rPr>
      </w:pPr>
    </w:p>
    <w:tbl>
      <w:tblPr>
        <w:tblLayout w:type="fixed"/>
        <w:tblInd w:w="2379" w:type="dxa"/>
        <w:tblCellMar>
          <w:top w:w="0" w:type="dxa"/>
          <w:left w:w="0" w:type="dxa"/>
          <w:bottom w:w="0" w:type="dxa"/>
          <w:right w:w="0" w:type="dxa"/>
        </w:tblCellMar>
      </w:tblPr>
      <w:tr>
        <w:trPr>
          <w:trHeight w:val="468"/>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39"/>
                <w:szCs w:val="39"/>
                <w:b w:val="1"/>
                <w:bCs w:val="1"/>
                <w:color w:val="auto"/>
                <w:w w:val="99"/>
              </w:rPr>
              <w:t>BRADY CORPORATION</w:t>
            </w:r>
          </w:p>
        </w:tc>
      </w:tr>
      <w:tr>
        <w:trPr>
          <w:trHeight w:val="209"/>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9"/>
        </w:trPr>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1"/>
              </w:rPr>
              <w:t>Commission File Number 1-14959</w:t>
            </w:r>
          </w:p>
        </w:tc>
      </w:tr>
      <w:tr>
        <w:trPr>
          <w:trHeight w:val="627"/>
        </w:trPr>
        <w:tc>
          <w:tcPr>
            <w:tcW w:w="96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Wisconsin</w:t>
            </w:r>
          </w:p>
        </w:tc>
        <w:tc>
          <w:tcPr>
            <w:tcW w:w="5840" w:type="dxa"/>
            <w:vAlign w:val="bottom"/>
            <w:gridSpan w:val="3"/>
          </w:tcPr>
          <w:p>
            <w:pPr>
              <w:jc w:val="center"/>
              <w:ind w:left="4720"/>
              <w:spacing w:after="0"/>
              <w:rPr>
                <w:sz w:val="20"/>
                <w:szCs w:val="20"/>
                <w:color w:val="auto"/>
              </w:rPr>
            </w:pPr>
            <w:r>
              <w:rPr>
                <w:rFonts w:ascii="Arial" w:cs="Arial" w:eastAsia="Arial" w:hAnsi="Arial"/>
                <w:sz w:val="16"/>
                <w:szCs w:val="16"/>
                <w:b w:val="1"/>
                <w:bCs w:val="1"/>
                <w:color w:val="auto"/>
                <w:w w:val="91"/>
              </w:rPr>
              <w:t>39-0971239</w:t>
            </w:r>
          </w:p>
        </w:tc>
      </w:tr>
      <w:tr>
        <w:trPr>
          <w:trHeight w:val="161"/>
        </w:trPr>
        <w:tc>
          <w:tcPr>
            <w:tcW w:w="9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(State of</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90"/>
              </w:rPr>
              <w:t>Incorporation)</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Identification No.)</w:t>
            </w:r>
          </w:p>
        </w:tc>
      </w:tr>
      <w:tr>
        <w:trPr>
          <w:trHeight w:val="193"/>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7"/>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3"/>
                <w:szCs w:val="13"/>
                <w:b w:val="1"/>
                <w:bCs w:val="1"/>
                <w:color w:val="auto"/>
                <w:w w:val="89"/>
              </w:rPr>
              <w:t>(Address of Principal Executive Offices and Zip Code)</w:t>
            </w:r>
          </w:p>
        </w:tc>
      </w:tr>
      <w:tr>
        <w:trPr>
          <w:trHeight w:val="33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Arial" w:cs="Arial" w:eastAsia="Arial" w:hAnsi="Arial"/>
                <w:sz w:val="16"/>
                <w:szCs w:val="16"/>
                <w:b w:val="1"/>
                <w:bCs w:val="1"/>
                <w:color w:val="auto"/>
                <w:w w:val="91"/>
              </w:rPr>
              <w:t>(414) 358-6600</w:t>
            </w:r>
          </w:p>
        </w:tc>
        <w:tc>
          <w:tcPr>
            <w:tcW w:w="222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159385</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3" w:lineRule="exact"/>
        <w:rPr>
          <w:sz w:val="24"/>
          <w:szCs w:val="24"/>
          <w:color w:val="auto"/>
        </w:rPr>
      </w:pPr>
    </w:p>
    <w:p>
      <w:pPr>
        <w:ind w:left="479"/>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319"/>
          </w:cols>
          <w:pgMar w:left="261" w:top="670" w:right="319" w:bottom="1440" w:gutter="0" w:footer="0" w:header="0"/>
        </w:sectPr>
      </w:pPr>
    </w:p>
    <w:bookmarkStart w:id="1" w:name="page2"/>
    <w:bookmarkEnd w:id="1"/>
    <w:p>
      <w:pPr>
        <w:ind w:left="20"/>
        <w:spacing w:after="0"/>
        <w:tabs>
          <w:tab w:leader="none" w:pos="940"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jc w:val="both"/>
        <w:ind w:right="20" w:firstLine="579"/>
        <w:spacing w:after="0" w:line="279" w:lineRule="auto"/>
        <w:rPr>
          <w:sz w:val="20"/>
          <w:szCs w:val="20"/>
          <w:color w:val="auto"/>
        </w:rPr>
      </w:pPr>
      <w:r>
        <w:rPr>
          <w:rFonts w:ascii="Arial" w:cs="Arial" w:eastAsia="Arial" w:hAnsi="Arial"/>
          <w:sz w:val="16"/>
          <w:szCs w:val="16"/>
          <w:color w:val="auto"/>
        </w:rPr>
        <w:t>On February 19, 2016, Brady Corporation (the “Company”) issued a press release announcing its fiscal 2016 second quarter financial results. A copy of the press release is being furnished to the Securities and Exchange Commission as Exhibit 99.1 attached hereto and is incorporated herein by reference.</w:t>
      </w:r>
    </w:p>
    <w:p>
      <w:pPr>
        <w:spacing w:after="0" w:line="296"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7.01</w:t>
      </w:r>
      <w:r>
        <w:rPr>
          <w:sz w:val="20"/>
          <w:szCs w:val="20"/>
          <w:color w:val="auto"/>
        </w:rPr>
        <w:tab/>
      </w:r>
      <w:r>
        <w:rPr>
          <w:rFonts w:ascii="Arial" w:cs="Arial" w:eastAsia="Arial" w:hAnsi="Arial"/>
          <w:sz w:val="15"/>
          <w:szCs w:val="15"/>
          <w:color w:val="auto"/>
        </w:rPr>
        <w:t>REGULATION FD DISCLOSURE</w:t>
      </w:r>
    </w:p>
    <w:p>
      <w:pPr>
        <w:spacing w:after="0" w:line="226" w:lineRule="exact"/>
        <w:rPr>
          <w:sz w:val="20"/>
          <w:szCs w:val="20"/>
          <w:color w:val="auto"/>
        </w:rPr>
      </w:pPr>
    </w:p>
    <w:p>
      <w:pPr>
        <w:jc w:val="both"/>
        <w:ind w:right="20" w:firstLine="579"/>
        <w:spacing w:after="0" w:line="265" w:lineRule="auto"/>
        <w:rPr>
          <w:sz w:val="20"/>
          <w:szCs w:val="20"/>
          <w:color w:val="auto"/>
        </w:rPr>
      </w:pPr>
      <w:r>
        <w:rPr>
          <w:rFonts w:ascii="Arial" w:cs="Arial" w:eastAsia="Arial" w:hAnsi="Arial"/>
          <w:sz w:val="16"/>
          <w:szCs w:val="16"/>
          <w:color w:val="auto"/>
        </w:rPr>
        <w:t>On February 19, 2016, the Company hosted a conference call related to its fiscal 2016 second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8.01</w:t>
      </w:r>
      <w:r>
        <w:rPr>
          <w:sz w:val="20"/>
          <w:szCs w:val="20"/>
          <w:color w:val="auto"/>
        </w:rPr>
        <w:tab/>
      </w:r>
      <w:r>
        <w:rPr>
          <w:rFonts w:ascii="Arial" w:cs="Arial" w:eastAsia="Arial" w:hAnsi="Arial"/>
          <w:sz w:val="15"/>
          <w:szCs w:val="15"/>
          <w:color w:val="auto"/>
        </w:rPr>
        <w:t>OTHER EVENTS</w:t>
      </w:r>
    </w:p>
    <w:p>
      <w:pPr>
        <w:spacing w:after="0" w:line="226" w:lineRule="exact"/>
        <w:rPr>
          <w:sz w:val="20"/>
          <w:szCs w:val="20"/>
          <w:color w:val="auto"/>
        </w:rPr>
      </w:pPr>
    </w:p>
    <w:p>
      <w:pPr>
        <w:jc w:val="both"/>
        <w:ind w:firstLine="579"/>
        <w:spacing w:after="0" w:line="279" w:lineRule="auto"/>
        <w:rPr>
          <w:sz w:val="20"/>
          <w:szCs w:val="20"/>
          <w:color w:val="auto"/>
        </w:rPr>
      </w:pPr>
      <w:r>
        <w:rPr>
          <w:rFonts w:ascii="Arial" w:cs="Arial" w:eastAsia="Arial" w:hAnsi="Arial"/>
          <w:sz w:val="15"/>
          <w:szCs w:val="15"/>
          <w:color w:val="auto"/>
        </w:rPr>
        <w:t>On February 16, 2016, the Company’s Board of Directors authorized an increase in the Company’s share buyback program, authorizing the repurchase of up to two million shares of the Corporation’s Class A Common Stock, inclusive of the shares in the existing stock buyback program, available for repurchase as of February 16, 2016. The share repurchase plan may be implemented from time to time on the open market or in privately negotiated transactions. The repurchased shares will be available for use in connection with the Corporation’s stock-based plans and for other corporate purposes. The share buyback program was described in a press release issued by the Company in connection with its fiscal 2016 second quarter financial results, which is attached hereto as Exhibit 99.1.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0" w:type="dxa"/>
            <w:vAlign w:val="bottom"/>
          </w:tcPr>
          <w:p>
            <w:pPr>
              <w:ind w:left="20"/>
              <w:spacing w:after="0"/>
              <w:rPr>
                <w:sz w:val="20"/>
                <w:szCs w:val="20"/>
                <w:color w:val="auto"/>
              </w:rPr>
            </w:pPr>
            <w:r>
              <w:rPr>
                <w:rFonts w:ascii="Arial" w:cs="Arial" w:eastAsia="Arial" w:hAnsi="Arial"/>
                <w:sz w:val="16"/>
                <w:szCs w:val="16"/>
                <w:color w:val="auto"/>
              </w:rPr>
              <w:t>Item 9.01</w:t>
            </w:r>
          </w:p>
        </w:tc>
        <w:tc>
          <w:tcPr>
            <w:tcW w:w="7820" w:type="dxa"/>
            <w:vAlign w:val="bottom"/>
          </w:tcPr>
          <w:p>
            <w:pPr>
              <w:ind w:left="100"/>
              <w:spacing w:after="0"/>
              <w:rPr>
                <w:sz w:val="20"/>
                <w:szCs w:val="20"/>
                <w:color w:val="auto"/>
              </w:rPr>
            </w:pPr>
            <w:r>
              <w:rPr>
                <w:rFonts w:ascii="Arial" w:cs="Arial" w:eastAsia="Arial" w:hAnsi="Arial"/>
                <w:sz w:val="16"/>
                <w:szCs w:val="16"/>
                <w:color w:val="auto"/>
              </w:rPr>
              <w:t>FINANCIAL STATEMENTS AND EXHIBITS</w:t>
            </w:r>
          </w:p>
        </w:tc>
        <w:tc>
          <w:tcPr>
            <w:tcW w:w="0" w:type="dxa"/>
            <w:vAlign w:val="bottom"/>
          </w:tcPr>
          <w:p>
            <w:pPr>
              <w:spacing w:after="0"/>
              <w:rPr>
                <w:sz w:val="1"/>
                <w:szCs w:val="1"/>
                <w:color w:val="auto"/>
              </w:rPr>
            </w:pPr>
          </w:p>
        </w:tc>
      </w:tr>
      <w:tr>
        <w:trPr>
          <w:trHeight w:val="410"/>
        </w:trPr>
        <w:tc>
          <w:tcPr>
            <w:tcW w:w="860" w:type="dxa"/>
            <w:vAlign w:val="bottom"/>
          </w:tcPr>
          <w:p>
            <w:pPr>
              <w:spacing w:after="0"/>
              <w:rPr>
                <w:sz w:val="20"/>
                <w:szCs w:val="20"/>
                <w:color w:val="auto"/>
              </w:rPr>
            </w:pPr>
            <w:r>
              <w:rPr>
                <w:rFonts w:ascii="Arial" w:cs="Arial" w:eastAsia="Arial" w:hAnsi="Arial"/>
                <w:sz w:val="16"/>
                <w:szCs w:val="16"/>
                <w:color w:val="auto"/>
              </w:rPr>
              <w:t>(d) Exhibits</w:t>
            </w:r>
          </w:p>
        </w:tc>
        <w:tc>
          <w:tcPr>
            <w:tcW w:w="7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4"/>
                <w:szCs w:val="14"/>
                <w:color w:val="auto"/>
              </w:rPr>
              <w:t>EXHIBIT</w:t>
            </w:r>
          </w:p>
        </w:tc>
        <w:tc>
          <w:tcPr>
            <w:tcW w:w="7820" w:type="dxa"/>
            <w:vAlign w:val="bottom"/>
            <w:vMerge w:val="restart"/>
          </w:tcPr>
          <w:p>
            <w:pPr>
              <w:ind w:left="14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860" w:type="dxa"/>
            <w:vAlign w:val="bottom"/>
          </w:tcPr>
          <w:p>
            <w:pPr>
              <w:ind w:left="20"/>
              <w:spacing w:after="0"/>
              <w:rPr>
                <w:sz w:val="20"/>
                <w:szCs w:val="20"/>
                <w:color w:val="auto"/>
              </w:rPr>
            </w:pPr>
            <w:r>
              <w:rPr>
                <w:rFonts w:ascii="Arial" w:cs="Arial" w:eastAsia="Arial" w:hAnsi="Arial"/>
                <w:sz w:val="14"/>
                <w:szCs w:val="14"/>
                <w:color w:val="auto"/>
              </w:rPr>
              <w:t>NUMBER</w:t>
            </w:r>
          </w:p>
        </w:tc>
        <w:tc>
          <w:tcPr>
            <w:tcW w:w="7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60" w:type="dxa"/>
            <w:vAlign w:val="bottom"/>
            <w:tcBorders>
              <w:bottom w:val="single" w:sz="8" w:color="auto"/>
            </w:tcBorders>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60" w:type="dxa"/>
            <w:vAlign w:val="bottom"/>
            <w:vMerge w:val="restart"/>
          </w:tcPr>
          <w:p>
            <w:pPr>
              <w:ind w:left="20"/>
              <w:spacing w:after="0"/>
              <w:rPr>
                <w:sz w:val="20"/>
                <w:szCs w:val="20"/>
                <w:color w:val="auto"/>
              </w:rPr>
            </w:pPr>
            <w:r>
              <w:rPr>
                <w:rFonts w:ascii="Arial" w:cs="Arial" w:eastAsia="Arial" w:hAnsi="Arial"/>
                <w:sz w:val="16"/>
                <w:szCs w:val="16"/>
                <w:color w:val="auto"/>
              </w:rPr>
              <w:t>99.1</w:t>
            </w:r>
          </w:p>
        </w:tc>
        <w:tc>
          <w:tcPr>
            <w:tcW w:w="7820" w:type="dxa"/>
            <w:vAlign w:val="bottom"/>
          </w:tcPr>
          <w:p>
            <w:pPr>
              <w:ind w:left="140"/>
              <w:spacing w:after="0"/>
              <w:rPr>
                <w:sz w:val="20"/>
                <w:szCs w:val="20"/>
                <w:color w:val="auto"/>
              </w:rPr>
            </w:pPr>
            <w:r>
              <w:rPr>
                <w:rFonts w:ascii="Arial" w:cs="Arial" w:eastAsia="Arial" w:hAnsi="Arial"/>
                <w:sz w:val="16"/>
                <w:szCs w:val="16"/>
                <w:color w:val="auto"/>
                <w:w w:val="92"/>
              </w:rPr>
              <w:t>Press Release of Brady Corporation, dated February 19, 2016, relating to second quarter fiscal 2016 financial results</w:t>
            </w:r>
          </w:p>
        </w:tc>
        <w:tc>
          <w:tcPr>
            <w:tcW w:w="0" w:type="dxa"/>
            <w:vAlign w:val="bottom"/>
          </w:tcPr>
          <w:p>
            <w:pPr>
              <w:spacing w:after="0"/>
              <w:rPr>
                <w:sz w:val="1"/>
                <w:szCs w:val="1"/>
                <w:color w:val="auto"/>
              </w:rPr>
            </w:pPr>
          </w:p>
        </w:tc>
      </w:tr>
      <w:tr>
        <w:trPr>
          <w:trHeight w:val="109"/>
        </w:trPr>
        <w:tc>
          <w:tcPr>
            <w:tcW w:w="860" w:type="dxa"/>
            <w:vAlign w:val="bottom"/>
            <w:vMerge w:val="continue"/>
          </w:tcPr>
          <w:p>
            <w:pPr>
              <w:spacing w:after="0"/>
              <w:rPr>
                <w:sz w:val="9"/>
                <w:szCs w:val="9"/>
                <w:color w:val="auto"/>
              </w:rPr>
            </w:pPr>
          </w:p>
        </w:tc>
        <w:tc>
          <w:tcPr>
            <w:tcW w:w="7820" w:type="dxa"/>
            <w:vAlign w:val="bottom"/>
            <w:vMerge w:val="restart"/>
          </w:tcPr>
          <w:p>
            <w:pPr>
              <w:ind w:left="140"/>
              <w:spacing w:after="0"/>
              <w:rPr>
                <w:sz w:val="20"/>
                <w:szCs w:val="20"/>
                <w:color w:val="auto"/>
              </w:rPr>
            </w:pPr>
            <w:r>
              <w:rPr>
                <w:rFonts w:ascii="Arial" w:cs="Arial" w:eastAsia="Arial" w:hAnsi="Arial"/>
                <w:sz w:val="16"/>
                <w:szCs w:val="16"/>
                <w:color w:val="auto"/>
              </w:rPr>
              <w:t>and increase in share buyback program.</w:t>
            </w:r>
          </w:p>
        </w:tc>
        <w:tc>
          <w:tcPr>
            <w:tcW w:w="0" w:type="dxa"/>
            <w:vAlign w:val="bottom"/>
          </w:tcPr>
          <w:p>
            <w:pPr>
              <w:spacing w:after="0"/>
              <w:rPr>
                <w:sz w:val="1"/>
                <w:szCs w:val="1"/>
                <w:color w:val="auto"/>
              </w:rPr>
            </w:pPr>
          </w:p>
        </w:tc>
      </w:tr>
      <w:tr>
        <w:trPr>
          <w:trHeight w:val="96"/>
        </w:trPr>
        <w:tc>
          <w:tcPr>
            <w:tcW w:w="860" w:type="dxa"/>
            <w:vAlign w:val="bottom"/>
          </w:tcPr>
          <w:p>
            <w:pPr>
              <w:spacing w:after="0"/>
              <w:rPr>
                <w:sz w:val="8"/>
                <w:szCs w:val="8"/>
                <w:color w:val="auto"/>
              </w:rPr>
            </w:pPr>
          </w:p>
        </w:tc>
        <w:tc>
          <w:tcPr>
            <w:tcW w:w="7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860" w:type="dxa"/>
            <w:vAlign w:val="bottom"/>
            <w:vMerge w:val="restart"/>
          </w:tcPr>
          <w:p>
            <w:pPr>
              <w:ind w:left="20"/>
              <w:spacing w:after="0"/>
              <w:rPr>
                <w:sz w:val="20"/>
                <w:szCs w:val="20"/>
                <w:color w:val="auto"/>
              </w:rPr>
            </w:pPr>
            <w:r>
              <w:rPr>
                <w:rFonts w:ascii="Arial" w:cs="Arial" w:eastAsia="Arial" w:hAnsi="Arial"/>
                <w:sz w:val="16"/>
                <w:szCs w:val="16"/>
                <w:color w:val="auto"/>
              </w:rPr>
              <w:t>99.2</w:t>
            </w:r>
          </w:p>
        </w:tc>
        <w:tc>
          <w:tcPr>
            <w:tcW w:w="7820" w:type="dxa"/>
            <w:vAlign w:val="bottom"/>
          </w:tcPr>
          <w:p>
            <w:pPr>
              <w:ind w:left="140"/>
              <w:spacing w:after="0"/>
              <w:rPr>
                <w:sz w:val="20"/>
                <w:szCs w:val="20"/>
                <w:color w:val="auto"/>
              </w:rPr>
            </w:pPr>
            <w:r>
              <w:rPr>
                <w:rFonts w:ascii="Arial" w:cs="Arial" w:eastAsia="Arial" w:hAnsi="Arial"/>
                <w:sz w:val="16"/>
                <w:szCs w:val="16"/>
                <w:color w:val="auto"/>
                <w:w w:val="94"/>
              </w:rPr>
              <w:t>Informational slides provided by Brady Corporation, dated February 19, 2016, relating to second quarter fiscal 2016</w:t>
            </w:r>
          </w:p>
        </w:tc>
        <w:tc>
          <w:tcPr>
            <w:tcW w:w="0" w:type="dxa"/>
            <w:vAlign w:val="bottom"/>
          </w:tcPr>
          <w:p>
            <w:pPr>
              <w:spacing w:after="0"/>
              <w:rPr>
                <w:sz w:val="1"/>
                <w:szCs w:val="1"/>
                <w:color w:val="auto"/>
              </w:rPr>
            </w:pPr>
          </w:p>
        </w:tc>
      </w:tr>
      <w:tr>
        <w:trPr>
          <w:trHeight w:val="109"/>
        </w:trPr>
        <w:tc>
          <w:tcPr>
            <w:tcW w:w="860" w:type="dxa"/>
            <w:vAlign w:val="bottom"/>
            <w:vMerge w:val="continue"/>
          </w:tcPr>
          <w:p>
            <w:pPr>
              <w:spacing w:after="0"/>
              <w:rPr>
                <w:sz w:val="9"/>
                <w:szCs w:val="9"/>
                <w:color w:val="auto"/>
              </w:rPr>
            </w:pPr>
          </w:p>
        </w:tc>
        <w:tc>
          <w:tcPr>
            <w:tcW w:w="7820" w:type="dxa"/>
            <w:vAlign w:val="bottom"/>
            <w:vMerge w:val="restart"/>
          </w:tcPr>
          <w:p>
            <w:pPr>
              <w:ind w:left="14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r>
        <w:trPr>
          <w:trHeight w:val="96"/>
        </w:trPr>
        <w:tc>
          <w:tcPr>
            <w:tcW w:w="860" w:type="dxa"/>
            <w:vAlign w:val="bottom"/>
          </w:tcPr>
          <w:p>
            <w:pPr>
              <w:spacing w:after="0"/>
              <w:rPr>
                <w:sz w:val="8"/>
                <w:szCs w:val="8"/>
                <w:color w:val="auto"/>
              </w:rPr>
            </w:pPr>
          </w:p>
        </w:tc>
        <w:tc>
          <w:tcPr>
            <w:tcW w:w="7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5940" w:val="left"/>
        </w:tabs>
        <w:rPr>
          <w:sz w:val="20"/>
          <w:szCs w:val="20"/>
          <w:color w:val="auto"/>
        </w:rPr>
      </w:pPr>
      <w:r>
        <w:rPr>
          <w:rFonts w:ascii="Arial" w:cs="Arial" w:eastAsia="Arial" w:hAnsi="Arial"/>
          <w:sz w:val="16"/>
          <w:szCs w:val="16"/>
          <w:color w:val="auto"/>
        </w:rPr>
        <w:t>Date: February 19, 2016</w:t>
      </w:r>
      <w:r>
        <w:rPr>
          <w:sz w:val="20"/>
          <w:szCs w:val="20"/>
          <w:color w:val="auto"/>
        </w:rPr>
        <w:tab/>
      </w:r>
      <w:r>
        <w:rPr>
          <w:rFonts w:ascii="Arial" w:cs="Arial" w:eastAsia="Arial" w:hAnsi="Arial"/>
          <w:sz w:val="15"/>
          <w:szCs w:val="15"/>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29210</wp:posOffset>
            </wp:positionV>
            <wp:extent cx="3484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Aaron J. Pearce</w:t>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Senior Vice President, Chief Financial Officer and Chief Accounting Officer</w:t>
      </w:r>
    </w:p>
    <w:p>
      <w:pPr>
        <w:sectPr>
          <w:pgSz w:w="11900" w:h="16838" w:orient="portrait"/>
          <w:cols w:equalWidth="0" w:num="1">
            <w:col w:w="11440"/>
          </w:cols>
          <w:pgMar w:left="240" w:top="682"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20" w:type="dxa"/>
            <w:vAlign w:val="bottom"/>
          </w:tcPr>
          <w:p>
            <w:pPr>
              <w:spacing w:after="0"/>
              <w:rPr>
                <w:sz w:val="17"/>
                <w:szCs w:val="17"/>
                <w:color w:val="auto"/>
              </w:rPr>
            </w:pPr>
          </w:p>
        </w:tc>
        <w:tc>
          <w:tcPr>
            <w:tcW w:w="7860" w:type="dxa"/>
            <w:vAlign w:val="bottom"/>
          </w:tcPr>
          <w:p>
            <w:pPr>
              <w:ind w:left="4300"/>
              <w:spacing w:after="0"/>
              <w:rPr>
                <w:sz w:val="20"/>
                <w:szCs w:val="20"/>
                <w:color w:val="auto"/>
              </w:rPr>
            </w:pPr>
            <w:r>
              <w:rPr>
                <w:rFonts w:ascii="Arial" w:cs="Arial" w:eastAsia="Arial" w:hAnsi="Arial"/>
                <w:sz w:val="16"/>
                <w:szCs w:val="16"/>
                <w:color w:val="auto"/>
              </w:rPr>
              <w:t>EXHIBIT INDEX</w:t>
            </w:r>
          </w:p>
        </w:tc>
        <w:tc>
          <w:tcPr>
            <w:tcW w:w="0" w:type="dxa"/>
            <w:vAlign w:val="bottom"/>
          </w:tcPr>
          <w:p>
            <w:pPr>
              <w:spacing w:after="0"/>
              <w:rPr>
                <w:sz w:val="1"/>
                <w:szCs w:val="1"/>
                <w:color w:val="auto"/>
              </w:rPr>
            </w:pPr>
          </w:p>
        </w:tc>
      </w:tr>
      <w:tr>
        <w:trPr>
          <w:trHeight w:val="511"/>
        </w:trPr>
        <w:tc>
          <w:tcPr>
            <w:tcW w:w="820" w:type="dxa"/>
            <w:vAlign w:val="bottom"/>
          </w:tcPr>
          <w:p>
            <w:pPr>
              <w:ind w:left="20"/>
              <w:spacing w:after="0"/>
              <w:rPr>
                <w:sz w:val="20"/>
                <w:szCs w:val="20"/>
                <w:color w:val="auto"/>
              </w:rPr>
            </w:pPr>
            <w:r>
              <w:rPr>
                <w:rFonts w:ascii="Arial" w:cs="Arial" w:eastAsia="Arial" w:hAnsi="Arial"/>
                <w:sz w:val="14"/>
                <w:szCs w:val="14"/>
                <w:color w:val="auto"/>
              </w:rPr>
              <w:t>EXHIBIT</w:t>
            </w:r>
          </w:p>
        </w:tc>
        <w:tc>
          <w:tcPr>
            <w:tcW w:w="7860" w:type="dxa"/>
            <w:vAlign w:val="bottom"/>
            <w:vMerge w:val="restart"/>
          </w:tcPr>
          <w:p>
            <w:pPr>
              <w:ind w:left="18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820" w:type="dxa"/>
            <w:vAlign w:val="bottom"/>
          </w:tcPr>
          <w:p>
            <w:pPr>
              <w:ind w:left="20"/>
              <w:spacing w:after="0"/>
              <w:rPr>
                <w:sz w:val="20"/>
                <w:szCs w:val="20"/>
                <w:color w:val="auto"/>
              </w:rPr>
            </w:pPr>
            <w:r>
              <w:rPr>
                <w:rFonts w:ascii="Arial" w:cs="Arial" w:eastAsia="Arial" w:hAnsi="Arial"/>
                <w:sz w:val="14"/>
                <w:szCs w:val="14"/>
                <w:color w:val="auto"/>
              </w:rPr>
              <w:t>NUMBER</w:t>
            </w:r>
          </w:p>
        </w:tc>
        <w:tc>
          <w:tcPr>
            <w:tcW w:w="7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0" w:type="dxa"/>
            <w:vAlign w:val="bottom"/>
            <w:tcBorders>
              <w:bottom w:val="single" w:sz="8" w:color="auto"/>
            </w:tcBorders>
          </w:tcPr>
          <w:p>
            <w:pPr>
              <w:spacing w:after="0"/>
              <w:rPr>
                <w:sz w:val="2"/>
                <w:szCs w:val="2"/>
                <w:color w:val="auto"/>
              </w:rPr>
            </w:pPr>
          </w:p>
        </w:tc>
        <w:tc>
          <w:tcPr>
            <w:tcW w:w="7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 w:type="dxa"/>
            <w:vAlign w:val="bottom"/>
            <w:vMerge w:val="restart"/>
          </w:tcPr>
          <w:p>
            <w:pPr>
              <w:ind w:left="20"/>
              <w:spacing w:after="0"/>
              <w:rPr>
                <w:sz w:val="20"/>
                <w:szCs w:val="20"/>
                <w:color w:val="auto"/>
              </w:rPr>
            </w:pPr>
            <w:r>
              <w:rPr>
                <w:rFonts w:ascii="Arial" w:cs="Arial" w:eastAsia="Arial" w:hAnsi="Arial"/>
                <w:sz w:val="16"/>
                <w:szCs w:val="16"/>
                <w:color w:val="auto"/>
              </w:rPr>
              <w:t>99.1</w:t>
            </w:r>
          </w:p>
        </w:tc>
        <w:tc>
          <w:tcPr>
            <w:tcW w:w="7860" w:type="dxa"/>
            <w:vAlign w:val="bottom"/>
          </w:tcPr>
          <w:p>
            <w:pPr>
              <w:ind w:left="180"/>
              <w:spacing w:after="0"/>
              <w:rPr>
                <w:sz w:val="20"/>
                <w:szCs w:val="20"/>
                <w:color w:val="auto"/>
              </w:rPr>
            </w:pPr>
            <w:r>
              <w:rPr>
                <w:rFonts w:ascii="Arial" w:cs="Arial" w:eastAsia="Arial" w:hAnsi="Arial"/>
                <w:sz w:val="16"/>
                <w:szCs w:val="16"/>
                <w:color w:val="auto"/>
                <w:w w:val="92"/>
              </w:rPr>
              <w:t>Press Release of Brady Corporation, dated February 19, 2016, relating to second quarter fiscal 2016 financial results</w:t>
            </w:r>
          </w:p>
        </w:tc>
        <w:tc>
          <w:tcPr>
            <w:tcW w:w="0" w:type="dxa"/>
            <w:vAlign w:val="bottom"/>
          </w:tcPr>
          <w:p>
            <w:pPr>
              <w:spacing w:after="0"/>
              <w:rPr>
                <w:sz w:val="1"/>
                <w:szCs w:val="1"/>
                <w:color w:val="auto"/>
              </w:rPr>
            </w:pPr>
          </w:p>
        </w:tc>
      </w:tr>
      <w:tr>
        <w:trPr>
          <w:trHeight w:val="109"/>
        </w:trPr>
        <w:tc>
          <w:tcPr>
            <w:tcW w:w="820" w:type="dxa"/>
            <w:vAlign w:val="bottom"/>
            <w:vMerge w:val="continue"/>
          </w:tcPr>
          <w:p>
            <w:pPr>
              <w:spacing w:after="0"/>
              <w:rPr>
                <w:sz w:val="9"/>
                <w:szCs w:val="9"/>
                <w:color w:val="auto"/>
              </w:rPr>
            </w:pPr>
          </w:p>
        </w:tc>
        <w:tc>
          <w:tcPr>
            <w:tcW w:w="7860" w:type="dxa"/>
            <w:vAlign w:val="bottom"/>
            <w:vMerge w:val="restart"/>
          </w:tcPr>
          <w:p>
            <w:pPr>
              <w:ind w:left="180"/>
              <w:spacing w:after="0"/>
              <w:rPr>
                <w:sz w:val="20"/>
                <w:szCs w:val="20"/>
                <w:color w:val="auto"/>
              </w:rPr>
            </w:pPr>
            <w:r>
              <w:rPr>
                <w:rFonts w:ascii="Arial" w:cs="Arial" w:eastAsia="Arial" w:hAnsi="Arial"/>
                <w:sz w:val="16"/>
                <w:szCs w:val="16"/>
                <w:color w:val="auto"/>
              </w:rPr>
              <w:t>and increase in share buyback program.</w:t>
            </w:r>
          </w:p>
        </w:tc>
        <w:tc>
          <w:tcPr>
            <w:tcW w:w="0" w:type="dxa"/>
            <w:vAlign w:val="bottom"/>
          </w:tcPr>
          <w:p>
            <w:pPr>
              <w:spacing w:after="0"/>
              <w:rPr>
                <w:sz w:val="1"/>
                <w:szCs w:val="1"/>
                <w:color w:val="auto"/>
              </w:rPr>
            </w:pPr>
          </w:p>
        </w:tc>
      </w:tr>
      <w:tr>
        <w:trPr>
          <w:trHeight w:val="96"/>
        </w:trPr>
        <w:tc>
          <w:tcPr>
            <w:tcW w:w="820" w:type="dxa"/>
            <w:vAlign w:val="bottom"/>
          </w:tcPr>
          <w:p>
            <w:pPr>
              <w:spacing w:after="0"/>
              <w:rPr>
                <w:sz w:val="8"/>
                <w:szCs w:val="8"/>
                <w:color w:val="auto"/>
              </w:rPr>
            </w:pPr>
          </w:p>
        </w:tc>
        <w:tc>
          <w:tcPr>
            <w:tcW w:w="7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820" w:type="dxa"/>
            <w:vAlign w:val="bottom"/>
            <w:vMerge w:val="restart"/>
          </w:tcPr>
          <w:p>
            <w:pPr>
              <w:ind w:left="20"/>
              <w:spacing w:after="0"/>
              <w:rPr>
                <w:sz w:val="20"/>
                <w:szCs w:val="20"/>
                <w:color w:val="auto"/>
              </w:rPr>
            </w:pPr>
            <w:r>
              <w:rPr>
                <w:rFonts w:ascii="Arial" w:cs="Arial" w:eastAsia="Arial" w:hAnsi="Arial"/>
                <w:sz w:val="16"/>
                <w:szCs w:val="16"/>
                <w:color w:val="auto"/>
              </w:rPr>
              <w:t>99.2</w:t>
            </w:r>
          </w:p>
        </w:tc>
        <w:tc>
          <w:tcPr>
            <w:tcW w:w="7860" w:type="dxa"/>
            <w:vAlign w:val="bottom"/>
          </w:tcPr>
          <w:p>
            <w:pPr>
              <w:ind w:left="180"/>
              <w:spacing w:after="0"/>
              <w:rPr>
                <w:sz w:val="20"/>
                <w:szCs w:val="20"/>
                <w:color w:val="auto"/>
              </w:rPr>
            </w:pPr>
            <w:r>
              <w:rPr>
                <w:rFonts w:ascii="Arial" w:cs="Arial" w:eastAsia="Arial" w:hAnsi="Arial"/>
                <w:sz w:val="16"/>
                <w:szCs w:val="16"/>
                <w:color w:val="auto"/>
                <w:w w:val="94"/>
              </w:rPr>
              <w:t>Informational slides provided by Brady Corporation, dated February 19, 2016, relating to second quarter fiscal 2016</w:t>
            </w:r>
          </w:p>
        </w:tc>
        <w:tc>
          <w:tcPr>
            <w:tcW w:w="0" w:type="dxa"/>
            <w:vAlign w:val="bottom"/>
          </w:tcPr>
          <w:p>
            <w:pPr>
              <w:spacing w:after="0"/>
              <w:rPr>
                <w:sz w:val="1"/>
                <w:szCs w:val="1"/>
                <w:color w:val="auto"/>
              </w:rPr>
            </w:pPr>
          </w:p>
        </w:tc>
      </w:tr>
      <w:tr>
        <w:trPr>
          <w:trHeight w:val="109"/>
        </w:trPr>
        <w:tc>
          <w:tcPr>
            <w:tcW w:w="820" w:type="dxa"/>
            <w:vAlign w:val="bottom"/>
            <w:vMerge w:val="continue"/>
          </w:tcPr>
          <w:p>
            <w:pPr>
              <w:spacing w:after="0"/>
              <w:rPr>
                <w:sz w:val="9"/>
                <w:szCs w:val="9"/>
                <w:color w:val="auto"/>
              </w:rPr>
            </w:pPr>
          </w:p>
        </w:tc>
        <w:tc>
          <w:tcPr>
            <w:tcW w:w="7860" w:type="dxa"/>
            <w:vAlign w:val="bottom"/>
            <w:vMerge w:val="restart"/>
          </w:tcPr>
          <w:p>
            <w:pPr>
              <w:ind w:left="18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r>
        <w:trPr>
          <w:trHeight w:val="96"/>
        </w:trPr>
        <w:tc>
          <w:tcPr>
            <w:tcW w:w="820" w:type="dxa"/>
            <w:vAlign w:val="bottom"/>
          </w:tcPr>
          <w:p>
            <w:pPr>
              <w:spacing w:after="0"/>
              <w:rPr>
                <w:sz w:val="8"/>
                <w:szCs w:val="8"/>
                <w:color w:val="auto"/>
              </w:rPr>
            </w:pPr>
          </w:p>
        </w:tc>
        <w:tc>
          <w:tcPr>
            <w:tcW w:w="7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3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7" w:lineRule="auto"/>
        <w:rPr>
          <w:sz w:val="20"/>
          <w:szCs w:val="20"/>
          <w:color w:val="auto"/>
        </w:rPr>
      </w:pPr>
      <w:r>
        <w:rPr>
          <w:rFonts w:ascii="Arial" w:cs="Arial" w:eastAsia="Arial" w:hAnsi="Arial"/>
          <w:sz w:val="18"/>
          <w:szCs w:val="18"/>
          <w:color w:val="auto"/>
        </w:rPr>
        <w:t>Investor contact: Ann Thornton 414-438-6887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 contact: Kate Venne 414-358-5176</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2016 Second Quarter Results and Increases its Fiscal 2016 EPS Guidance</w:t>
      </w:r>
    </w:p>
    <w:p>
      <w:pPr>
        <w:spacing w:after="0" w:line="330" w:lineRule="exact"/>
        <w:rPr>
          <w:sz w:val="20"/>
          <w:szCs w:val="20"/>
          <w:color w:val="auto"/>
        </w:rPr>
      </w:pPr>
    </w:p>
    <w:p>
      <w:pPr>
        <w:jc w:val="both"/>
        <w:ind w:left="580" w:right="2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Earnings per diluted Class A Nonvoting Common Share of $0.30 in the second quarter of fiscal 2016 were up 30.4 percent and 3.4 percent compared to GAAP and non-GAAP earnings from continuing operations per diluted Class A Nonvoting Common Share* of $0.23 and $0.29, respectively, in the same quarter of the prior year.</w:t>
      </w:r>
    </w:p>
    <w:p>
      <w:pPr>
        <w:spacing w:after="0" w:line="1"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Organic revenue growth of 0.4 percent for the quarter ended January 31, 2016.</w:t>
      </w:r>
    </w:p>
    <w:p>
      <w:pPr>
        <w:spacing w:after="0" w:line="94" w:lineRule="exact"/>
        <w:rPr>
          <w:rFonts w:ascii="Arial" w:cs="Arial" w:eastAsia="Arial" w:hAnsi="Arial"/>
          <w:sz w:val="16"/>
          <w:szCs w:val="16"/>
          <w:color w:val="auto"/>
        </w:rPr>
      </w:pPr>
    </w:p>
    <w:p>
      <w:pPr>
        <w:ind w:left="580" w:right="2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Net cash provided by operating activities was $27.9 million during the second quarter of fiscal 2016, compared to $5.3 million in the same quarter of the prior year.</w:t>
      </w:r>
    </w:p>
    <w:p>
      <w:pPr>
        <w:spacing w:after="0" w:line="1" w:lineRule="exact"/>
        <w:rPr>
          <w:rFonts w:ascii="Arial" w:cs="Arial" w:eastAsia="Arial" w:hAnsi="Arial"/>
          <w:sz w:val="16"/>
          <w:szCs w:val="16"/>
          <w:color w:val="auto"/>
        </w:rPr>
      </w:pPr>
    </w:p>
    <w:p>
      <w:pPr>
        <w:ind w:left="580" w:right="2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Returned $10.2 million to shareholders in the form of dividends and $7.2 million through the repurchase of 338,579 shares during the quarter ended January 31, 2016.</w:t>
      </w:r>
    </w:p>
    <w:p>
      <w:pPr>
        <w:spacing w:after="0" w:line="1"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Earnings per diluted Class A Common Share guidance for the full year ending July 31, 2016, increased to a range of $1.20 to $1.35.</w:t>
      </w:r>
    </w:p>
    <w:p>
      <w:pPr>
        <w:spacing w:after="0" w:line="372" w:lineRule="exact"/>
        <w:rPr>
          <w:sz w:val="20"/>
          <w:szCs w:val="20"/>
          <w:color w:val="auto"/>
        </w:rPr>
      </w:pPr>
    </w:p>
    <w:p>
      <w:pPr>
        <w:jc w:val="both"/>
        <w:ind w:right="20"/>
        <w:spacing w:after="0" w:line="368" w:lineRule="auto"/>
        <w:rPr>
          <w:sz w:val="20"/>
          <w:szCs w:val="20"/>
          <w:color w:val="auto"/>
        </w:rPr>
      </w:pPr>
      <w:r>
        <w:rPr>
          <w:rFonts w:ascii="Arial" w:cs="Arial" w:eastAsia="Arial" w:hAnsi="Arial"/>
          <w:sz w:val="18"/>
          <w:szCs w:val="18"/>
          <w:color w:val="auto"/>
        </w:rPr>
        <w:t>MILWAUKEE (February 19, 2016)--Brady Corporation (NYSE: BRC) (“Brady” or “Company”), a world leader in identification solutions, today reported its financial results for its fiscal 2016 second quarter ended January 31, 2016.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January 31, 2016 Financial Results:</w:t>
      </w:r>
    </w:p>
    <w:p>
      <w:pPr>
        <w:spacing w:after="0" w:line="101" w:lineRule="exact"/>
        <w:rPr>
          <w:sz w:val="20"/>
          <w:szCs w:val="20"/>
          <w:color w:val="auto"/>
        </w:rPr>
      </w:pPr>
    </w:p>
    <w:p>
      <w:pPr>
        <w:jc w:val="both"/>
        <w:ind w:right="20" w:firstLine="579"/>
        <w:spacing w:after="0" w:line="349" w:lineRule="auto"/>
        <w:rPr>
          <w:sz w:val="20"/>
          <w:szCs w:val="20"/>
          <w:color w:val="auto"/>
        </w:rPr>
      </w:pPr>
      <w:r>
        <w:rPr>
          <w:rFonts w:ascii="Arial" w:cs="Arial" w:eastAsia="Arial" w:hAnsi="Arial"/>
          <w:sz w:val="18"/>
          <w:szCs w:val="18"/>
          <w:color w:val="auto"/>
        </w:rPr>
        <w:t>Net earnings for the quarter ended January 31, 2016, were $15.3 million compared to $11.6 million in the same quarter last year. Non-GAAP net earnings* were $15.0 million for the quarter ended January 31, 2015.</w:t>
      </w:r>
    </w:p>
    <w:p>
      <w:pPr>
        <w:spacing w:after="0" w:line="1" w:lineRule="exact"/>
        <w:rPr>
          <w:sz w:val="20"/>
          <w:szCs w:val="20"/>
          <w:color w:val="auto"/>
        </w:rPr>
      </w:pPr>
    </w:p>
    <w:p>
      <w:pPr>
        <w:jc w:val="both"/>
        <w:ind w:right="20" w:firstLine="579"/>
        <w:spacing w:after="0" w:line="370" w:lineRule="auto"/>
        <w:rPr>
          <w:sz w:val="20"/>
          <w:szCs w:val="20"/>
          <w:color w:val="auto"/>
        </w:rPr>
      </w:pPr>
      <w:r>
        <w:rPr>
          <w:rFonts w:ascii="Arial" w:cs="Arial" w:eastAsia="Arial" w:hAnsi="Arial"/>
          <w:sz w:val="17"/>
          <w:szCs w:val="17"/>
          <w:color w:val="auto"/>
        </w:rPr>
        <w:t>Earnings per diluted Class A Nonvoting Common Share were $0.30 for the second quarter ended January 31, 2016, compared to $0.23 in the same quarter last year. Non-GAAP earnings per diluted Class A Nonvoting Common Share* were $0.29 for the quarter ended January 31, 2015.</w:t>
      </w:r>
    </w:p>
    <w:p>
      <w:pPr>
        <w:jc w:val="both"/>
        <w:ind w:right="20" w:firstLine="579"/>
        <w:spacing w:after="0" w:line="359" w:lineRule="auto"/>
        <w:rPr>
          <w:sz w:val="20"/>
          <w:szCs w:val="20"/>
          <w:color w:val="auto"/>
        </w:rPr>
      </w:pPr>
      <w:r>
        <w:rPr>
          <w:rFonts w:ascii="Arial" w:cs="Arial" w:eastAsia="Arial" w:hAnsi="Arial"/>
          <w:sz w:val="18"/>
          <w:szCs w:val="18"/>
          <w:color w:val="auto"/>
        </w:rPr>
        <w:t>Sales for the quarter ended January 31, 2016, decreased 5.0 percent to $268.6 million compared to $282.6 million in the second quarter of fiscal 2015. Total organic sales increased 0.4 percent and foreign currency translation decreased sales by 5.4 percent. By segment, organic sales increased 0.7 percent in Identification Solutions and decreased 0.1 percent in Workplace Safety.</w:t>
      </w:r>
    </w:p>
    <w:p>
      <w:pPr>
        <w:sectPr>
          <w:pgSz w:w="11900" w:h="16838" w:orient="portrait"/>
          <w:cols w:equalWidth="0" w:num="1">
            <w:col w:w="11440"/>
          </w:cols>
          <w:pgMar w:left="240" w:top="734"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Six-Month Period Ended January 31, 2016 Financial Results:</w:t>
      </w:r>
    </w:p>
    <w:p>
      <w:pPr>
        <w:spacing w:after="0" w:line="101" w:lineRule="exact"/>
        <w:rPr>
          <w:sz w:val="20"/>
          <w:szCs w:val="20"/>
          <w:color w:val="auto"/>
        </w:rPr>
      </w:pPr>
    </w:p>
    <w:p>
      <w:pPr>
        <w:jc w:val="both"/>
        <w:ind w:right="20" w:firstLine="579"/>
        <w:spacing w:after="0" w:line="349" w:lineRule="auto"/>
        <w:rPr>
          <w:sz w:val="20"/>
          <w:szCs w:val="20"/>
          <w:color w:val="auto"/>
        </w:rPr>
      </w:pPr>
      <w:r>
        <w:rPr>
          <w:rFonts w:ascii="Arial" w:cs="Arial" w:eastAsia="Arial" w:hAnsi="Arial"/>
          <w:sz w:val="18"/>
          <w:szCs w:val="18"/>
          <w:color w:val="auto"/>
        </w:rPr>
        <w:t>Net earnings for the six-month period ended January 31, 2016, were $34.0 million compared to $25.2 million in the same period last year. Non-GAAP earnings from continuing operations* were $33.5 million for the six-month period ended January 31, 2015.</w:t>
      </w:r>
    </w:p>
    <w:p>
      <w:pPr>
        <w:spacing w:after="0" w:line="1" w:lineRule="exact"/>
        <w:rPr>
          <w:sz w:val="20"/>
          <w:szCs w:val="20"/>
          <w:color w:val="auto"/>
        </w:rPr>
      </w:pPr>
    </w:p>
    <w:p>
      <w:pPr>
        <w:jc w:val="both"/>
        <w:ind w:firstLine="579"/>
        <w:spacing w:after="0" w:line="370" w:lineRule="auto"/>
        <w:rPr>
          <w:sz w:val="20"/>
          <w:szCs w:val="20"/>
          <w:color w:val="auto"/>
        </w:rPr>
      </w:pPr>
      <w:r>
        <w:rPr>
          <w:rFonts w:ascii="Arial" w:cs="Arial" w:eastAsia="Arial" w:hAnsi="Arial"/>
          <w:sz w:val="17"/>
          <w:szCs w:val="17"/>
          <w:color w:val="auto"/>
        </w:rPr>
        <w:t>Earnings per diluted Class A Nonvoting Common Share were $0.67 for the six-month period ended January 31, 2016, compared to earnings from continuing operations per diluted Class A Nonvoting Common Share of $0.53 in the same period in fiscal 2015. Non-GAAP earnings from continuing operations per diluted Class A Nonvoting Common Share* were $0.65 for the six-month period ended January 31, 2015.</w:t>
      </w:r>
    </w:p>
    <w:p>
      <w:pPr>
        <w:spacing w:after="0" w:line="1" w:lineRule="exact"/>
        <w:rPr>
          <w:sz w:val="20"/>
          <w:szCs w:val="20"/>
          <w:color w:val="auto"/>
        </w:rPr>
      </w:pPr>
    </w:p>
    <w:p>
      <w:pPr>
        <w:jc w:val="both"/>
        <w:ind w:right="20" w:firstLine="579"/>
        <w:spacing w:after="0" w:line="359" w:lineRule="auto"/>
        <w:rPr>
          <w:sz w:val="20"/>
          <w:szCs w:val="20"/>
          <w:color w:val="auto"/>
        </w:rPr>
      </w:pPr>
      <w:r>
        <w:rPr>
          <w:rFonts w:ascii="Arial" w:cs="Arial" w:eastAsia="Arial" w:hAnsi="Arial"/>
          <w:sz w:val="18"/>
          <w:szCs w:val="18"/>
          <w:color w:val="auto"/>
        </w:rPr>
        <w:t>Sales for the six-month period ended January 31, 2016, decreased 6.9 percent to $551.7 million compared to $592.9 million in the same period in fiscal 2015. Total organic sales decreased 0.9 percent and the impact of foreign currency translation decreased sales by 6.0 percent. Organic sales decreased 0.9 percent in both the Identification Solutions and Workplace Safety segments.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Buyback Program:</w:t>
      </w:r>
    </w:p>
    <w:p>
      <w:pPr>
        <w:spacing w:after="0" w:line="101" w:lineRule="exact"/>
        <w:rPr>
          <w:sz w:val="20"/>
          <w:szCs w:val="20"/>
          <w:color w:val="auto"/>
        </w:rPr>
      </w:pPr>
    </w:p>
    <w:p>
      <w:pPr>
        <w:jc w:val="both"/>
        <w:ind w:right="20" w:firstLine="579"/>
        <w:spacing w:after="0" w:line="387" w:lineRule="auto"/>
        <w:rPr>
          <w:sz w:val="20"/>
          <w:szCs w:val="20"/>
          <w:color w:val="auto"/>
        </w:rPr>
      </w:pPr>
      <w:r>
        <w:rPr>
          <w:rFonts w:ascii="Arial" w:cs="Arial" w:eastAsia="Arial" w:hAnsi="Arial"/>
          <w:sz w:val="17"/>
          <w:szCs w:val="17"/>
          <w:color w:val="auto"/>
        </w:rPr>
        <w:t>On February 16, 2016, Brady’s Board of Directors authorized an increase in the Company’s share buyback program, bringing the amount of the Company’s Class A Common Stock authorized for repurchase up to a total of two million shares, inclusive of the shares in the existing share buyback program. The share buyback plan may be implemented from time to time on the open market or in privately negotiated transactions.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w:t>
      </w:r>
    </w:p>
    <w:p>
      <w:pPr>
        <w:spacing w:after="0" w:line="101" w:lineRule="exact"/>
        <w:rPr>
          <w:sz w:val="20"/>
          <w:szCs w:val="20"/>
          <w:color w:val="auto"/>
        </w:rPr>
      </w:pPr>
    </w:p>
    <w:p>
      <w:pPr>
        <w:jc w:val="both"/>
        <w:ind w:firstLine="579"/>
        <w:spacing w:after="0" w:line="429" w:lineRule="auto"/>
        <w:rPr>
          <w:sz w:val="20"/>
          <w:szCs w:val="20"/>
          <w:color w:val="auto"/>
        </w:rPr>
      </w:pPr>
      <w:r>
        <w:rPr>
          <w:rFonts w:ascii="Arial" w:cs="Arial" w:eastAsia="Arial" w:hAnsi="Arial"/>
          <w:sz w:val="15"/>
          <w:szCs w:val="15"/>
          <w:color w:val="auto"/>
        </w:rPr>
        <w:t>“Our focus on operational efficiency and local accountability resulted in increased organic sales and net earnings in the second quarter. Our GAAP EPS increased 30.4 percent and our Non-GAAP EPS* increased 3.4 percent when compared with the second quarter of last year. We continue making improvements in our customer service metrics while gaining efficiencies throughout the organization,” said Brady’s President and Chief Executive Officer, J. Michael Nauman. “Although organic sales increased in the second quarter, we expect to continue to be challenged by macro-economic conditions in certain industrial markets and geographies, including the U.S., Canada, Brazil, and China, which will continue to work against our efforts to improve results. Our top priorities include growing our pipeline of innovative new products while delivering operational efficiencies, which will position Brady to compete successfully and deliver improved results to our shareholders. These results include our efforts to invest properly in creating complete solutions for our customers’ current and future needs. We are pleased that we have been able to improve our performance while simultaneously driving a longer-term vision.”</w:t>
      </w:r>
    </w:p>
    <w:p>
      <w:pPr>
        <w:sectPr>
          <w:pgSz w:w="11900" w:h="16838" w:orient="portrait"/>
          <w:cols w:equalWidth="0" w:num="1">
            <w:col w:w="11440"/>
          </w:cols>
          <w:pgMar w:left="240" w:top="577" w:right="219" w:bottom="1440" w:gutter="0" w:footer="0" w:header="0"/>
        </w:sectPr>
      </w:pPr>
    </w:p>
    <w:bookmarkStart w:id="5" w:name="page6"/>
    <w:bookmarkEnd w:id="5"/>
    <w:p>
      <w:pPr>
        <w:jc w:val="both"/>
        <w:ind w:firstLine="579"/>
        <w:spacing w:after="0" w:line="352" w:lineRule="auto"/>
        <w:rPr>
          <w:sz w:val="20"/>
          <w:szCs w:val="20"/>
          <w:color w:val="auto"/>
        </w:rPr>
      </w:pPr>
      <w:r>
        <w:rPr>
          <w:rFonts w:ascii="Arial" w:cs="Arial" w:eastAsia="Arial" w:hAnsi="Arial"/>
          <w:sz w:val="18"/>
          <w:szCs w:val="18"/>
          <w:color w:val="auto"/>
        </w:rPr>
        <w:t>“Our focus on driving increased cash flow is apparent in our second quarter financial results where net cash provided by operating activities increased more than 400 percent over the second quarter of last year. Our year-to-date net cash provided by operating activities has more than doubled as we finished with $58.3 million for the six-month period ended January 31, 2016, compared with $23.9 million for the same period last year,” said Brady’s Chief Financial Officer, Aaron Pearce. “In the first six months of this year, we have returned $20.4 million to our shareholders in the form of dividends and we have repurchased 1,146,271 shares for a total of $23.4 million, all while reducing our net debt position by $6.7 million since the start of this fiscal year. We will continue to be diligent in the allocation of our capital with our first priority being to drive organic growth and our remaining priorities to return funds to our shareholders in the form of dividends and to execute share buybacks in an opportunistic manner to ensure that our uses of cash are generating incremental value for our shareholders.”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Guidance:</w:t>
      </w:r>
    </w:p>
    <w:p>
      <w:pPr>
        <w:spacing w:after="0" w:line="101" w:lineRule="exact"/>
        <w:rPr>
          <w:sz w:val="20"/>
          <w:szCs w:val="20"/>
          <w:color w:val="auto"/>
        </w:rPr>
      </w:pPr>
    </w:p>
    <w:p>
      <w:pPr>
        <w:jc w:val="both"/>
        <w:ind w:right="20" w:firstLine="579"/>
        <w:spacing w:after="0" w:line="353" w:lineRule="auto"/>
        <w:rPr>
          <w:sz w:val="20"/>
          <w:szCs w:val="20"/>
          <w:color w:val="auto"/>
        </w:rPr>
      </w:pPr>
      <w:r>
        <w:rPr>
          <w:rFonts w:ascii="Arial" w:cs="Arial" w:eastAsia="Arial" w:hAnsi="Arial"/>
          <w:sz w:val="18"/>
          <w:szCs w:val="18"/>
          <w:color w:val="auto"/>
        </w:rPr>
        <w:t>The Company is increasing its earnings per share guidance for the full year ending July 31, 2016, and currently anticipates earnings per diluted Class A Common Share to range from $1.20 to $1.35. Included in this guidance is a low-single digit decline in organic sales for the full fiscal year, which is reflective of economic challenges in certain industrial markets and geographies. Offsetting the weaker sales outlook are expected efficiency gains in the Company’s manufacturing facilities as well as improvements in selling, general and administrative expenses. This guidance is based upon exchange rates as of January 31, 2016, a full-year income tax rate in the mid-to-upper 20 percent range, depreciation and amortization of approximately $35 million to $38 million, and capital expenditures of approximately $17 million to $20 million.</w:t>
      </w:r>
    </w:p>
    <w:p>
      <w:pPr>
        <w:spacing w:after="0" w:line="26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2016 second quarter financial results will be available at </w:t>
      </w:r>
      <w:r>
        <w:rPr>
          <w:rFonts w:ascii="Arial" w:cs="Arial" w:eastAsia="Arial" w:hAnsi="Arial"/>
          <w:sz w:val="15"/>
          <w:szCs w:val="15"/>
          <w:u w:val="single" w:color="auto"/>
          <w:color w:val="0000FF"/>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pacing w:after="0" w:line="396" w:lineRule="exact"/>
        <w:rPr>
          <w:sz w:val="20"/>
          <w:szCs w:val="20"/>
          <w:color w:val="auto"/>
        </w:rPr>
      </w:pPr>
    </w:p>
    <w:p>
      <w:pPr>
        <w:jc w:val="both"/>
        <w:ind w:firstLine="579"/>
        <w:spacing w:after="0" w:line="377"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2015, employed approximately 6,400 people in its worldwide businesses. Brady’s fiscal 2015 sales were approximately $1.17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See accompanying notes for Non-GAAP measures.</w:t>
      </w:r>
    </w:p>
    <w:p>
      <w:pPr>
        <w:sectPr>
          <w:pgSz w:w="11900" w:h="16838" w:orient="portrait"/>
          <w:cols w:equalWidth="0" w:num="1">
            <w:col w:w="11440"/>
          </w:cols>
          <w:pgMar w:left="240" w:top="583" w:right="2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implementation of the Workplace Safety strategy; Brady’s ability to develop and successfully market technologically advanced new products; technology changes and potential security violations to the Company’s information technology systems; future competition; future financial performance of major markets Brady serves, which include, without limitation, telecommunications, hard disk drive, manufacturing, electrical, construction, laboratory, education, governmental, public utility, computer, healthcare and transportation; fluctuations in currency rates versus the U.S. dollar; risks associated with international operations; difficulties associated with exports; changes in the supply of, or price for, parts and components; increased price pressure from suppliers and customers; Brady’s ability to retain significant contracts and customers; risk associated with loss of key talent; risks associated with obtaining governmental approvals and maintaining regulatory compliance; risk associated with product liability claims; environmental, health and safety compliance costs and liabilities; potential write-offs of Brady’s substantial intangible assets; unforeseen tax consequences; risks associated with restructuring plans and maintaining acceptable operational service metrics; risks associated with divestitures; risks associated with identifying, completing, and integrating acquisitions; risks associated with our ownership structure; Brady’s ability to maintain compliance with its debt covenants; increase in our level of debt;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2015.</w:t>
      </w:r>
    </w:p>
    <w:p>
      <w:pPr>
        <w:spacing w:after="0" w:line="166"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40"/>
          </w:cols>
          <w:pgMar w:left="240" w:top="583" w:right="2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EARNINGS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color w:val="auto"/>
              </w:rPr>
              <w:t>Three months ended January 31,</w:t>
            </w:r>
          </w:p>
        </w:tc>
        <w:tc>
          <w:tcPr>
            <w:tcW w:w="180" w:type="dxa"/>
            <w:vAlign w:val="bottom"/>
          </w:tcPr>
          <w:p>
            <w:pPr>
              <w:spacing w:after="0"/>
              <w:rPr>
                <w:sz w:val="15"/>
                <w:szCs w:val="15"/>
                <w:color w:val="auto"/>
              </w:rPr>
            </w:pPr>
          </w:p>
        </w:tc>
        <w:tc>
          <w:tcPr>
            <w:tcW w:w="2060" w:type="dxa"/>
            <w:vAlign w:val="bottom"/>
            <w:gridSpan w:val="4"/>
          </w:tcPr>
          <w:p>
            <w:pPr>
              <w:jc w:val="right"/>
              <w:ind w:right="168"/>
              <w:spacing w:after="0"/>
              <w:rPr>
                <w:sz w:val="20"/>
                <w:szCs w:val="20"/>
                <w:color w:val="auto"/>
              </w:rPr>
            </w:pPr>
            <w:r>
              <w:rPr>
                <w:rFonts w:ascii="Arial" w:cs="Arial" w:eastAsia="Arial" w:hAnsi="Arial"/>
                <w:sz w:val="14"/>
                <w:szCs w:val="14"/>
                <w:color w:val="auto"/>
                <w:w w:val="95"/>
              </w:rPr>
              <w:t>Six months ended January 31,</w:t>
            </w:r>
          </w:p>
        </w:tc>
      </w:tr>
      <w:tr>
        <w:trPr>
          <w:trHeight w:val="30"/>
        </w:trPr>
        <w:tc>
          <w:tcPr>
            <w:tcW w:w="4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2015</w:t>
            </w:r>
          </w:p>
        </w:tc>
      </w:tr>
      <w:tr>
        <w:trPr>
          <w:trHeight w:val="30"/>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268,630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282,628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551,703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592,868</w:t>
            </w: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135,738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144,425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279,462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304,503</w:t>
            </w:r>
          </w:p>
        </w:tc>
      </w:tr>
      <w:tr>
        <w:trPr>
          <w:trHeight w:val="30"/>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Gross margin</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132,892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138,203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272,241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288,365</w:t>
            </w: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Research and development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9,097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8,948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17,666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18,579</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100,206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107,565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200,884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216,846</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Restructuring charges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4,879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9,157</w:t>
            </w:r>
          </w:p>
        </w:tc>
      </w:tr>
      <w:tr>
        <w:trPr>
          <w:trHeight w:val="191"/>
        </w:trPr>
        <w:tc>
          <w:tcPr>
            <w:tcW w:w="410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109,303</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121,392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218,550</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244,582</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23,589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16,811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53,691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43,783</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Other (expense) income: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Investment and other (expense) income</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535</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(5,891)</w:t>
            </w:r>
          </w:p>
        </w:tc>
      </w:tr>
      <w:tr>
        <w:trPr>
          <w:trHeight w:val="30"/>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20,467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47,659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38,427</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5,177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13,666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11,344</w:t>
            </w:r>
          </w:p>
        </w:tc>
      </w:tr>
      <w:tr>
        <w:trPr>
          <w:trHeight w:val="30"/>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15,290</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11,584</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33,993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27,083</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Loss from discontinued operations, net of income taxes</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(1,915)</w:t>
            </w:r>
          </w:p>
        </w:tc>
      </w:tr>
      <w:tr>
        <w:trPr>
          <w:trHeight w:val="30"/>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61"/>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15,290</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11,584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33,993</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25,168</w:t>
            </w:r>
          </w:p>
        </w:tc>
      </w:tr>
      <w:tr>
        <w:trPr>
          <w:trHeight w:val="177"/>
        </w:trPr>
        <w:tc>
          <w:tcPr>
            <w:tcW w:w="4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 per Class A Nonvoting</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Common Share:</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0.67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0.53</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0.30</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0.67</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0.53</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 per Class B Voting Common</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Share:</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0.65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0.51</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0.30</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0.65</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0.51</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w w:val="97"/>
              </w:rPr>
              <w:t>Loss from discontinued operations per Class A Nonvoting Common</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Share:</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(0.04)</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Loss from discontinued operations per Class B Voting Common</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Share:</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Net earnings per Class A Nonvoting Common Share: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0.67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0.49</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0.30</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0.67</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0.49</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Dividends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0.40</w:t>
            </w:r>
          </w:p>
        </w:tc>
      </w:tr>
      <w:tr>
        <w:trPr>
          <w:trHeight w:val="193"/>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per Class B Voting Common Share:</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0.30</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0.65</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0.48</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0.65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0.47</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Dividends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0.20</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0.39</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0.38</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(in thousands):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50,527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51,272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50,778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51,262</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50,647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51,348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50,868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51,330</w:t>
            </w:r>
          </w:p>
        </w:tc>
      </w:tr>
    </w:tbl>
    <w:p>
      <w:pPr>
        <w:sectPr>
          <w:pgSz w:w="11900" w:h="16838" w:orient="portrait"/>
          <w:cols w:equalWidth="0" w:num="1">
            <w:col w:w="10219"/>
          </w:cols>
          <w:pgMar w:left="240" w:top="537"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January 31, 2016</w:t>
            </w:r>
          </w:p>
        </w:tc>
        <w:tc>
          <w:tcPr>
            <w:tcW w:w="160" w:type="dxa"/>
            <w:vAlign w:val="bottom"/>
          </w:tcPr>
          <w:p>
            <w:pPr>
              <w:spacing w:after="0"/>
              <w:rPr>
                <w:sz w:val="15"/>
                <w:szCs w:val="15"/>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July 31, 2015</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49"/>
        </w:trPr>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64"/>
        </w:trPr>
        <w:tc>
          <w:tcPr>
            <w:tcW w:w="6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7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Current assets: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120,198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114,492</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Accounts receivable—net</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150,615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157,386</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Finished products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62,127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66,700</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5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Work-in-process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15,445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16,958</w:t>
            </w: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Raw materials and supplies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21,681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20,849</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Total inventories</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99,253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104,507</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35,843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32,197</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Total current assets</w:t>
            </w:r>
          </w:p>
        </w:tc>
        <w:tc>
          <w:tcPr>
            <w:tcW w:w="54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405,909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408,582</w:t>
            </w: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 assets: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shd w:val="clear" w:color="auto" w:fill="CCEEFF"/>
              </w:rPr>
              <w:t>Goodwill</w:t>
            </w:r>
          </w:p>
        </w:tc>
        <w:tc>
          <w:tcPr>
            <w:tcW w:w="17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427,460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433,199</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Other intangible assets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63,630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68,888</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27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shd w:val="clear" w:color="auto" w:fill="CCEEFF"/>
              </w:rPr>
              <w:t>Deferred income taxes</w:t>
            </w: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16,333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22,310</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16,497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18,704</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2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shd w:val="clear" w:color="auto" w:fill="CCEEFF"/>
              </w:rPr>
              <w:t>Property, plant and equipment:</w:t>
            </w: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199"/>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Cost: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9"/>
                <w:shd w:val="clear" w:color="auto" w:fill="CCEEFF"/>
              </w:rPr>
              <w:t>Land</w:t>
            </w:r>
          </w:p>
        </w:tc>
        <w:tc>
          <w:tcPr>
            <w:tcW w:w="17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5,012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5,284</w:t>
            </w: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Buildings and improvements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92,672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94,423</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Machinery and equipment</w:t>
            </w: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258,044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270,086</w:t>
            </w: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Construction in progress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2,164</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358,305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371,957</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Less accumulated depreciation</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256,849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260,743</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Property, plant and equipment—net</w:t>
            </w:r>
          </w:p>
        </w:tc>
        <w:tc>
          <w:tcPr>
            <w:tcW w:w="2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101,456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111,214</w:t>
            </w:r>
          </w:p>
        </w:tc>
      </w:tr>
      <w:tr>
        <w:trPr>
          <w:trHeight w:val="191"/>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1,031,285</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1,062,897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5453380" cy="175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3380" cy="175895"/>
                    </a:xfrm>
                    <a:prstGeom prst="rect">
                      <a:avLst/>
                    </a:prstGeom>
                    <a:noFill/>
                  </pic:spPr>
                </pic:pic>
              </a:graphicData>
            </a:graphic>
          </wp:anchor>
        </w:drawing>
      </w:r>
    </w:p>
    <w:p>
      <w:pPr>
        <w:spacing w:after="0" w:line="34" w:lineRule="exact"/>
        <w:rPr>
          <w:sz w:val="20"/>
          <w:szCs w:val="20"/>
          <w:color w:val="auto"/>
        </w:rPr>
      </w:pPr>
    </w:p>
    <w:p>
      <w:pPr>
        <w:ind w:left="1200"/>
        <w:spacing w:after="0"/>
        <w:rPr>
          <w:sz w:val="20"/>
          <w:szCs w:val="20"/>
          <w:color w:val="auto"/>
        </w:rPr>
      </w:pPr>
      <w:r>
        <w:rPr>
          <w:rFonts w:ascii="Arial" w:cs="Arial" w:eastAsia="Arial" w:hAnsi="Arial"/>
          <w:sz w:val="14"/>
          <w:szCs w:val="14"/>
          <w:b w:val="1"/>
          <w:bCs w:val="1"/>
          <w:u w:val="single" w:color="auto"/>
          <w:color w:val="auto"/>
          <w:shd w:val="clear" w:color="auto" w:fill="CCEEFF"/>
        </w:rPr>
        <w:t>LIABILITIES AND STOCKHOLDERS’ INVESTMENT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ectPr>
          <w:pgSz w:w="11900" w:h="16838" w:orient="portrait"/>
          <w:cols w:equalWidth="0" w:num="1">
            <w:col w:w="10219"/>
          </w:cols>
          <w:pgMar w:left="240" w:top="537" w:right="1440" w:bottom="1440" w:gutter="0" w:footer="0" w:header="0"/>
        </w:sectPr>
      </w:pPr>
    </w:p>
    <w:p>
      <w:pPr>
        <w:spacing w:after="0" w:line="84" w:lineRule="exact"/>
        <w:rPr>
          <w:sz w:val="20"/>
          <w:szCs w:val="20"/>
          <w:color w:val="auto"/>
        </w:rPr>
      </w:pPr>
    </w:p>
    <w:p>
      <w:pPr>
        <w:ind w:left="340"/>
        <w:spacing w:after="0"/>
        <w:tabs>
          <w:tab w:leader="none" w:pos="5960" w:val="left"/>
        </w:tabs>
        <w:rPr>
          <w:sz w:val="20"/>
          <w:szCs w:val="20"/>
          <w:color w:val="auto"/>
        </w:rPr>
      </w:pPr>
      <w:r>
        <w:rPr>
          <w:rFonts w:ascii="Arial" w:cs="Arial" w:eastAsia="Arial" w:hAnsi="Arial"/>
          <w:sz w:val="14"/>
          <w:szCs w:val="14"/>
          <w:color w:val="auto"/>
          <w:shd w:val="clear" w:color="auto" w:fill="CCEEFF"/>
        </w:rPr>
        <w:t>Notes payable</w:t>
      </w:r>
      <w:r>
        <w:rPr>
          <w:sz w:val="20"/>
          <w:szCs w:val="20"/>
          <w:color w:val="auto"/>
        </w:rPr>
        <w:tab/>
      </w:r>
      <w:r>
        <w:rPr>
          <w:rFonts w:ascii="Arial" w:cs="Arial" w:eastAsia="Arial" w:hAnsi="Arial"/>
          <w:sz w:val="14"/>
          <w:szCs w:val="14"/>
          <w:color w:val="auto"/>
        </w:rPr>
        <w: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Wages and amounts withheld from employees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Taxes, other than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income taxes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maturities on long-term debt</w:t>
      </w:r>
    </w:p>
    <w:p>
      <w:pPr>
        <w:spacing w:after="0" w:line="7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Long-term obligations, less current maturities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Total liabilities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Stockholders’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Common Stock:</w:t>
      </w:r>
    </w:p>
    <w:p>
      <w:pPr>
        <w:spacing w:after="0" w:line="80" w:lineRule="exact"/>
        <w:rPr>
          <w:sz w:val="20"/>
          <w:szCs w:val="20"/>
          <w:color w:val="auto"/>
        </w:rPr>
      </w:pPr>
    </w:p>
    <w:p>
      <w:pPr>
        <w:ind w:left="620" w:right="180"/>
        <w:spacing w:after="0" w:line="302" w:lineRule="auto"/>
        <w:rPr>
          <w:sz w:val="20"/>
          <w:szCs w:val="20"/>
          <w:color w:val="auto"/>
        </w:rPr>
      </w:pPr>
      <w:r>
        <w:rPr>
          <w:rFonts w:ascii="Arial" w:cs="Arial" w:eastAsia="Arial" w:hAnsi="Arial"/>
          <w:sz w:val="14"/>
          <w:szCs w:val="14"/>
          <w:color w:val="auto"/>
        </w:rPr>
        <w:t>Class A nonvoting common stock—Issued 51,261,487 and 51,261,487 shares, respectively and outstanding 46,705,559 and 47,781,184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5453380" cy="153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ind w:left="620"/>
        <w:spacing w:after="0"/>
        <w:rPr>
          <w:sz w:val="20"/>
          <w:szCs w:val="20"/>
          <w:color w:val="auto"/>
        </w:rPr>
      </w:pPr>
      <w:r>
        <w:rPr>
          <w:rFonts w:ascii="Arial" w:cs="Arial" w:eastAsia="Arial" w:hAnsi="Arial"/>
          <w:sz w:val="14"/>
          <w:szCs w:val="14"/>
          <w:color w:val="auto"/>
          <w:shd w:val="clear" w:color="auto" w:fill="CCEEFF"/>
        </w:rPr>
        <w:t>Class B voting common stock—Issued and outstanding, 3,538,628 shares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Earnings retained in the business</w:t>
      </w:r>
    </w:p>
    <w:p>
      <w:pPr>
        <w:spacing w:after="0" w:line="80" w:lineRule="exact"/>
        <w:rPr>
          <w:sz w:val="20"/>
          <w:szCs w:val="20"/>
          <w:color w:val="auto"/>
        </w:rPr>
      </w:pPr>
    </w:p>
    <w:p>
      <w:pPr>
        <w:ind w:left="340" w:right="320"/>
        <w:spacing w:after="0" w:line="302" w:lineRule="auto"/>
        <w:rPr>
          <w:sz w:val="20"/>
          <w:szCs w:val="20"/>
          <w:color w:val="auto"/>
        </w:rPr>
      </w:pPr>
      <w:r>
        <w:rPr>
          <w:rFonts w:ascii="Arial" w:cs="Arial" w:eastAsia="Arial" w:hAnsi="Arial"/>
          <w:sz w:val="14"/>
          <w:szCs w:val="14"/>
          <w:color w:val="auto"/>
        </w:rPr>
        <w:t>Treasury stock—4,555,928 and 3,480,303 shares, respectively of Class A nonvoting common stock,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5453380" cy="153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color w:val="auto"/>
          <w:shd w:val="clear" w:color="auto" w:fill="CCEEFF"/>
        </w:rPr>
        <w:t>Accumulated other comprehensive loss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5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shd w:val="clear" w:color="auto" w:fill="CCEEFF"/>
        </w:rPr>
        <w:t>Total stockholders’ investment</w:t>
      </w:r>
    </w:p>
    <w:p>
      <w:pPr>
        <w:spacing w:after="0" w:line="80" w:lineRule="exact"/>
        <w:rPr>
          <w:sz w:val="20"/>
          <w:szCs w:val="20"/>
          <w:color w:val="auto"/>
        </w:rPr>
      </w:pPr>
    </w:p>
    <w:p>
      <w:pPr>
        <w:ind w:left="20"/>
        <w:spacing w:after="0"/>
        <w:tabs>
          <w:tab w:leader="none" w:pos="596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183"/>
        </w:trPr>
        <w:tc>
          <w:tcPr>
            <w:tcW w:w="480" w:type="dxa"/>
            <w:vAlign w:val="bottom"/>
          </w:tcPr>
          <w:p>
            <w:pPr>
              <w:jc w:val="right"/>
              <w:ind w:right="28"/>
              <w:spacing w:after="0"/>
              <w:rPr>
                <w:sz w:val="20"/>
                <w:szCs w:val="20"/>
                <w:color w:val="auto"/>
              </w:rPr>
            </w:pPr>
            <w:r>
              <w:rPr>
                <w:rFonts w:ascii="Arial" w:cs="Arial" w:eastAsia="Arial" w:hAnsi="Arial"/>
                <w:sz w:val="14"/>
                <w:szCs w:val="14"/>
                <w:color w:val="auto"/>
              </w:rPr>
              <w:t>4,974</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10,411</w:t>
            </w:r>
          </w:p>
        </w:tc>
      </w:tr>
      <w:tr>
        <w:trPr>
          <w:trHeight w:val="241"/>
        </w:trPr>
        <w:tc>
          <w:tcPr>
            <w:tcW w:w="480" w:type="dxa"/>
            <w:vAlign w:val="bottom"/>
          </w:tcPr>
          <w:p>
            <w:pPr>
              <w:jc w:val="right"/>
              <w:ind w:right="28"/>
              <w:spacing w:after="0"/>
              <w:rPr>
                <w:sz w:val="20"/>
                <w:szCs w:val="20"/>
                <w:color w:val="auto"/>
              </w:rPr>
            </w:pPr>
            <w:r>
              <w:rPr>
                <w:rFonts w:ascii="Arial" w:cs="Arial" w:eastAsia="Arial" w:hAnsi="Arial"/>
                <w:sz w:val="14"/>
                <w:szCs w:val="14"/>
                <w:color w:val="auto"/>
                <w:w w:val="83"/>
              </w:rPr>
              <w:t>66,189</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73,020</w:t>
            </w:r>
          </w:p>
        </w:tc>
      </w:tr>
      <w:tr>
        <w:trPr>
          <w:trHeight w:val="241"/>
        </w:trPr>
        <w:tc>
          <w:tcPr>
            <w:tcW w:w="480" w:type="dxa"/>
            <w:vAlign w:val="bottom"/>
          </w:tcPr>
          <w:p>
            <w:pPr>
              <w:jc w:val="right"/>
              <w:ind w:right="28"/>
              <w:spacing w:after="0"/>
              <w:rPr>
                <w:sz w:val="20"/>
                <w:szCs w:val="20"/>
                <w:color w:val="auto"/>
              </w:rPr>
            </w:pPr>
            <w:r>
              <w:rPr>
                <w:rFonts w:ascii="Arial" w:cs="Arial" w:eastAsia="Arial" w:hAnsi="Arial"/>
                <w:sz w:val="14"/>
                <w:szCs w:val="14"/>
                <w:color w:val="auto"/>
                <w:w w:val="83"/>
              </w:rPr>
              <w:t>33,767</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30,282</w:t>
            </w:r>
          </w:p>
        </w:tc>
      </w:tr>
      <w:tr>
        <w:trPr>
          <w:trHeight w:val="241"/>
        </w:trPr>
        <w:tc>
          <w:tcPr>
            <w:tcW w:w="480" w:type="dxa"/>
            <w:vAlign w:val="bottom"/>
          </w:tcPr>
          <w:p>
            <w:pPr>
              <w:jc w:val="right"/>
              <w:ind w:right="28"/>
              <w:spacing w:after="0"/>
              <w:rPr>
                <w:sz w:val="20"/>
                <w:szCs w:val="20"/>
                <w:color w:val="auto"/>
              </w:rPr>
            </w:pPr>
            <w:r>
              <w:rPr>
                <w:rFonts w:ascii="Arial" w:cs="Arial" w:eastAsia="Arial" w:hAnsi="Arial"/>
                <w:sz w:val="14"/>
                <w:szCs w:val="14"/>
                <w:color w:val="auto"/>
              </w:rPr>
              <w:t>6,682</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7,250</w:t>
            </w:r>
          </w:p>
        </w:tc>
      </w:tr>
      <w:tr>
        <w:trPr>
          <w:trHeight w:val="241"/>
        </w:trPr>
        <w:tc>
          <w:tcPr>
            <w:tcW w:w="480" w:type="dxa"/>
            <w:vAlign w:val="bottom"/>
          </w:tcPr>
          <w:p>
            <w:pPr>
              <w:jc w:val="right"/>
              <w:ind w:right="28"/>
              <w:spacing w:after="0"/>
              <w:rPr>
                <w:sz w:val="20"/>
                <w:szCs w:val="20"/>
                <w:color w:val="auto"/>
              </w:rPr>
            </w:pPr>
            <w:r>
              <w:rPr>
                <w:rFonts w:ascii="Arial" w:cs="Arial" w:eastAsia="Arial" w:hAnsi="Arial"/>
                <w:sz w:val="14"/>
                <w:szCs w:val="14"/>
                <w:color w:val="auto"/>
              </w:rPr>
              <w:t>5,091</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7,576</w:t>
            </w:r>
          </w:p>
        </w:tc>
      </w:tr>
      <w:tr>
        <w:trPr>
          <w:trHeight w:val="241"/>
        </w:trPr>
        <w:tc>
          <w:tcPr>
            <w:tcW w:w="480" w:type="dxa"/>
            <w:vAlign w:val="bottom"/>
          </w:tcPr>
          <w:p>
            <w:pPr>
              <w:jc w:val="right"/>
              <w:ind w:right="28"/>
              <w:spacing w:after="0"/>
              <w:rPr>
                <w:sz w:val="20"/>
                <w:szCs w:val="20"/>
                <w:color w:val="auto"/>
              </w:rPr>
            </w:pPr>
            <w:r>
              <w:rPr>
                <w:rFonts w:ascii="Arial" w:cs="Arial" w:eastAsia="Arial" w:hAnsi="Arial"/>
                <w:sz w:val="14"/>
                <w:szCs w:val="14"/>
                <w:color w:val="auto"/>
                <w:w w:val="83"/>
              </w:rPr>
              <w:t>40,429</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38,194</w:t>
            </w:r>
          </w:p>
        </w:tc>
      </w:tr>
    </w:tbl>
    <w:p>
      <w:pPr>
        <w:spacing w:after="0" w:line="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42,514</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157,132</w:t>
      </w:r>
      <w:r>
        <w:rPr>
          <w:rFonts w:ascii="Arial" w:cs="Arial" w:eastAsia="Arial" w:hAnsi="Arial"/>
          <w:sz w:val="13"/>
          <w:szCs w:val="13"/>
          <w:color w:val="auto"/>
        </w:rPr>
        <w:t>209,247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-119380</wp:posOffset>
            </wp:positionV>
            <wp:extent cx="167005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70050" cy="7620"/>
                    </a:xfrm>
                    <a:prstGeom prst="rect">
                      <a:avLst/>
                    </a:prstGeom>
                    <a:noFill/>
                  </pic:spPr>
                </pic:pic>
              </a:graphicData>
            </a:graphic>
          </wp:anchor>
        </w:drawing>
      </w:r>
    </w:p>
    <w:p>
      <w:pPr>
        <w:spacing w:after="0" w:line="60"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640" w:type="dxa"/>
            <w:vAlign w:val="bottom"/>
          </w:tcPr>
          <w:p>
            <w:pPr>
              <w:jc w:val="right"/>
              <w:ind w:right="108"/>
              <w:spacing w:after="0"/>
              <w:rPr>
                <w:sz w:val="20"/>
                <w:szCs w:val="20"/>
                <w:color w:val="auto"/>
              </w:rPr>
            </w:pPr>
            <w:r>
              <w:rPr>
                <w:rFonts w:ascii="Arial" w:cs="Arial" w:eastAsia="Arial" w:hAnsi="Arial"/>
                <w:sz w:val="14"/>
                <w:szCs w:val="14"/>
                <w:color w:val="auto"/>
                <w:w w:val="86"/>
              </w:rPr>
              <w:t>247,689</w:t>
            </w:r>
          </w:p>
        </w:tc>
        <w:tc>
          <w:tcPr>
            <w:tcW w:w="1260" w:type="dxa"/>
            <w:vAlign w:val="bottom"/>
          </w:tcPr>
          <w:p>
            <w:pPr>
              <w:jc w:val="right"/>
              <w:spacing w:after="0"/>
              <w:rPr>
                <w:sz w:val="20"/>
                <w:szCs w:val="20"/>
                <w:color w:val="auto"/>
              </w:rPr>
            </w:pPr>
            <w:r>
              <w:rPr>
                <w:rFonts w:ascii="Arial" w:cs="Arial" w:eastAsia="Arial" w:hAnsi="Arial"/>
                <w:sz w:val="14"/>
                <w:szCs w:val="14"/>
                <w:color w:val="auto"/>
              </w:rPr>
              <w:t>200,774</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63,976</w:t>
            </w:r>
          </w:p>
        </w:tc>
        <w:tc>
          <w:tcPr>
            <w:tcW w:w="1260" w:type="dxa"/>
            <w:vAlign w:val="bottom"/>
          </w:tcPr>
          <w:p>
            <w:pPr>
              <w:jc w:val="right"/>
              <w:spacing w:after="0"/>
              <w:rPr>
                <w:sz w:val="20"/>
                <w:szCs w:val="20"/>
                <w:color w:val="auto"/>
              </w:rPr>
            </w:pPr>
            <w:r>
              <w:rPr>
                <w:rFonts w:ascii="Arial" w:cs="Arial" w:eastAsia="Arial" w:hAnsi="Arial"/>
                <w:sz w:val="14"/>
                <w:szCs w:val="14"/>
                <w:color w:val="auto"/>
              </w:rPr>
              <w:t>65,188</w:t>
            </w:r>
          </w:p>
        </w:tc>
      </w:tr>
      <w:tr>
        <w:trPr>
          <w:trHeight w:val="30"/>
        </w:trPr>
        <w:tc>
          <w:tcPr>
            <w:tcW w:w="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640" w:type="dxa"/>
            <w:vAlign w:val="bottom"/>
          </w:tcPr>
          <w:p>
            <w:pPr>
              <w:jc w:val="right"/>
              <w:ind w:right="108"/>
              <w:spacing w:after="0"/>
              <w:rPr>
                <w:sz w:val="20"/>
                <w:szCs w:val="20"/>
                <w:color w:val="auto"/>
              </w:rPr>
            </w:pPr>
            <w:r>
              <w:rPr>
                <w:rFonts w:ascii="Arial" w:cs="Arial" w:eastAsia="Arial" w:hAnsi="Arial"/>
                <w:sz w:val="14"/>
                <w:szCs w:val="14"/>
                <w:color w:val="auto"/>
                <w:w w:val="86"/>
              </w:rPr>
              <w:t>468,797</w:t>
            </w:r>
          </w:p>
        </w:tc>
        <w:tc>
          <w:tcPr>
            <w:tcW w:w="1260" w:type="dxa"/>
            <w:vAlign w:val="bottom"/>
          </w:tcPr>
          <w:p>
            <w:pPr>
              <w:jc w:val="right"/>
              <w:spacing w:after="0"/>
              <w:rPr>
                <w:sz w:val="20"/>
                <w:szCs w:val="20"/>
                <w:color w:val="auto"/>
              </w:rPr>
            </w:pPr>
            <w:r>
              <w:rPr>
                <w:rFonts w:ascii="Arial" w:cs="Arial" w:eastAsia="Arial" w:hAnsi="Arial"/>
                <w:sz w:val="14"/>
                <w:szCs w:val="14"/>
                <w:color w:val="auto"/>
              </w:rPr>
              <w:t>475,209</w:t>
            </w:r>
          </w:p>
        </w:tc>
      </w:tr>
      <w:tr>
        <w:trPr>
          <w:trHeight w:val="893"/>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513</w:t>
            </w:r>
          </w:p>
        </w:tc>
        <w:tc>
          <w:tcPr>
            <w:tcW w:w="1260" w:type="dxa"/>
            <w:vAlign w:val="bottom"/>
          </w:tcPr>
          <w:p>
            <w:pPr>
              <w:jc w:val="right"/>
              <w:spacing w:after="0"/>
              <w:rPr>
                <w:sz w:val="20"/>
                <w:szCs w:val="20"/>
                <w:color w:val="auto"/>
              </w:rPr>
            </w:pPr>
            <w:r>
              <w:rPr>
                <w:rFonts w:ascii="Arial" w:cs="Arial" w:eastAsia="Arial" w:hAnsi="Arial"/>
                <w:sz w:val="14"/>
                <w:szCs w:val="14"/>
                <w:color w:val="auto"/>
              </w:rPr>
              <w:t>513</w:t>
            </w:r>
          </w:p>
        </w:tc>
      </w:tr>
    </w:tbl>
    <w:p>
      <w:pPr>
        <w:spacing w:after="0" w:line="58" w:lineRule="exact"/>
        <w:rPr>
          <w:sz w:val="20"/>
          <w:szCs w:val="20"/>
          <w:color w:val="auto"/>
        </w:rPr>
      </w:pPr>
    </w:p>
    <w:p>
      <w:pPr>
        <w:ind w:left="1780" w:hanging="1355"/>
        <w:spacing w:after="0"/>
        <w:tabs>
          <w:tab w:leader="none" w:pos="1780" w:val="left"/>
        </w:tabs>
        <w:numPr>
          <w:ilvl w:val="0"/>
          <w:numId w:val="4"/>
        </w:numPr>
        <w:rPr>
          <w:rFonts w:ascii="Arial" w:cs="Arial" w:eastAsia="Arial" w:hAnsi="Arial"/>
          <w:sz w:val="14"/>
          <w:szCs w:val="14"/>
          <w:color w:val="auto"/>
        </w:rPr>
      </w:pPr>
      <w:r>
        <w:rPr>
          <w:rFonts w:ascii="Arial" w:cs="Arial" w:eastAsia="Arial" w:hAnsi="Arial"/>
          <w:sz w:val="14"/>
          <w:szCs w:val="14"/>
          <w:color w:val="auto"/>
        </w:rPr>
        <w:t>35</w:t>
      </w:r>
    </w:p>
    <w:p>
      <w:pPr>
        <w:spacing w:after="0" w:line="80" w:lineRule="exact"/>
        <w:rPr>
          <w:rFonts w:ascii="Arial" w:cs="Arial" w:eastAsia="Arial" w:hAnsi="Arial"/>
          <w:sz w:val="14"/>
          <w:szCs w:val="14"/>
          <w:color w:val="auto"/>
        </w:rPr>
      </w:pPr>
    </w:p>
    <w:p>
      <w:pPr>
        <w:ind w:left="100"/>
        <w:spacing w:after="0"/>
        <w:rPr>
          <w:rFonts w:ascii="Arial" w:cs="Arial" w:eastAsia="Arial" w:hAnsi="Arial"/>
          <w:sz w:val="14"/>
          <w:szCs w:val="14"/>
          <w:color w:val="auto"/>
        </w:rPr>
      </w:pPr>
      <w:r>
        <w:rPr>
          <w:rFonts w:ascii="Arial" w:cs="Arial" w:eastAsia="Arial" w:hAnsi="Arial"/>
          <w:sz w:val="14"/>
          <w:szCs w:val="14"/>
          <w:color w:val="auto"/>
        </w:rPr>
        <w:t>314,905</w:t>
      </w:r>
      <w:r>
        <w:rPr>
          <w:rFonts w:ascii="Arial" w:cs="Arial" w:eastAsia="Arial" w:hAnsi="Arial"/>
          <w:sz w:val="13"/>
          <w:szCs w:val="13"/>
          <w:color w:val="auto"/>
        </w:rPr>
        <w:t>314,403</w:t>
      </w:r>
    </w:p>
    <w:p>
      <w:pPr>
        <w:spacing w:after="0" w:line="80" w:lineRule="exact"/>
        <w:rPr>
          <w:rFonts w:ascii="Arial" w:cs="Arial" w:eastAsia="Arial" w:hAnsi="Arial"/>
          <w:sz w:val="14"/>
          <w:szCs w:val="14"/>
          <w:color w:val="auto"/>
        </w:rPr>
      </w:pPr>
    </w:p>
    <w:p>
      <w:pPr>
        <w:ind w:left="100"/>
        <w:spacing w:after="0"/>
        <w:rPr>
          <w:rFonts w:ascii="Arial" w:cs="Arial" w:eastAsia="Arial" w:hAnsi="Arial"/>
          <w:sz w:val="14"/>
          <w:szCs w:val="14"/>
          <w:color w:val="auto"/>
        </w:rPr>
      </w:pPr>
      <w:r>
        <w:rPr>
          <w:rFonts w:ascii="Arial" w:cs="Arial" w:eastAsia="Arial" w:hAnsi="Arial"/>
          <w:sz w:val="14"/>
          <w:szCs w:val="14"/>
          <w:color w:val="auto"/>
        </w:rPr>
        <w:t>427,637</w:t>
      </w:r>
      <w:r>
        <w:rPr>
          <w:rFonts w:ascii="Arial" w:cs="Arial" w:eastAsia="Arial" w:hAnsi="Arial"/>
          <w:sz w:val="13"/>
          <w:szCs w:val="13"/>
          <w:color w:val="auto"/>
        </w:rPr>
        <w:t>414,069</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(114,547)</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(93,234)</w:t>
            </w:r>
          </w:p>
        </w:tc>
      </w:tr>
      <w:tr>
        <w:trPr>
          <w:trHeight w:val="241"/>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(62,355)</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(45,034)</w:t>
            </w:r>
          </w:p>
        </w:tc>
      </w:tr>
      <w:tr>
        <w:trPr>
          <w:trHeight w:val="241"/>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(3,700)</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(3,064)</w:t>
            </w:r>
          </w:p>
        </w:tc>
      </w:tr>
      <w:tr>
        <w:trPr>
          <w:trHeight w:val="30"/>
        </w:trPr>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1"/>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562,488</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587,688</w:t>
            </w:r>
          </w:p>
        </w:tc>
      </w:tr>
      <w:tr>
        <w:trPr>
          <w:trHeight w:val="30"/>
        </w:trPr>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1"/>
        </w:trPr>
        <w:tc>
          <w:tcPr>
            <w:tcW w:w="740" w:type="dxa"/>
            <w:vAlign w:val="bottom"/>
          </w:tcPr>
          <w:p>
            <w:pPr>
              <w:jc w:val="right"/>
              <w:ind w:right="108"/>
              <w:spacing w:after="0"/>
              <w:rPr>
                <w:sz w:val="20"/>
                <w:szCs w:val="20"/>
                <w:color w:val="auto"/>
              </w:rPr>
            </w:pPr>
            <w:r>
              <w:rPr>
                <w:rFonts w:ascii="Arial" w:cs="Arial" w:eastAsia="Arial" w:hAnsi="Arial"/>
                <w:sz w:val="14"/>
                <w:szCs w:val="14"/>
                <w:color w:val="auto"/>
                <w:w w:val="86"/>
              </w:rPr>
              <w:t>1,031,285</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1,062,897</w:t>
            </w:r>
          </w:p>
        </w:tc>
      </w:tr>
      <w:tr>
        <w:trPr>
          <w:trHeight w:val="30"/>
        </w:trPr>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-22225</wp:posOffset>
            </wp:positionV>
            <wp:extent cx="80454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04545" cy="762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-6985</wp:posOffset>
            </wp:positionV>
            <wp:extent cx="80454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04545" cy="762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-175260</wp:posOffset>
            </wp:positionV>
            <wp:extent cx="80454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4545" cy="7620"/>
                    </a:xfrm>
                    <a:prstGeom prst="rect">
                      <a:avLst/>
                    </a:prstGeom>
                    <a:noFill/>
                  </pic:spPr>
                </pic:pic>
              </a:graphicData>
            </a:graphic>
          </wp:anchor>
        </w:drawing>
      </w:r>
    </w:p>
    <w:p>
      <w:pPr>
        <w:sectPr>
          <w:pgSz w:w="11900" w:h="16838" w:orient="portrait"/>
          <w:cols w:equalWidth="0" w:num="2">
            <w:col w:w="6060" w:space="520"/>
            <w:col w:w="3639"/>
          </w:cols>
          <w:pgMar w:left="240" w:top="537"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4"/>
          </w:tcPr>
          <w:p>
            <w:pPr>
              <w:jc w:val="right"/>
              <w:ind w:right="168"/>
              <w:spacing w:after="0"/>
              <w:rPr>
                <w:sz w:val="20"/>
                <w:szCs w:val="20"/>
                <w:color w:val="auto"/>
              </w:rPr>
            </w:pPr>
            <w:r>
              <w:rPr>
                <w:rFonts w:ascii="Arial" w:cs="Arial" w:eastAsia="Arial" w:hAnsi="Arial"/>
                <w:sz w:val="14"/>
                <w:szCs w:val="14"/>
                <w:color w:val="auto"/>
                <w:w w:val="95"/>
              </w:rPr>
              <w:t>Six months ended January 31,</w:t>
            </w:r>
          </w:p>
        </w:tc>
      </w:tr>
      <w:tr>
        <w:trPr>
          <w:trHeight w:val="30"/>
        </w:trPr>
        <w:tc>
          <w:tcPr>
            <w:tcW w:w="6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6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2015</w:t>
            </w:r>
          </w:p>
        </w:tc>
      </w:tr>
      <w:tr>
        <w:trPr>
          <w:trHeight w:val="30"/>
        </w:trPr>
        <w:tc>
          <w:tcPr>
            <w:tcW w:w="62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11"/>
        </w:trPr>
        <w:tc>
          <w:tcPr>
            <w:tcW w:w="6440" w:type="dxa"/>
            <w:vAlign w:val="bottom"/>
            <w:gridSpan w:val="2"/>
          </w:tcPr>
          <w:p>
            <w:pPr>
              <w:ind w:left="340"/>
              <w:spacing w:after="0"/>
              <w:rPr>
                <w:sz w:val="20"/>
                <w:szCs w:val="20"/>
                <w:color w:val="auto"/>
              </w:rPr>
            </w:pPr>
            <w:r>
              <w:rPr>
                <w:rFonts w:ascii="Arial" w:cs="Arial" w:eastAsia="Arial" w:hAnsi="Arial"/>
                <w:sz w:val="14"/>
                <w:szCs w:val="14"/>
                <w:color w:val="auto"/>
              </w:rPr>
              <w:t>Net earnings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33,993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25,168</w:t>
            </w:r>
          </w:p>
        </w:tc>
      </w:tr>
      <w:tr>
        <w:trPr>
          <w:trHeight w:val="30"/>
        </w:trPr>
        <w:tc>
          <w:tcPr>
            <w:tcW w:w="6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17,502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20,066</w:t>
            </w:r>
          </w:p>
        </w:tc>
      </w:tr>
      <w:tr>
        <w:trPr>
          <w:trHeight w:val="30"/>
        </w:trPr>
        <w:tc>
          <w:tcPr>
            <w:tcW w:w="6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Non-cash portion of stock-based compensation expense</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4,569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2,471</w:t>
            </w:r>
          </w:p>
        </w:tc>
      </w:tr>
      <w:tr>
        <w:trPr>
          <w:trHeight w:val="211"/>
        </w:trPr>
        <w:tc>
          <w:tcPr>
            <w:tcW w:w="6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Non-cash portion of restructuring charges</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896</w:t>
            </w:r>
          </w:p>
        </w:tc>
      </w:tr>
      <w:tr>
        <w:trPr>
          <w:trHeight w:val="30"/>
        </w:trPr>
        <w:tc>
          <w:tcPr>
            <w:tcW w:w="6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Loss on sale of business, net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r>
      <w:tr>
        <w:trPr>
          <w:trHeight w:val="211"/>
        </w:trPr>
        <w:tc>
          <w:tcPr>
            <w:tcW w:w="6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(781)</w:t>
            </w:r>
          </w:p>
        </w:tc>
      </w:tr>
      <w:tr>
        <w:trPr>
          <w:trHeight w:val="30"/>
        </w:trPr>
        <w:tc>
          <w:tcPr>
            <w:tcW w:w="6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9"/>
              </w:rPr>
              <w:t>Changes in operating assets and liabilities (net of effects of business acquisitions/divestitures):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20" w:type="dxa"/>
            <w:vAlign w:val="bottom"/>
          </w:tcPr>
          <w:p>
            <w:pPr>
              <w:spacing w:after="0"/>
              <w:rPr>
                <w:sz w:val="18"/>
                <w:szCs w:val="18"/>
                <w:color w:val="auto"/>
              </w:rPr>
            </w:pPr>
          </w:p>
        </w:tc>
        <w:tc>
          <w:tcPr>
            <w:tcW w:w="582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10,918</w:t>
            </w:r>
          </w:p>
        </w:tc>
      </w:tr>
      <w:tr>
        <w:trPr>
          <w:trHeight w:val="30"/>
        </w:trPr>
        <w:tc>
          <w:tcPr>
            <w:tcW w:w="6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3,403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(10,840)</w:t>
            </w:r>
          </w:p>
        </w:tc>
      </w:tr>
      <w:tr>
        <w:trPr>
          <w:trHeight w:val="211"/>
        </w:trPr>
        <w:tc>
          <w:tcPr>
            <w:tcW w:w="620" w:type="dxa"/>
            <w:vAlign w:val="bottom"/>
          </w:tcPr>
          <w:p>
            <w:pPr>
              <w:spacing w:after="0"/>
              <w:rPr>
                <w:sz w:val="18"/>
                <w:szCs w:val="18"/>
                <w:color w:val="auto"/>
              </w:rPr>
            </w:pPr>
          </w:p>
        </w:tc>
        <w:tc>
          <w:tcPr>
            <w:tcW w:w="5820" w:type="dxa"/>
            <w:vAlign w:val="bottom"/>
          </w:tcPr>
          <w:p>
            <w:pPr>
              <w:ind w:left="38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(3,053)</w:t>
            </w:r>
          </w:p>
        </w:tc>
      </w:tr>
      <w:tr>
        <w:trPr>
          <w:trHeight w:val="30"/>
        </w:trPr>
        <w:tc>
          <w:tcPr>
            <w:tcW w:w="6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Accounts payable and accrued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(15,423)</w:t>
            </w:r>
          </w:p>
        </w:tc>
      </w:tr>
      <w:tr>
        <w:trPr>
          <w:trHeight w:val="211"/>
        </w:trPr>
        <w:tc>
          <w:tcPr>
            <w:tcW w:w="620" w:type="dxa"/>
            <w:vAlign w:val="bottom"/>
          </w:tcPr>
          <w:p>
            <w:pPr>
              <w:spacing w:after="0"/>
              <w:rPr>
                <w:sz w:val="18"/>
                <w:szCs w:val="18"/>
                <w:color w:val="auto"/>
              </w:rPr>
            </w:pPr>
          </w:p>
        </w:tc>
        <w:tc>
          <w:tcPr>
            <w:tcW w:w="5820" w:type="dxa"/>
            <w:vAlign w:val="bottom"/>
          </w:tcPr>
          <w:p>
            <w:pPr>
              <w:ind w:left="38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(5,918)</w:t>
            </w:r>
          </w:p>
        </w:tc>
      </w:tr>
      <w:tr>
        <w:trPr>
          <w:trHeight w:val="30"/>
        </w:trPr>
        <w:tc>
          <w:tcPr>
            <w:tcW w:w="62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58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58,254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23,930</w:t>
            </w:r>
          </w:p>
        </w:tc>
      </w:tr>
      <w:tr>
        <w:trPr>
          <w:trHeight w:val="253"/>
        </w:trPr>
        <w:tc>
          <w:tcPr>
            <w:tcW w:w="62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Purchases of property, plant and equipment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(17,808)</w:t>
            </w:r>
          </w:p>
        </w:tc>
      </w:tr>
      <w:tr>
        <w:trPr>
          <w:trHeight w:val="30"/>
        </w:trPr>
        <w:tc>
          <w:tcPr>
            <w:tcW w:w="6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Sale of business, net of cash retained</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6,111</w:t>
            </w:r>
          </w:p>
        </w:tc>
      </w:tr>
      <w:tr>
        <w:trPr>
          <w:trHeight w:val="211"/>
        </w:trPr>
        <w:tc>
          <w:tcPr>
            <w:tcW w:w="6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4,173</w:t>
            </w:r>
          </w:p>
        </w:tc>
      </w:tr>
      <w:tr>
        <w:trPr>
          <w:trHeight w:val="30"/>
        </w:trPr>
        <w:tc>
          <w:tcPr>
            <w:tcW w:w="62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58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(7,524)</w:t>
            </w:r>
          </w:p>
        </w:tc>
      </w:tr>
      <w:tr>
        <w:trPr>
          <w:trHeight w:val="253"/>
        </w:trPr>
        <w:tc>
          <w:tcPr>
            <w:tcW w:w="62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Payment of dividends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(20,425)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(20,449)</w:t>
            </w:r>
          </w:p>
        </w:tc>
      </w:tr>
      <w:tr>
        <w:trPr>
          <w:trHeight w:val="30"/>
        </w:trPr>
        <w:tc>
          <w:tcPr>
            <w:tcW w:w="6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Proceeds from issuance of common stock</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847</w:t>
            </w:r>
          </w:p>
        </w:tc>
      </w:tr>
      <w:tr>
        <w:trPr>
          <w:trHeight w:val="211"/>
        </w:trPr>
        <w:tc>
          <w:tcPr>
            <w:tcW w:w="6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Purchase of treasury stock</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(23,397)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Net (repayments) proceeds from borrowing on credit facilities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29,428</w:t>
            </w:r>
          </w:p>
        </w:tc>
      </w:tr>
      <w:tr>
        <w:trPr>
          <w:trHeight w:val="199"/>
        </w:trPr>
        <w:tc>
          <w:tcPr>
            <w:tcW w:w="6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Debt issuance costs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620" w:type="dxa"/>
            <w:vAlign w:val="bottom"/>
            <w:tcBorders>
              <w:bottom w:val="single" w:sz="8" w:color="CCEEFF"/>
            </w:tcBorders>
            <w:shd w:val="clear" w:color="auto" w:fill="CCEEFF"/>
          </w:tcPr>
          <w:p>
            <w:pPr>
              <w:spacing w:after="0"/>
              <w:rPr>
                <w:sz w:val="20"/>
                <w:szCs w:val="20"/>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Income tax on equity-based compensation, and other</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(3,830)</w:t>
            </w:r>
          </w:p>
        </w:tc>
      </w:tr>
      <w:tr>
        <w:trPr>
          <w:trHeight w:val="191"/>
        </w:trPr>
        <w:tc>
          <w:tcPr>
            <w:tcW w:w="620" w:type="dxa"/>
            <w:vAlign w:val="bottom"/>
          </w:tcPr>
          <w:p>
            <w:pPr>
              <w:spacing w:after="0"/>
              <w:rPr>
                <w:sz w:val="16"/>
                <w:szCs w:val="16"/>
                <w:color w:val="auto"/>
              </w:rPr>
            </w:pPr>
          </w:p>
        </w:tc>
        <w:tc>
          <w:tcPr>
            <w:tcW w:w="5820" w:type="dxa"/>
            <w:vAlign w:val="bottom"/>
          </w:tcPr>
          <w:p>
            <w:pPr>
              <w:ind w:left="780"/>
              <w:spacing w:after="0"/>
              <w:rPr>
                <w:sz w:val="20"/>
                <w:szCs w:val="20"/>
                <w:color w:val="auto"/>
              </w:rPr>
            </w:pPr>
            <w:r>
              <w:rPr>
                <w:rFonts w:ascii="Arial" w:cs="Arial" w:eastAsia="Arial" w:hAnsi="Arial"/>
                <w:sz w:val="14"/>
                <w:szCs w:val="14"/>
                <w:color w:val="auto"/>
              </w:rPr>
              <w:t>Net cash (used in) provided by financing activities</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(46,308)</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5,996</w:t>
            </w:r>
          </w:p>
        </w:tc>
      </w:tr>
      <w:tr>
        <w:trPr>
          <w:trHeight w:val="30"/>
        </w:trPr>
        <w:tc>
          <w:tcPr>
            <w:tcW w:w="6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620" w:type="dxa"/>
            <w:vAlign w:val="bottom"/>
            <w:shd w:val="clear" w:color="auto" w:fill="CCEEFF"/>
          </w:tcPr>
          <w:p>
            <w:pPr>
              <w:spacing w:after="0"/>
              <w:rPr>
                <w:sz w:val="22"/>
                <w:szCs w:val="22"/>
                <w:color w:val="auto"/>
              </w:rPr>
            </w:pPr>
          </w:p>
        </w:tc>
        <w:tc>
          <w:tcPr>
            <w:tcW w:w="5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11"/>
        </w:trPr>
        <w:tc>
          <w:tcPr>
            <w:tcW w:w="6440" w:type="dxa"/>
            <w:vAlign w:val="bottom"/>
            <w:gridSpan w:val="2"/>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(10,937)</w:t>
            </w:r>
          </w:p>
        </w:tc>
      </w:tr>
      <w:tr>
        <w:trPr>
          <w:trHeight w:val="30"/>
        </w:trPr>
        <w:tc>
          <w:tcPr>
            <w:tcW w:w="6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620" w:type="dxa"/>
            <w:vAlign w:val="bottom"/>
            <w:shd w:val="clear" w:color="auto" w:fill="CCEEFF"/>
          </w:tcPr>
          <w:p>
            <w:pPr>
              <w:spacing w:after="0"/>
              <w:rPr>
                <w:sz w:val="22"/>
                <w:szCs w:val="22"/>
                <w:color w:val="auto"/>
              </w:rPr>
            </w:pPr>
          </w:p>
        </w:tc>
        <w:tc>
          <w:tcPr>
            <w:tcW w:w="5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11"/>
        </w:trPr>
        <w:tc>
          <w:tcPr>
            <w:tcW w:w="6440" w:type="dxa"/>
            <w:vAlign w:val="bottom"/>
            <w:gridSpan w:val="2"/>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5,706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11,465</w:t>
            </w:r>
          </w:p>
        </w:tc>
      </w:tr>
      <w:tr>
        <w:trPr>
          <w:trHeight w:val="30"/>
        </w:trPr>
        <w:tc>
          <w:tcPr>
            <w:tcW w:w="6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Cash and cash equivalents, beginning of period</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114,492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81,834</w:t>
            </w:r>
          </w:p>
        </w:tc>
      </w:tr>
      <w:tr>
        <w:trPr>
          <w:trHeight w:val="245"/>
        </w:trPr>
        <w:tc>
          <w:tcPr>
            <w:tcW w:w="6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34"/>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Cash and cash equivalents, end of period</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120,198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93,299</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5"/>
          </w:tcPr>
          <w:p>
            <w:pPr>
              <w:ind w:left="80"/>
              <w:spacing w:after="0"/>
              <w:rPr>
                <w:sz w:val="20"/>
                <w:szCs w:val="20"/>
                <w:color w:val="auto"/>
              </w:rPr>
            </w:pPr>
            <w:r>
              <w:rPr>
                <w:rFonts w:ascii="Arial" w:cs="Arial" w:eastAsia="Arial" w:hAnsi="Arial"/>
                <w:sz w:val="14"/>
                <w:szCs w:val="14"/>
                <w:color w:val="auto"/>
              </w:rPr>
              <w:t>Three months ended January 31,</w:t>
            </w:r>
          </w:p>
        </w:tc>
        <w:tc>
          <w:tcPr>
            <w:tcW w:w="220" w:type="dxa"/>
            <w:vAlign w:val="bottom"/>
          </w:tcPr>
          <w:p>
            <w:pPr>
              <w:spacing w:after="0"/>
              <w:rPr>
                <w:sz w:val="15"/>
                <w:szCs w:val="15"/>
                <w:color w:val="auto"/>
              </w:rPr>
            </w:pPr>
          </w:p>
        </w:tc>
        <w:tc>
          <w:tcPr>
            <w:tcW w:w="2180" w:type="dxa"/>
            <w:vAlign w:val="bottom"/>
            <w:gridSpan w:val="4"/>
          </w:tcPr>
          <w:p>
            <w:pPr>
              <w:jc w:val="right"/>
              <w:ind w:right="248"/>
              <w:spacing w:after="0"/>
              <w:rPr>
                <w:sz w:val="20"/>
                <w:szCs w:val="20"/>
                <w:color w:val="auto"/>
              </w:rPr>
            </w:pPr>
            <w:r>
              <w:rPr>
                <w:rFonts w:ascii="Arial" w:cs="Arial" w:eastAsia="Arial" w:hAnsi="Arial"/>
                <w:sz w:val="14"/>
                <w:szCs w:val="14"/>
                <w:color w:val="auto"/>
                <w:w w:val="97"/>
              </w:rPr>
              <w:t>Six months ended January 31,</w:t>
            </w:r>
          </w:p>
        </w:tc>
      </w:tr>
      <w:tr>
        <w:trPr>
          <w:trHeight w:val="30"/>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3"/>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2015</w:t>
            </w:r>
          </w:p>
        </w:tc>
      </w:tr>
      <w:tr>
        <w:trPr>
          <w:trHeight w:val="30"/>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SALES TO EXTERNAL CUSTOMERS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184,880</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192,065</w:t>
            </w:r>
          </w:p>
        </w:tc>
        <w:tc>
          <w:tcPr>
            <w:tcW w:w="8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381,207</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404,162</w:t>
            </w:r>
          </w:p>
        </w:tc>
      </w:tr>
      <w:tr>
        <w:trPr>
          <w:trHeight w:val="30"/>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83,750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90,563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170,496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188,706</w:t>
            </w: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268,630</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282,628</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551,703</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592,868</w:t>
            </w:r>
          </w:p>
        </w:tc>
      </w:tr>
      <w:tr>
        <w:trPr>
          <w:trHeight w:val="70"/>
        </w:trPr>
        <w:tc>
          <w:tcPr>
            <w:tcW w:w="37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29"/>
        </w:trPr>
        <w:tc>
          <w:tcPr>
            <w:tcW w:w="3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SALES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99735" cy="153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99735" cy="15303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shd w:val="clear" w:color="auto" w:fill="CCEEFF"/>
        </w:rPr>
        <w:t>ID Solutions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0.7 %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w w:val="98"/>
                <w:shd w:val="clear" w:color="auto" w:fill="CCEEFF"/>
              </w:rPr>
              <w:t>Currency</w:t>
            </w:r>
          </w:p>
        </w:tc>
        <w:tc>
          <w:tcPr>
            <w:tcW w:w="16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70"/>
        </w:trPr>
        <w:tc>
          <w:tcPr>
            <w:tcW w:w="3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70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080" w:type="dxa"/>
            <w:vAlign w:val="bottom"/>
            <w:gridSpan w:val="4"/>
            <w:shd w:val="clear" w:color="auto" w:fill="CCEEFF"/>
          </w:tcPr>
          <w:p>
            <w:pPr>
              <w:ind w:left="20"/>
              <w:spacing w:after="0" w:line="145" w:lineRule="exact"/>
              <w:rPr>
                <w:sz w:val="20"/>
                <w:szCs w:val="20"/>
                <w:color w:val="auto"/>
              </w:rPr>
            </w:pPr>
            <w:r>
              <w:rPr>
                <w:rFonts w:ascii="Arial" w:cs="Arial" w:eastAsia="Arial" w:hAnsi="Arial"/>
                <w:sz w:val="14"/>
                <w:szCs w:val="14"/>
                <w:b w:val="1"/>
                <w:bCs w:val="1"/>
                <w:i w:val="1"/>
                <w:iCs w:val="1"/>
                <w:color w:val="auto"/>
                <w:w w:val="89"/>
                <w:shd w:val="clear" w:color="auto" w:fill="CCEEFF"/>
              </w:rPr>
              <w:t>Workplace Safety</w:t>
            </w:r>
          </w:p>
        </w:tc>
        <w:tc>
          <w:tcPr>
            <w:tcW w:w="2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7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0.6 %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w w:val="98"/>
                <w:shd w:val="clear" w:color="auto" w:fill="CCEEFF"/>
              </w:rPr>
              <w:t>Currency</w:t>
            </w:r>
          </w:p>
        </w:tc>
        <w:tc>
          <w:tcPr>
            <w:tcW w:w="16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70"/>
        </w:trPr>
        <w:tc>
          <w:tcPr>
            <w:tcW w:w="3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70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920" w:type="dxa"/>
            <w:vAlign w:val="bottom"/>
            <w:gridSpan w:val="3"/>
            <w:shd w:val="clear" w:color="auto" w:fill="CCEEFF"/>
          </w:tcPr>
          <w:p>
            <w:pPr>
              <w:ind w:left="20"/>
              <w:spacing w:after="0" w:line="145" w:lineRule="exact"/>
              <w:rPr>
                <w:sz w:val="20"/>
                <w:szCs w:val="20"/>
                <w:color w:val="auto"/>
              </w:rPr>
            </w:pPr>
            <w:r>
              <w:rPr>
                <w:rFonts w:ascii="Arial" w:cs="Arial" w:eastAsia="Arial" w:hAnsi="Arial"/>
                <w:sz w:val="14"/>
                <w:szCs w:val="14"/>
                <w:b w:val="1"/>
                <w:bCs w:val="1"/>
                <w:i w:val="1"/>
                <w:iCs w:val="1"/>
                <w:color w:val="auto"/>
                <w:w w:val="86"/>
                <w:shd w:val="clear" w:color="auto" w:fill="CCEEFF"/>
              </w:rPr>
              <w:t>Total Company</w:t>
            </w:r>
          </w:p>
        </w:tc>
        <w:tc>
          <w:tcPr>
            <w:tcW w:w="16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7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0.4 %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w w:val="98"/>
                <w:shd w:val="clear" w:color="auto" w:fill="CCEEFF"/>
              </w:rPr>
              <w:t>Currency</w:t>
            </w:r>
          </w:p>
        </w:tc>
        <w:tc>
          <w:tcPr>
            <w:tcW w:w="16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70"/>
        </w:trPr>
        <w:tc>
          <w:tcPr>
            <w:tcW w:w="34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70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780" w:type="dxa"/>
            <w:vAlign w:val="bottom"/>
            <w:gridSpan w:val="5"/>
          </w:tcPr>
          <w:p>
            <w:pPr>
              <w:ind w:left="20"/>
              <w:spacing w:after="0"/>
              <w:rPr>
                <w:sz w:val="20"/>
                <w:szCs w:val="20"/>
                <w:color w:val="auto"/>
              </w:rPr>
            </w:pPr>
            <w:r>
              <w:rPr>
                <w:rFonts w:ascii="Arial" w:cs="Arial" w:eastAsia="Arial" w:hAnsi="Arial"/>
                <w:sz w:val="14"/>
                <w:szCs w:val="14"/>
                <w:b w:val="1"/>
                <w:bCs w:val="1"/>
                <w:color w:val="auto"/>
              </w:rPr>
              <w:t>SEGMENT PROFIT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w w:val="95"/>
                <w:shd w:val="clear" w:color="auto" w:fill="CCEEFF"/>
              </w:rPr>
              <w:t>ID Solutions</w:t>
            </w:r>
          </w:p>
        </w:tc>
        <w:tc>
          <w:tcPr>
            <w:tcW w:w="27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37,004</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35,719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77,008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79,186</w:t>
            </w: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Workplace Safety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13,395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12,776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30,059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28,315</w:t>
            </w:r>
          </w:p>
        </w:tc>
        <w:tc>
          <w:tcPr>
            <w:tcW w:w="0" w:type="dxa"/>
            <w:vAlign w:val="bottom"/>
          </w:tcPr>
          <w:p>
            <w:pPr>
              <w:spacing w:after="0"/>
              <w:rPr>
                <w:sz w:val="1"/>
                <w:szCs w:val="1"/>
                <w:color w:val="auto"/>
              </w:rPr>
            </w:pP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3"/>
                <w:shd w:val="clear" w:color="auto" w:fill="CCEEFF"/>
              </w:rPr>
              <w:t>Total</w:t>
            </w:r>
          </w:p>
        </w:tc>
        <w:tc>
          <w:tcPr>
            <w:tcW w:w="3160" w:type="dxa"/>
            <w:vAlign w:val="bottom"/>
            <w:tcBorders>
              <w:bottom w:val="single" w:sz="8" w:color="CCEEFF"/>
            </w:tcBorders>
            <w:gridSpan w:val="3"/>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50,399</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48,495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107,067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107,501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Arial" w:cs="Arial" w:eastAsia="Arial" w:hAnsi="Arial"/>
                <w:sz w:val="14"/>
                <w:szCs w:val="14"/>
                <w:b w:val="1"/>
                <w:bCs w:val="1"/>
                <w:color w:val="auto"/>
              </w:rPr>
              <w:t>SEGMENT PROFIT AS A PERCENT OF SALES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78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3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w w:val="95"/>
                <w:shd w:val="clear" w:color="auto" w:fill="CCEEFF"/>
              </w:rPr>
              <w:t>ID Solutions</w:t>
            </w:r>
          </w:p>
        </w:tc>
        <w:tc>
          <w:tcPr>
            <w:tcW w:w="27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20.0 %</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19.6 %</w:t>
            </w: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Workplace Safety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16.0 %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14.1 %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15.0 %</w:t>
            </w:r>
          </w:p>
        </w:tc>
        <w:tc>
          <w:tcPr>
            <w:tcW w:w="0" w:type="dxa"/>
            <w:vAlign w:val="bottom"/>
          </w:tcPr>
          <w:p>
            <w:pPr>
              <w:spacing w:after="0"/>
              <w:rPr>
                <w:sz w:val="1"/>
                <w:szCs w:val="1"/>
                <w:color w:val="auto"/>
              </w:rPr>
            </w:pP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3"/>
                <w:shd w:val="clear" w:color="auto" w:fill="CCEEFF"/>
              </w:rPr>
              <w:t>Total</w:t>
            </w:r>
          </w:p>
        </w:tc>
        <w:tc>
          <w:tcPr>
            <w:tcW w:w="3160" w:type="dxa"/>
            <w:vAlign w:val="bottom"/>
            <w:tcBorders>
              <w:bottom w:val="single" w:sz="8" w:color="CCEEFF"/>
            </w:tcBorders>
            <w:gridSpan w:val="3"/>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18.8 %</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18.1 %</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7"/>
          </w:tcPr>
          <w:p>
            <w:pPr>
              <w:ind w:left="80"/>
              <w:spacing w:after="0"/>
              <w:rPr>
                <w:sz w:val="20"/>
                <w:szCs w:val="20"/>
                <w:color w:val="auto"/>
              </w:rPr>
            </w:pPr>
            <w:r>
              <w:rPr>
                <w:rFonts w:ascii="Arial" w:cs="Arial" w:eastAsia="Arial" w:hAnsi="Arial"/>
                <w:sz w:val="14"/>
                <w:szCs w:val="14"/>
                <w:color w:val="auto"/>
              </w:rPr>
              <w:t>Three months ended January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4"/>
          </w:tcPr>
          <w:p>
            <w:pPr>
              <w:jc w:val="right"/>
              <w:ind w:right="228"/>
              <w:spacing w:after="0"/>
              <w:rPr>
                <w:sz w:val="20"/>
                <w:szCs w:val="20"/>
                <w:color w:val="auto"/>
              </w:rPr>
            </w:pPr>
            <w:r>
              <w:rPr>
                <w:rFonts w:ascii="Arial" w:cs="Arial" w:eastAsia="Arial" w:hAnsi="Arial"/>
                <w:sz w:val="14"/>
                <w:szCs w:val="14"/>
                <w:color w:val="auto"/>
                <w:w w:val="97"/>
              </w:rPr>
              <w:t>Six months ended January 31,</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7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color w:val="auto"/>
              </w:rPr>
              <w:t>Total segment profit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50,399</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48,495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107,067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107,501</w:t>
            </w:r>
          </w:p>
        </w:tc>
        <w:tc>
          <w:tcPr>
            <w:tcW w:w="0" w:type="dxa"/>
            <w:vAlign w:val="bottom"/>
          </w:tcPr>
          <w:p>
            <w:pPr>
              <w:spacing w:after="0"/>
              <w:rPr>
                <w:sz w:val="1"/>
                <w:szCs w:val="1"/>
                <w:color w:val="auto"/>
              </w:rPr>
            </w:pPr>
          </w:p>
        </w:tc>
      </w:tr>
      <w:tr>
        <w:trPr>
          <w:trHeight w:val="199"/>
        </w:trPr>
        <w:tc>
          <w:tcPr>
            <w:tcW w:w="3780" w:type="dxa"/>
            <w:vAlign w:val="bottom"/>
            <w:gridSpan w:val="5"/>
          </w:tcPr>
          <w:p>
            <w:pPr>
              <w:ind w:left="20"/>
              <w:spacing w:after="0"/>
              <w:rPr>
                <w:sz w:val="20"/>
                <w:szCs w:val="20"/>
                <w:color w:val="auto"/>
              </w:rPr>
            </w:pPr>
            <w:r>
              <w:rPr>
                <w:rFonts w:ascii="Arial" w:cs="Arial" w:eastAsia="Arial" w:hAnsi="Arial"/>
                <w:sz w:val="14"/>
                <w:szCs w:val="14"/>
                <w:color w:val="auto"/>
              </w:rPr>
              <w:t>Unallocated amounts: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Administrative costs</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(26,810)</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(26,805)</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(53,376)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(54,561)</w:t>
            </w: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Restructuring charges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(9,157)</w:t>
            </w:r>
          </w:p>
        </w:tc>
        <w:tc>
          <w:tcPr>
            <w:tcW w:w="0" w:type="dxa"/>
            <w:vAlign w:val="bottom"/>
          </w:tcPr>
          <w:p>
            <w:pPr>
              <w:spacing w:after="0"/>
              <w:rPr>
                <w:sz w:val="1"/>
                <w:szCs w:val="1"/>
                <w:color w:val="auto"/>
              </w:rPr>
            </w:pPr>
          </w:p>
        </w:tc>
      </w:tr>
      <w:tr>
        <w:trPr>
          <w:trHeight w:val="30"/>
        </w:trPr>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Investment and other (expense) income</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(992)</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11"/>
        </w:trPr>
        <w:tc>
          <w:tcPr>
            <w:tcW w:w="3780" w:type="dxa"/>
            <w:vAlign w:val="bottom"/>
            <w:gridSpan w:val="5"/>
          </w:tcPr>
          <w:p>
            <w:pPr>
              <w:ind w:left="340"/>
              <w:spacing w:after="0"/>
              <w:rPr>
                <w:sz w:val="20"/>
                <w:szCs w:val="20"/>
                <w:color w:val="auto"/>
              </w:rPr>
            </w:pPr>
            <w:r>
              <w:rPr>
                <w:rFonts w:ascii="Arial" w:cs="Arial" w:eastAsia="Arial" w:hAnsi="Arial"/>
                <w:sz w:val="14"/>
                <w:szCs w:val="14"/>
                <w:color w:val="auto"/>
              </w:rPr>
              <w:t>Interest expense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(2,130)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(5,891)</w:t>
            </w:r>
          </w:p>
        </w:tc>
        <w:tc>
          <w:tcPr>
            <w:tcW w:w="0" w:type="dxa"/>
            <w:vAlign w:val="bottom"/>
          </w:tcPr>
          <w:p>
            <w:pPr>
              <w:spacing w:after="0"/>
              <w:rPr>
                <w:sz w:val="1"/>
                <w:szCs w:val="1"/>
                <w:color w:val="auto"/>
              </w:rPr>
            </w:pPr>
          </w:p>
        </w:tc>
      </w:tr>
      <w:tr>
        <w:trPr>
          <w:trHeight w:val="30"/>
        </w:trPr>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20,467</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14,022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47,659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38,427</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Amounts)</w:t>
      </w:r>
    </w:p>
    <w:p>
      <w:pPr>
        <w:spacing w:after="0" w:line="309" w:lineRule="exact"/>
        <w:rPr>
          <w:sz w:val="20"/>
          <w:szCs w:val="20"/>
          <w:color w:val="auto"/>
        </w:rPr>
      </w:pPr>
    </w:p>
    <w:p>
      <w:pPr>
        <w:ind w:left="100" w:right="1699"/>
        <w:spacing w:after="0" w:line="302" w:lineRule="auto"/>
        <w:rPr>
          <w:sz w:val="20"/>
          <w:szCs w:val="20"/>
          <w:color w:val="auto"/>
        </w:rPr>
      </w:pPr>
      <w:r>
        <w:rPr>
          <w:rFonts w:ascii="Arial" w:cs="Arial" w:eastAsia="Arial" w:hAnsi="Arial"/>
          <w:sz w:val="14"/>
          <w:szCs w:val="14"/>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Earnings from Continuing Operations Before Income Taxes Excluding Certain Items:</w:t>
      </w:r>
    </w:p>
    <w:p>
      <w:pPr>
        <w:spacing w:after="0" w:line="72" w:lineRule="exact"/>
        <w:rPr>
          <w:sz w:val="20"/>
          <w:szCs w:val="20"/>
          <w:color w:val="auto"/>
        </w:rPr>
      </w:pPr>
    </w:p>
    <w:p>
      <w:pPr>
        <w:jc w:val="both"/>
        <w:ind w:left="60" w:right="1559"/>
        <w:spacing w:after="0" w:line="276" w:lineRule="auto"/>
        <w:rPr>
          <w:sz w:val="20"/>
          <w:szCs w:val="20"/>
          <w:color w:val="auto"/>
        </w:rPr>
      </w:pPr>
      <w:r>
        <w:rPr>
          <w:rFonts w:ascii="Arial" w:cs="Arial" w:eastAsia="Arial" w:hAnsi="Arial"/>
          <w:sz w:val="14"/>
          <w:szCs w:val="14"/>
          <w:color w:val="auto"/>
        </w:rPr>
        <w:t>Brady is presenting the Non-GAAP measure "Earnings from Continuing Operations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profit measure provides an important perspective of underlying business trends and results and provides a more comparable measure from year to year. The table below provides a reconciliation of Earnings from Continuing Operations Before Income Taxes to Earnings from Continuing Operations Before Income Taxes Excluding Certain Items:</w:t>
      </w:r>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tcPr>
          <w:p>
            <w:pPr>
              <w:ind w:left="20"/>
              <w:spacing w:after="0"/>
              <w:rPr>
                <w:sz w:val="20"/>
                <w:szCs w:val="20"/>
                <w:color w:val="auto"/>
              </w:rPr>
            </w:pPr>
            <w:r>
              <w:rPr>
                <w:rFonts w:ascii="Arial" w:cs="Arial" w:eastAsia="Arial" w:hAnsi="Arial"/>
                <w:sz w:val="14"/>
                <w:szCs w:val="14"/>
                <w:color w:val="auto"/>
              </w:rPr>
              <w:t>Three Months Ended January 31,</w:t>
            </w:r>
          </w:p>
        </w:tc>
        <w:tc>
          <w:tcPr>
            <w:tcW w:w="140" w:type="dxa"/>
            <w:vAlign w:val="bottom"/>
          </w:tcPr>
          <w:p>
            <w:pPr>
              <w:spacing w:after="0"/>
              <w:rPr>
                <w:sz w:val="15"/>
                <w:szCs w:val="15"/>
                <w:color w:val="auto"/>
              </w:rPr>
            </w:pPr>
          </w:p>
        </w:tc>
        <w:tc>
          <w:tcPr>
            <w:tcW w:w="2020" w:type="dxa"/>
            <w:vAlign w:val="bottom"/>
            <w:gridSpan w:val="4"/>
          </w:tcPr>
          <w:p>
            <w:pPr>
              <w:jc w:val="right"/>
              <w:ind w:right="108"/>
              <w:spacing w:after="0"/>
              <w:rPr>
                <w:sz w:val="20"/>
                <w:szCs w:val="20"/>
                <w:color w:val="auto"/>
              </w:rPr>
            </w:pPr>
            <w:r>
              <w:rPr>
                <w:rFonts w:ascii="Arial" w:cs="Arial" w:eastAsia="Arial" w:hAnsi="Arial"/>
                <w:sz w:val="14"/>
                <w:szCs w:val="14"/>
                <w:color w:val="auto"/>
                <w:w w:val="95"/>
              </w:rPr>
              <w:t>Six Months Ended January 31,</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30"/>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(GAAP 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20,467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14,022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47,659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38,427</w:t>
            </w:r>
          </w:p>
        </w:tc>
        <w:tc>
          <w:tcPr>
            <w:tcW w:w="0" w:type="dxa"/>
            <w:vAlign w:val="bottom"/>
          </w:tcPr>
          <w:p>
            <w:pPr>
              <w:spacing w:after="0"/>
              <w:rPr>
                <w:sz w:val="1"/>
                <w:szCs w:val="1"/>
                <w:color w:val="auto"/>
              </w:rPr>
            </w:pPr>
          </w:p>
        </w:tc>
      </w:tr>
      <w:tr>
        <w:trPr>
          <w:trHeight w:val="211"/>
        </w:trPr>
        <w:tc>
          <w:tcPr>
            <w:tcW w:w="420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9,157</w:t>
            </w:r>
          </w:p>
        </w:tc>
        <w:tc>
          <w:tcPr>
            <w:tcW w:w="0" w:type="dxa"/>
            <w:vAlign w:val="bottom"/>
          </w:tcPr>
          <w:p>
            <w:pPr>
              <w:spacing w:after="0"/>
              <w:rPr>
                <w:sz w:val="1"/>
                <w:szCs w:val="1"/>
                <w:color w:val="auto"/>
              </w:rPr>
            </w:pPr>
          </w:p>
        </w:tc>
      </w:tr>
      <w:tr>
        <w:trPr>
          <w:trHeight w:val="30"/>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20,467</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18,901</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47,659</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47,584</w:t>
            </w: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Excluding Certain Items (non-GAAP measure)</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w:t>
      </w:r>
    </w:p>
    <w:p>
      <w:pPr>
        <w:spacing w:after="0" w:line="72" w:lineRule="exact"/>
        <w:rPr>
          <w:sz w:val="20"/>
          <w:szCs w:val="20"/>
          <w:color w:val="auto"/>
        </w:rPr>
      </w:pPr>
    </w:p>
    <w:p>
      <w:pPr>
        <w:jc w:val="both"/>
        <w:ind w:left="20" w:right="1559"/>
        <w:spacing w:after="0" w:line="303" w:lineRule="auto"/>
        <w:rPr>
          <w:sz w:val="20"/>
          <w:szCs w:val="20"/>
          <w:color w:val="auto"/>
        </w:rPr>
      </w:pPr>
      <w:r>
        <w:rPr>
          <w:rFonts w:ascii="Arial" w:cs="Arial" w:eastAsia="Arial" w:hAnsi="Arial"/>
          <w:sz w:val="13"/>
          <w:szCs w:val="13"/>
          <w:color w:val="auto"/>
        </w:rPr>
        <w:t>Brady is presenting the Non-GAAP measure "Income Taxes on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Income Taxes on Continuing Operations to Income Taxes on Continuing Operations Excluding Certain Items: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20" w:type="dxa"/>
            <w:vAlign w:val="bottom"/>
          </w:tcPr>
          <w:p>
            <w:pPr>
              <w:spacing w:after="0"/>
              <w:rPr>
                <w:sz w:val="15"/>
                <w:szCs w:val="15"/>
                <w:color w:val="auto"/>
              </w:rPr>
            </w:pPr>
          </w:p>
        </w:tc>
        <w:tc>
          <w:tcPr>
            <w:tcW w:w="2280" w:type="dxa"/>
            <w:vAlign w:val="bottom"/>
            <w:gridSpan w:val="6"/>
          </w:tcPr>
          <w:p>
            <w:pPr>
              <w:ind w:left="140"/>
              <w:spacing w:after="0"/>
              <w:rPr>
                <w:sz w:val="20"/>
                <w:szCs w:val="20"/>
                <w:color w:val="auto"/>
              </w:rPr>
            </w:pPr>
            <w:r>
              <w:rPr>
                <w:rFonts w:ascii="Arial" w:cs="Arial" w:eastAsia="Arial" w:hAnsi="Arial"/>
                <w:sz w:val="14"/>
                <w:szCs w:val="14"/>
                <w:color w:val="auto"/>
              </w:rPr>
              <w:t>Three Months Ended January 31,</w:t>
            </w:r>
          </w:p>
        </w:tc>
        <w:tc>
          <w:tcPr>
            <w:tcW w:w="100" w:type="dxa"/>
            <w:vAlign w:val="bottom"/>
          </w:tcPr>
          <w:p>
            <w:pPr>
              <w:spacing w:after="0"/>
              <w:rPr>
                <w:sz w:val="15"/>
                <w:szCs w:val="15"/>
                <w:color w:val="auto"/>
              </w:rPr>
            </w:pPr>
          </w:p>
        </w:tc>
        <w:tc>
          <w:tcPr>
            <w:tcW w:w="1880" w:type="dxa"/>
            <w:vAlign w:val="bottom"/>
            <w:gridSpan w:val="4"/>
          </w:tcPr>
          <w:p>
            <w:pPr>
              <w:jc w:val="right"/>
              <w:ind w:right="8"/>
              <w:spacing w:after="0"/>
              <w:rPr>
                <w:sz w:val="20"/>
                <w:szCs w:val="20"/>
                <w:color w:val="auto"/>
              </w:rPr>
            </w:pPr>
            <w:r>
              <w:rPr>
                <w:rFonts w:ascii="Arial" w:cs="Arial" w:eastAsia="Arial" w:hAnsi="Arial"/>
                <w:sz w:val="14"/>
                <w:szCs w:val="14"/>
                <w:color w:val="auto"/>
                <w:w w:val="93"/>
              </w:rPr>
              <w:t>Six Months Ended January 31,</w:t>
            </w:r>
          </w:p>
        </w:tc>
        <w:tc>
          <w:tcPr>
            <w:tcW w:w="0" w:type="dxa"/>
            <w:vAlign w:val="bottom"/>
          </w:tcPr>
          <w:p>
            <w:pPr>
              <w:spacing w:after="0"/>
              <w:rPr>
                <w:sz w:val="1"/>
                <w:szCs w:val="1"/>
                <w:color w:val="auto"/>
              </w:rPr>
            </w:pPr>
          </w:p>
        </w:tc>
      </w:tr>
      <w:tr>
        <w:trPr>
          <w:trHeight w:val="30"/>
        </w:trPr>
        <w:tc>
          <w:tcPr>
            <w:tcW w:w="4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2016</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30"/>
        </w:trPr>
        <w:tc>
          <w:tcPr>
            <w:tcW w:w="44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(GAAP measure)</w:t>
            </w:r>
          </w:p>
        </w:tc>
        <w:tc>
          <w:tcPr>
            <w:tcW w:w="66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5,177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13,666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11,344</w:t>
            </w:r>
          </w:p>
        </w:tc>
        <w:tc>
          <w:tcPr>
            <w:tcW w:w="0" w:type="dxa"/>
            <w:vAlign w:val="bottom"/>
          </w:tcPr>
          <w:p>
            <w:pPr>
              <w:spacing w:after="0"/>
              <w:rPr>
                <w:sz w:val="1"/>
                <w:szCs w:val="1"/>
                <w:color w:val="auto"/>
              </w:rPr>
            </w:pPr>
          </w:p>
        </w:tc>
      </w:tr>
      <w:tr>
        <w:trPr>
          <w:trHeight w:val="211"/>
        </w:trPr>
        <w:tc>
          <w:tcPr>
            <w:tcW w:w="442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6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2,770</w:t>
            </w:r>
          </w:p>
        </w:tc>
        <w:tc>
          <w:tcPr>
            <w:tcW w:w="0" w:type="dxa"/>
            <w:vAlign w:val="bottom"/>
          </w:tcPr>
          <w:p>
            <w:pPr>
              <w:spacing w:after="0"/>
              <w:rPr>
                <w:sz w:val="1"/>
                <w:szCs w:val="1"/>
                <w:color w:val="auto"/>
              </w:rPr>
            </w:pPr>
          </w:p>
        </w:tc>
      </w:tr>
      <w:tr>
        <w:trPr>
          <w:trHeight w:val="30"/>
        </w:trPr>
        <w:tc>
          <w:tcPr>
            <w:tcW w:w="44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w:t>
            </w:r>
          </w:p>
        </w:tc>
        <w:tc>
          <w:tcPr>
            <w:tcW w:w="660" w:type="dxa"/>
            <w:vAlign w:val="bottom"/>
            <w:vMerge w:val="restart"/>
            <w:shd w:val="clear" w:color="auto" w:fill="CCEEFF"/>
          </w:tcPr>
          <w:p>
            <w:pPr>
              <w:jc w:val="right"/>
              <w:ind w:right="508"/>
              <w:spacing w:after="0"/>
              <w:rPr>
                <w:sz w:val="20"/>
                <w:szCs w:val="20"/>
                <w:color w:val="auto"/>
              </w:rPr>
            </w:pPr>
            <w:r>
              <w:rPr>
                <w:rFonts w:ascii="Arial" w:cs="Arial" w:eastAsia="Arial" w:hAnsi="Arial"/>
                <w:sz w:val="14"/>
                <w:szCs w:val="14"/>
                <w:b w:val="1"/>
                <w:bCs w:val="1"/>
                <w:color w:val="auto"/>
                <w:w w:val="76"/>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5,177</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3,872</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13,666</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14,114</w:t>
            </w:r>
          </w:p>
        </w:tc>
        <w:tc>
          <w:tcPr>
            <w:tcW w:w="0" w:type="dxa"/>
            <w:vAlign w:val="bottom"/>
          </w:tcPr>
          <w:p>
            <w:pPr>
              <w:spacing w:after="0"/>
              <w:rPr>
                <w:sz w:val="1"/>
                <w:szCs w:val="1"/>
                <w:color w:val="auto"/>
              </w:rPr>
            </w:pPr>
          </w:p>
        </w:tc>
      </w:tr>
      <w:tr>
        <w:trPr>
          <w:trHeight w:val="19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(non-GAAP measure)</w:t>
            </w: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Net Earnings from Continuing Operations Excluding Certain Items:</w:t>
      </w:r>
    </w:p>
    <w:p>
      <w:pPr>
        <w:spacing w:after="0" w:line="72" w:lineRule="exact"/>
        <w:rPr>
          <w:sz w:val="20"/>
          <w:szCs w:val="20"/>
          <w:color w:val="auto"/>
        </w:rPr>
      </w:pPr>
    </w:p>
    <w:p>
      <w:pPr>
        <w:jc w:val="both"/>
        <w:ind w:left="60" w:right="1579"/>
        <w:spacing w:after="0" w:line="303" w:lineRule="auto"/>
        <w:rPr>
          <w:sz w:val="20"/>
          <w:szCs w:val="20"/>
          <w:color w:val="auto"/>
        </w:rPr>
      </w:pPr>
      <w:r>
        <w:rPr>
          <w:rFonts w:ascii="Arial" w:cs="Arial" w:eastAsia="Arial" w:hAnsi="Arial"/>
          <w:sz w:val="13"/>
          <w:szCs w:val="13"/>
          <w:color w:val="auto"/>
        </w:rPr>
        <w:t>Brady is presenting the Non-GAAP measure "Net Earnings from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to Net Earnings from Continuing Operations Excluding Certain Items:</w:t>
      </w: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5"/>
          </w:tcPr>
          <w:p>
            <w:pPr>
              <w:ind w:left="20"/>
              <w:spacing w:after="0"/>
              <w:rPr>
                <w:sz w:val="20"/>
                <w:szCs w:val="20"/>
                <w:color w:val="auto"/>
              </w:rPr>
            </w:pPr>
            <w:r>
              <w:rPr>
                <w:rFonts w:ascii="Arial" w:cs="Arial" w:eastAsia="Arial" w:hAnsi="Arial"/>
                <w:sz w:val="14"/>
                <w:szCs w:val="14"/>
                <w:color w:val="auto"/>
              </w:rPr>
              <w:t>Three Months Ended January 31,</w:t>
            </w:r>
          </w:p>
        </w:tc>
        <w:tc>
          <w:tcPr>
            <w:tcW w:w="140" w:type="dxa"/>
            <w:vAlign w:val="bottom"/>
          </w:tcPr>
          <w:p>
            <w:pPr>
              <w:spacing w:after="0"/>
              <w:rPr>
                <w:sz w:val="15"/>
                <w:szCs w:val="15"/>
                <w:color w:val="auto"/>
              </w:rPr>
            </w:pPr>
          </w:p>
        </w:tc>
        <w:tc>
          <w:tcPr>
            <w:tcW w:w="2020" w:type="dxa"/>
            <w:vAlign w:val="bottom"/>
            <w:gridSpan w:val="4"/>
          </w:tcPr>
          <w:p>
            <w:pPr>
              <w:jc w:val="right"/>
              <w:ind w:right="108"/>
              <w:spacing w:after="0"/>
              <w:rPr>
                <w:sz w:val="20"/>
                <w:szCs w:val="20"/>
                <w:color w:val="auto"/>
              </w:rPr>
            </w:pPr>
            <w:r>
              <w:rPr>
                <w:rFonts w:ascii="Arial" w:cs="Arial" w:eastAsia="Arial" w:hAnsi="Arial"/>
                <w:sz w:val="14"/>
                <w:szCs w:val="14"/>
                <w:color w:val="auto"/>
                <w:w w:val="95"/>
              </w:rPr>
              <w:t>Six Months Ended January 31,</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30"/>
        </w:trPr>
        <w:tc>
          <w:tcPr>
            <w:tcW w:w="4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(GAAP measure)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15,290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11,584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33,993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27,083</w:t>
            </w:r>
          </w:p>
        </w:tc>
        <w:tc>
          <w:tcPr>
            <w:tcW w:w="0" w:type="dxa"/>
            <w:vAlign w:val="bottom"/>
          </w:tcPr>
          <w:p>
            <w:pPr>
              <w:spacing w:after="0"/>
              <w:rPr>
                <w:sz w:val="1"/>
                <w:szCs w:val="1"/>
                <w:color w:val="auto"/>
              </w:rPr>
            </w:pPr>
          </w:p>
        </w:tc>
      </w:tr>
      <w:tr>
        <w:trPr>
          <w:trHeight w:val="211"/>
        </w:trPr>
        <w:tc>
          <w:tcPr>
            <w:tcW w:w="420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6,387</w:t>
            </w:r>
          </w:p>
        </w:tc>
        <w:tc>
          <w:tcPr>
            <w:tcW w:w="0" w:type="dxa"/>
            <w:vAlign w:val="bottom"/>
          </w:tcPr>
          <w:p>
            <w:pPr>
              <w:spacing w:after="0"/>
              <w:rPr>
                <w:sz w:val="1"/>
                <w:szCs w:val="1"/>
                <w:color w:val="auto"/>
              </w:rPr>
            </w:pPr>
          </w:p>
        </w:tc>
      </w:tr>
      <w:tr>
        <w:trPr>
          <w:trHeight w:val="30"/>
        </w:trPr>
        <w:tc>
          <w:tcPr>
            <w:tcW w:w="4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Excluding Certain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15,290</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15,029</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33,993</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33,470</w:t>
            </w: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Items (non-GAAP measure)</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Amounts)</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 Nonvoting Common Share Excluding Certain Items:</w:t>
      </w:r>
    </w:p>
    <w:p>
      <w:pPr>
        <w:spacing w:after="0" w:line="72" w:lineRule="exact"/>
        <w:rPr>
          <w:sz w:val="20"/>
          <w:szCs w:val="20"/>
          <w:color w:val="auto"/>
        </w:rPr>
      </w:pPr>
    </w:p>
    <w:p>
      <w:pPr>
        <w:jc w:val="both"/>
        <w:ind w:left="20" w:right="1559"/>
        <w:spacing w:after="0" w:line="301" w:lineRule="auto"/>
        <w:rPr>
          <w:sz w:val="20"/>
          <w:szCs w:val="20"/>
          <w:color w:val="auto"/>
        </w:rPr>
      </w:pPr>
      <w:r>
        <w:rPr>
          <w:rFonts w:ascii="Arial" w:cs="Arial" w:eastAsia="Arial" w:hAnsi="Arial"/>
          <w:sz w:val="13"/>
          <w:szCs w:val="13"/>
          <w:color w:val="auto"/>
        </w:rPr>
        <w:t>Brady is presenting the Non-GAAP measure "Net Earnings from Continuing Operations Per Diluted Class A Nonvoting Common Share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Per Diluted Class A Nonvoting Common Share to Net Earnings from Continuing Operations Per Diluted Class A Nonvoting Common Share Excluding Certain Items: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80" w:type="dxa"/>
            <w:vAlign w:val="bottom"/>
          </w:tcPr>
          <w:p>
            <w:pPr>
              <w:spacing w:after="0"/>
              <w:rPr>
                <w:sz w:val="15"/>
                <w:szCs w:val="15"/>
                <w:color w:val="auto"/>
              </w:rPr>
            </w:pPr>
          </w:p>
        </w:tc>
        <w:tc>
          <w:tcPr>
            <w:tcW w:w="2900" w:type="dxa"/>
            <w:vAlign w:val="bottom"/>
            <w:gridSpan w:val="4"/>
          </w:tcPr>
          <w:p>
            <w:pPr>
              <w:jc w:val="right"/>
              <w:ind w:right="148"/>
              <w:spacing w:after="0"/>
              <w:rPr>
                <w:sz w:val="20"/>
                <w:szCs w:val="20"/>
                <w:color w:val="auto"/>
              </w:rPr>
            </w:pPr>
            <w:r>
              <w:rPr>
                <w:rFonts w:ascii="Arial" w:cs="Arial" w:eastAsia="Arial" w:hAnsi="Arial"/>
                <w:sz w:val="14"/>
                <w:szCs w:val="14"/>
                <w:color w:val="auto"/>
              </w:rPr>
              <w:t>Three Months Ended January 31,</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4"/>
          </w:tcPr>
          <w:p>
            <w:pPr>
              <w:jc w:val="right"/>
              <w:spacing w:after="0"/>
              <w:rPr>
                <w:sz w:val="20"/>
                <w:szCs w:val="20"/>
                <w:color w:val="auto"/>
              </w:rPr>
            </w:pPr>
            <w:r>
              <w:rPr>
                <w:rFonts w:ascii="Arial" w:cs="Arial" w:eastAsia="Arial" w:hAnsi="Arial"/>
                <w:sz w:val="14"/>
                <w:szCs w:val="14"/>
                <w:color w:val="auto"/>
              </w:rPr>
              <w:t>Six Months Ended January 31,</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2016</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2015</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2016</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2015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5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w:t>
            </w: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 Per Diluted Class A</w:t>
            </w: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Nonvoting Common Share (GAAP</w:t>
            </w: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measure)</w:t>
            </w:r>
          </w:p>
        </w:tc>
        <w:tc>
          <w:tcPr>
            <w:tcW w:w="1160" w:type="dxa"/>
            <w:vAlign w:val="bottom"/>
            <w:tcBorders>
              <w:bottom w:val="single" w:sz="8" w:color="CCEEFF"/>
            </w:tcBorders>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0.67</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211"/>
        </w:trPr>
        <w:tc>
          <w:tcPr>
            <w:tcW w:w="2580" w:type="dxa"/>
            <w:vAlign w:val="bottom"/>
          </w:tcPr>
          <w:p>
            <w:pPr>
              <w:ind w:left="380"/>
              <w:spacing w:after="0"/>
              <w:rPr>
                <w:sz w:val="20"/>
                <w:szCs w:val="20"/>
                <w:color w:val="auto"/>
              </w:rPr>
            </w:pPr>
            <w:r>
              <w:rPr>
                <w:rFonts w:ascii="Arial" w:cs="Arial" w:eastAsia="Arial" w:hAnsi="Arial"/>
                <w:sz w:val="14"/>
                <w:szCs w:val="14"/>
                <w:color w:val="auto"/>
              </w:rPr>
              <w:t>Restructuring charges</w:t>
            </w:r>
          </w:p>
        </w:tc>
        <w:tc>
          <w:tcPr>
            <w:tcW w:w="1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30"/>
        </w:trPr>
        <w:tc>
          <w:tcPr>
            <w:tcW w:w="25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w:t>
            </w: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 Per Diluted Class A</w:t>
            </w: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Nonvoting Common Share Excluding</w:t>
            </w:r>
          </w:p>
        </w:tc>
        <w:tc>
          <w:tcPr>
            <w:tcW w:w="1160" w:type="dxa"/>
            <w:vAlign w:val="bottom"/>
            <w:vMerge w:val="restart"/>
            <w:shd w:val="clear" w:color="auto" w:fill="CCEEFF"/>
          </w:tcPr>
          <w:p>
            <w:pPr>
              <w:jc w:val="right"/>
              <w:ind w:right="988"/>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0.30</w:t>
            </w:r>
          </w:p>
        </w:tc>
        <w:tc>
          <w:tcPr>
            <w:tcW w:w="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988"/>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0.29</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688"/>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0.67</w:t>
            </w:r>
          </w:p>
        </w:tc>
        <w:tc>
          <w:tcPr>
            <w:tcW w:w="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0.65</w:t>
            </w:r>
          </w:p>
        </w:tc>
        <w:tc>
          <w:tcPr>
            <w:tcW w:w="0" w:type="dxa"/>
            <w:vAlign w:val="bottom"/>
          </w:tcPr>
          <w:p>
            <w:pPr>
              <w:spacing w:after="0"/>
              <w:rPr>
                <w:sz w:val="1"/>
                <w:szCs w:val="1"/>
                <w:color w:val="auto"/>
              </w:rPr>
            </w:pPr>
          </w:p>
        </w:tc>
      </w:tr>
      <w:tr>
        <w:trPr>
          <w:trHeight w:val="197"/>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Certain Items (non-GAAP measure)</w:t>
            </w: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emdash "/>
      <w:numFmt w:val="bullet"/>
      <w:start w:val="1"/>
    </w:lvl>
  </w:abstractNum>
  <w:abstractNum w:abstractNumId="3">
    <w:nsid w:val="625558EC"/>
    <w:multiLevelType w:val="hybridMultilevel"/>
    <w:lvl w:ilvl="0">
      <w:lvlJc w:val="left"/>
      <w:lvlText w:val="%1"/>
      <w:numFmt w:val="decimal"/>
      <w:start w:val="3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2019-12-05T16:45:10Z</dcterms:created>
  <dcterms:modified xsi:type="dcterms:W3CDTF">2019-12-05T16:45:10Z</dcterms:modified>
</cp:coreProperties>
</file>