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280"/>
        <w:spacing w:after="0"/>
        <w:rPr>
          <w:sz w:val="20"/>
          <w:szCs w:val="20"/>
          <w:color w:val="auto"/>
        </w:rPr>
      </w:pPr>
      <w:r>
        <w:rPr>
          <w:rFonts w:ascii="Arial" w:cs="Arial" w:eastAsia="Arial" w:hAnsi="Arial"/>
          <w:sz w:val="21"/>
          <w:szCs w:val="21"/>
          <w:b w:val="1"/>
          <w:bCs w:val="1"/>
          <w:color w:val="auto"/>
        </w:rPr>
        <w:t>Date of Report (Date of earliest event reported): July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224155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98" w:lineRule="exact"/>
        <w:rPr>
          <w:sz w:val="24"/>
          <w:szCs w:val="24"/>
          <w:color w:val="auto"/>
        </w:rPr>
      </w:pPr>
    </w:p>
    <w:p>
      <w:pPr>
        <w:jc w:val="center"/>
        <w:ind w:right="28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0540"/>
          </w:cols>
          <w:pgMar w:left="820"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6960" w:space="720"/>
            <w:col w:w="2860"/>
          </w:cols>
          <w:pgMar w:left="820" w:top="733" w:right="539" w:bottom="1440" w:gutter="0" w:footer="0" w:header="0"/>
          <w:type w:val="continuous"/>
        </w:sectPr>
      </w:pPr>
    </w:p>
    <w:p>
      <w:pPr>
        <w:jc w:val="center"/>
        <w:ind w:right="236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236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6820" w:space="720"/>
            <w:col w:w="3000"/>
          </w:cols>
          <w:pgMar w:left="820" w:top="733" w:right="539" w:bottom="1440" w:gutter="0" w:footer="0" w:header="0"/>
          <w:type w:val="continuous"/>
        </w:sectPr>
      </w:pPr>
    </w:p>
    <w:p>
      <w:pPr>
        <w:ind w:left="40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540"/>
          </w:cols>
          <w:pgMar w:left="820" w:top="733" w:right="539" w:bottom="1440" w:gutter="0" w:footer="0" w:header="0"/>
          <w:type w:val="continuous"/>
        </w:sectPr>
      </w:pPr>
    </w:p>
    <w:p>
      <w:pPr>
        <w:spacing w:after="0" w:line="38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40"/>
          </w:cols>
          <w:pgMar w:left="820" w:top="733" w:right="539" w:bottom="1440" w:gutter="0" w:footer="0" w:header="0"/>
          <w:type w:val="continuous"/>
        </w:sectPr>
      </w:pPr>
    </w:p>
    <w:bookmarkStart w:id="1" w:name="page2"/>
    <w:bookmarkEnd w:id="1"/>
    <w:p>
      <w:pPr>
        <w:jc w:val="both"/>
        <w:ind w:left="40"/>
        <w:spacing w:after="0" w:line="342" w:lineRule="auto"/>
        <w:rPr>
          <w:sz w:val="20"/>
          <w:szCs w:val="20"/>
          <w:color w:val="auto"/>
        </w:rPr>
      </w:pPr>
      <w:r>
        <w:rPr>
          <w:rFonts w:ascii="Arial" w:cs="Arial" w:eastAsia="Arial" w:hAnsi="Arial"/>
          <w:sz w:val="16"/>
          <w:szCs w:val="16"/>
          <w:color w:val="auto"/>
        </w:rPr>
        <w:t>Item 5.02</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197" w:lineRule="exact"/>
        <w:rPr>
          <w:sz w:val="20"/>
          <w:szCs w:val="20"/>
          <w:color w:val="auto"/>
        </w:rPr>
      </w:pPr>
    </w:p>
    <w:p>
      <w:pPr>
        <w:sectPr>
          <w:pgSz w:w="11900" w:h="16838" w:orient="portrait"/>
          <w:cols w:equalWidth="0" w:num="2">
            <w:col w:w="360" w:space="220"/>
            <w:col w:w="10840"/>
          </w:cols>
          <w:pgMar w:left="240" w:top="962" w:right="239" w:bottom="1440" w:gutter="0" w:footer="0" w:header="0"/>
        </w:sectPr>
      </w:pPr>
    </w:p>
    <w:p>
      <w:pPr>
        <w:jc w:val="both"/>
        <w:ind w:firstLine="8"/>
        <w:spacing w:after="0" w:line="264" w:lineRule="auto"/>
        <w:tabs>
          <w:tab w:leader="none" w:pos="43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22, 2015, the Board of Directors of Brady Corporation (the “Company”) elected Aaron J. Pearce, the Company’s Senior Vice President and Chief Financial Officer, to serve as Chief Accounting Officer, effective immediately, succeeding Kathleen Johnson. Effective July 22, 2015, the Company named Ms. Johnson as Vice President of Finance of the Company’s Identification Solutions business.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no arrangements or understandings between Mr. Pearce and any other persons pursuant to which he was selected as Chief Accounting Officer of the Company, he has no family relationships with any of the Company’s directors or executive officers, he has no direct or indirect material interest in any transaction required to be disclosed pursuant to Item 404(a) of Regulation S-K, and there will be no changes to his compensation as previously described in the Company filings with the SEC as a result of his appointment.</w:t>
      </w:r>
    </w:p>
    <w:p>
      <w:pPr>
        <w:sectPr>
          <w:pgSz w:w="11900" w:h="16838" w:orient="portrait"/>
          <w:cols w:equalWidth="0" w:num="1">
            <w:col w:w="11420"/>
          </w:cols>
          <w:pgMar w:left="240" w:top="96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23, 2015</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&amp;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2019-12-05T22:29:01Z</dcterms:created>
  <dcterms:modified xsi:type="dcterms:W3CDTF">2019-12-05T22:29:01Z</dcterms:modified>
</cp:coreProperties>
</file>