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080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0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Johnson Kathleen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Chief Accounting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8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741.848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6,025.9209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r>
              <w:rPr>
                <w:rFonts w:ascii="Arial" w:cs="Arial" w:eastAsia="Arial" w:hAnsi="Arial"/>
                <w:sz w:val="22"/>
                <w:szCs w:val="22"/>
                <w:color w:val="008000"/>
                <w:vertAlign w:val="superscript"/>
              </w:rPr>
              <w:t>(3)</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12/15/2010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58"/>
              <w:spacing w:after="0"/>
              <w:rPr>
                <w:sz w:val="20"/>
                <w:szCs w:val="20"/>
                <w:color w:val="auto"/>
              </w:rPr>
            </w:pPr>
            <w:r>
              <w:rPr>
                <w:rFonts w:ascii="Arial" w:cs="Arial" w:eastAsia="Arial" w:hAnsi="Arial"/>
                <w:sz w:val="14"/>
                <w:szCs w:val="14"/>
                <w:color w:val="0000FF"/>
              </w:rPr>
              <w:t>M</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4"/>
              </w:rPr>
              <w:t>3,500</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16</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6,025.9209</w:t>
            </w:r>
            <w:r>
              <w:rPr>
                <w:rFonts w:ascii="Arial" w:cs="Arial" w:eastAsia="Arial" w:hAnsi="Arial"/>
                <w:sz w:val="22"/>
                <w:szCs w:val="22"/>
                <w:color w:val="008000"/>
                <w:w w:val="85"/>
                <w:vertAlign w:val="superscript"/>
              </w:rPr>
              <w:t>(4)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12/15/2010</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8"/>
              <w:spacing w:after="0"/>
              <w:rPr>
                <w:sz w:val="20"/>
                <w:szCs w:val="20"/>
                <w:color w:val="auto"/>
              </w:rPr>
            </w:pPr>
            <w:r>
              <w:rPr>
                <w:rFonts w:ascii="Arial" w:cs="Arial" w:eastAsia="Arial" w:hAnsi="Arial"/>
                <w:sz w:val="12"/>
                <w:szCs w:val="12"/>
                <w:color w:val="0000FF"/>
                <w:w w:val="81"/>
              </w:rPr>
              <w:t>F</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4"/>
              </w:rPr>
              <w:t>3,500</w:t>
            </w:r>
          </w:p>
        </w:tc>
        <w:tc>
          <w:tcPr>
            <w:tcW w:w="6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33.75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6,025.902</w:t>
            </w:r>
            <w:r>
              <w:rPr>
                <w:rFonts w:ascii="Arial" w:cs="Arial" w:eastAsia="Arial" w:hAnsi="Arial"/>
                <w:sz w:val="22"/>
                <w:szCs w:val="22"/>
                <w:color w:val="008000"/>
                <w:w w:val="85"/>
                <w:vertAlign w:val="superscript"/>
              </w:rPr>
              <w:t>(4)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60" w:type="dxa"/>
            <w:vAlign w:val="bottom"/>
            <w:gridSpan w:val="11"/>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vMerge w:val="restart"/>
          </w:tcPr>
          <w:p>
            <w:pPr>
              <w:jc w:val="right"/>
              <w:ind w:right="278"/>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600" w:type="dxa"/>
            <w:vAlign w:val="bottom"/>
            <w:vMerge w:val="restart"/>
          </w:tcPr>
          <w:p>
            <w:pPr>
              <w:jc w:val="right"/>
              <w:ind w:right="272"/>
              <w:spacing w:after="0"/>
              <w:rPr>
                <w:sz w:val="20"/>
                <w:szCs w:val="20"/>
                <w:color w:val="auto"/>
              </w:rPr>
            </w:pPr>
            <w:r>
              <w:rPr>
                <w:rFonts w:ascii="Arial" w:cs="Arial" w:eastAsia="Arial" w:hAnsi="Arial"/>
                <w:sz w:val="11"/>
                <w:szCs w:val="11"/>
                <w:color w:val="008000"/>
              </w:rPr>
              <w:t>(2)</w:t>
            </w:r>
          </w:p>
        </w:tc>
        <w:tc>
          <w:tcPr>
            <w:tcW w:w="680" w:type="dxa"/>
            <w:vAlign w:val="bottom"/>
          </w:tcPr>
          <w:p>
            <w:pPr>
              <w:jc w:val="center"/>
              <w:ind w:right="34"/>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72"/>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Comp</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80" w:type="dxa"/>
            <w:vAlign w:val="bottom"/>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2"/>
          </w:tcPr>
          <w:p>
            <w:pPr>
              <w:ind w:left="140"/>
              <w:spacing w:after="0" w:line="149" w:lineRule="exact"/>
              <w:rPr>
                <w:sz w:val="20"/>
                <w:szCs w:val="20"/>
                <w:color w:val="auto"/>
              </w:rPr>
            </w:pPr>
            <w:r>
              <w:rPr>
                <w:rFonts w:ascii="Arial" w:cs="Arial" w:eastAsia="Arial" w:hAnsi="Arial"/>
                <w:sz w:val="14"/>
                <w:szCs w:val="14"/>
                <w:color w:val="0000FF"/>
              </w:rPr>
              <w:t>5,738.4341</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jc w:val="center"/>
              <w:ind w:right="34"/>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3,500</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jc w:val="center"/>
              <w:ind w:righ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12/15/2010</w:t>
            </w:r>
          </w:p>
        </w:tc>
        <w:tc>
          <w:tcPr>
            <w:tcW w:w="1140" w:type="dxa"/>
            <w:vAlign w:val="bottom"/>
          </w:tcPr>
          <w:p>
            <w:pPr>
              <w:spacing w:after="0"/>
              <w:rPr>
                <w:sz w:val="5"/>
                <w:szCs w:val="5"/>
                <w:color w:val="auto"/>
              </w:rPr>
            </w:pPr>
          </w:p>
        </w:tc>
        <w:tc>
          <w:tcPr>
            <w:tcW w:w="64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J</w:t>
            </w:r>
          </w:p>
        </w:tc>
        <w:tc>
          <w:tcPr>
            <w:tcW w:w="18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3,500</w:t>
            </w:r>
          </w:p>
        </w:tc>
        <w:tc>
          <w:tcPr>
            <w:tcW w:w="320" w:type="dxa"/>
            <w:vAlign w:val="bottom"/>
          </w:tcPr>
          <w:p>
            <w:pPr>
              <w:spacing w:after="0"/>
              <w:rPr>
                <w:sz w:val="5"/>
                <w:szCs w:val="5"/>
                <w:color w:val="auto"/>
              </w:rPr>
            </w:pPr>
          </w:p>
        </w:tc>
        <w:tc>
          <w:tcPr>
            <w:tcW w:w="780" w:type="dxa"/>
            <w:vAlign w:val="bottom"/>
            <w:gridSpan w:val="2"/>
            <w:vMerge w:val="restart"/>
          </w:tcPr>
          <w:p>
            <w:pPr>
              <w:jc w:val="right"/>
              <w:ind w:right="38"/>
              <w:spacing w:after="0" w:line="149" w:lineRule="exact"/>
              <w:rPr>
                <w:sz w:val="20"/>
                <w:szCs w:val="20"/>
                <w:color w:val="auto"/>
              </w:rPr>
            </w:pPr>
            <w:r>
              <w:rPr>
                <w:rFonts w:ascii="Arial" w:cs="Arial" w:eastAsia="Arial" w:hAnsi="Arial"/>
                <w:sz w:val="14"/>
                <w:szCs w:val="14"/>
                <w:color w:val="0000FF"/>
                <w:w w:val="94"/>
              </w:rPr>
              <w:t>11/01/2010</w:t>
            </w:r>
          </w:p>
        </w:tc>
        <w:tc>
          <w:tcPr>
            <w:tcW w:w="780" w:type="dxa"/>
            <w:vAlign w:val="bottom"/>
            <w:gridSpan w:val="2"/>
            <w:vMerge w:val="restart"/>
          </w:tcPr>
          <w:p>
            <w:pPr>
              <w:jc w:val="right"/>
              <w:ind w:right="32"/>
              <w:spacing w:after="0" w:line="149" w:lineRule="exact"/>
              <w:rPr>
                <w:sz w:val="20"/>
                <w:szCs w:val="20"/>
                <w:color w:val="auto"/>
              </w:rPr>
            </w:pPr>
            <w:r>
              <w:rPr>
                <w:rFonts w:ascii="Arial" w:cs="Arial" w:eastAsia="Arial" w:hAnsi="Arial"/>
                <w:sz w:val="14"/>
                <w:szCs w:val="14"/>
                <w:color w:val="0000FF"/>
                <w:w w:val="94"/>
              </w:rPr>
              <w:t>11/01/2011</w:t>
            </w:r>
          </w:p>
        </w:tc>
        <w:tc>
          <w:tcPr>
            <w:tcW w:w="680" w:type="dxa"/>
            <w:vAlign w:val="bottom"/>
            <w:vMerge w:val="restart"/>
          </w:tcPr>
          <w:p>
            <w:pPr>
              <w:ind w:left="4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920" w:type="dxa"/>
            <w:vAlign w:val="bottom"/>
            <w:gridSpan w:val="2"/>
            <w:vMerge w:val="restart"/>
          </w:tcPr>
          <w:p>
            <w:pPr>
              <w:ind w:left="140"/>
              <w:spacing w:after="0" w:line="149" w:lineRule="exact"/>
              <w:rPr>
                <w:sz w:val="20"/>
                <w:szCs w:val="20"/>
                <w:color w:val="auto"/>
              </w:rPr>
            </w:pPr>
            <w:r>
              <w:rPr>
                <w:rFonts w:ascii="Arial" w:cs="Arial" w:eastAsia="Arial" w:hAnsi="Arial"/>
                <w:sz w:val="14"/>
                <w:szCs w:val="14"/>
                <w:color w:val="0000FF"/>
              </w:rPr>
              <w:t>5,738.4341</w:t>
            </w: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of Class A Common Stock purchased under the issuer's 401(K) payroll deduction plan.</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 of Brady Corporation.</w:t>
      </w:r>
    </w:p>
    <w:p>
      <w:pPr>
        <w:ind w:left="40" w:right="4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15, 2010 Ms. Johnson did a "net exercise" of 3,500 stock options (each with an expiration date of November 1, 2011). In that "net exercise," Ms. Johnson acquired 3,500 shares of common stock. The number of shares was net the amount of shares that Brady withheld for the payment of the options' exercise price and taxes incident to the exercise.</w:t>
      </w:r>
    </w:p>
    <w:p>
      <w:pPr>
        <w:sectPr>
          <w:pgSz w:w="11900" w:h="16838" w:orient="portrait"/>
          <w:cols w:equalWidth="0" w:num="1">
            <w:col w:w="1152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4"/>
          <w:szCs w:val="14"/>
          <w:color w:val="008000"/>
        </w:rPr>
        <w:t>4. Since the 3,500 shares were purchased and sold on the same day, Ms. Johnson's net number of shares owned remains the same.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Krista Ebbens,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12/17/2010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50692"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2019-12-18T15:50:26Z</dcterms:created>
  <dcterms:modified xsi:type="dcterms:W3CDTF">2019-12-18T15:50:26Z</dcterms:modified>
</cp:coreProperties>
</file>