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-241935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24765</wp:posOffset>
            </wp:positionV>
            <wp:extent cx="6989445" cy="5153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15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Nargolwala Vineet A</w:t>
        </w:r>
      </w:hyperlink>
    </w:p>
    <w:p>
      <w:pPr>
        <w:spacing w:after="0" w:line="3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 LYNBROOK ROAD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SOUTHBOROUGH MA</w:t>
            </w:r>
          </w:p>
        </w:tc>
        <w:tc>
          <w:tcPr>
            <w:tcW w:w="1520" w:type="dxa"/>
            <w:vAlign w:val="bottom"/>
          </w:tcPr>
          <w:p>
            <w:pPr>
              <w:jc w:val="right"/>
              <w:ind w:right="5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01772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3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BRADY CORP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BRC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80"/>
              <w:spacing w:after="0" w:line="1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14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10/02/2023</w:t>
            </w: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2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2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3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Indirect (I)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10/02/2023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2,126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54.8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7,293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Compensation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6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2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220" w:firstLine="7"/>
        <w:spacing w:after="0" w:line="266" w:lineRule="auto"/>
        <w:tabs>
          <w:tab w:leader="none" w:pos="17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owner acquired 2,126 unrestricted shares of Class A Common Stock as compensation for their services as a member of the Board of Directors. Reporting owner has elected to defer the stock into his Brady Corporation Deferred Compensation account.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Heidi Knueppel, Attorney-In-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3"/>
          <w:szCs w:val="23"/>
          <w:color w:val="0000FF"/>
          <w:vertAlign w:val="subscript"/>
        </w:rPr>
        <w:t>10/03/2023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11430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076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2023-10-03T13:48:54Z</dcterms:created>
  <dcterms:modified xsi:type="dcterms:W3CDTF">2023-10-03T13:48:54Z</dcterms:modified>
</cp:coreProperties>
</file>