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Bem David Stanley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02/18/2019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BRC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547 NORMANDY 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PITTSBURGH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PA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15238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 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2,341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96"/>
              </w:rPr>
              <w:t>1. Represents unrestricted shares of Class A Common Stock acquired as equity grant on 02/18/2019.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02/25/2019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9"/>
                <w:szCs w:val="9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Instruction 5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Director of Brady Corporation, a Wisconsin corporation (the "Corporation"), hereby constitute and appoint Aaron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Director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520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</w:t>
      </w:r>
    </w:p>
    <w:p>
      <w:pPr>
        <w:ind w:left="8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hereunto sets his or her hand this 18th day of February 2019.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/s/David Bem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David Bem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Director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68668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2019-12-23T15:01:14Z</dcterms:created>
  <dcterms:modified xsi:type="dcterms:W3CDTF">2019-12-23T15:01:14Z</dcterms:modified>
</cp:coreProperties>
</file>