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87630</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03"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160" w:type="dxa"/>
            <w:vAlign w:val="bottom"/>
          </w:tcPr>
          <w:p>
            <w:pPr>
              <w:spacing w:after="0"/>
              <w:rPr>
                <w:sz w:val="20"/>
                <w:szCs w:val="20"/>
                <w:color w:val="auto"/>
              </w:rPr>
            </w:pPr>
          </w:p>
        </w:tc>
      </w:tr>
      <w:tr>
        <w:trPr>
          <w:trHeight w:val="396"/>
        </w:trPr>
        <w:tc>
          <w:tcPr>
            <w:tcW w:w="6320" w:type="dxa"/>
            <w:vAlign w:val="bottom"/>
            <w:gridSpan w:val="3"/>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16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88"/>
        </w:trPr>
        <w:tc>
          <w:tcPr>
            <w:tcW w:w="6320" w:type="dxa"/>
            <w:vAlign w:val="bottom"/>
            <w:gridSpan w:val="3"/>
          </w:tcPr>
          <w:p>
            <w:pPr>
              <w:jc w:val="center"/>
              <w:ind w:right="28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160" w:type="dxa"/>
            <w:vAlign w:val="bottom"/>
          </w:tcPr>
          <w:p>
            <w:pPr>
              <w:jc w:val="center"/>
              <w:ind w:left="9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06"/>
        </w:trPr>
        <w:tc>
          <w:tcPr>
            <w:tcW w:w="332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16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160" w:type="dxa"/>
            <w:vAlign w:val="bottom"/>
          </w:tcPr>
          <w:p>
            <w:pPr>
              <w:spacing w:after="0"/>
              <w:rPr>
                <w:sz w:val="18"/>
                <w:szCs w:val="18"/>
                <w:color w:val="auto"/>
              </w:rPr>
            </w:pPr>
          </w:p>
        </w:tc>
      </w:tr>
      <w:tr>
        <w:trPr>
          <w:trHeight w:val="18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2160" w:type="dxa"/>
            <w:vAlign w:val="bottom"/>
          </w:tcPr>
          <w:p>
            <w:pPr>
              <w:spacing w:after="0"/>
              <w:rPr>
                <w:sz w:val="16"/>
                <w:szCs w:val="16"/>
                <w:color w:val="auto"/>
              </w:rPr>
            </w:pPr>
          </w:p>
        </w:tc>
      </w:tr>
      <w:tr>
        <w:trPr>
          <w:trHeight w:val="365"/>
        </w:trPr>
        <w:tc>
          <w:tcPr>
            <w:tcW w:w="5820" w:type="dxa"/>
            <w:vAlign w:val="bottom"/>
            <w:gridSpan w:val="2"/>
          </w:tcPr>
          <w:p>
            <w:pPr>
              <w:jc w:val="center"/>
              <w:ind w:left="325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88"/>
        </w:trPr>
        <w:tc>
          <w:tcPr>
            <w:tcW w:w="332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(Registrant’s Telephone Number)</w:t>
            </w:r>
          </w:p>
        </w:tc>
        <w:tc>
          <w:tcPr>
            <w:tcW w:w="2160" w:type="dxa"/>
            <w:vAlign w:val="bottom"/>
          </w:tcPr>
          <w:p>
            <w:pPr>
              <w:spacing w:after="0"/>
              <w:rPr>
                <w:sz w:val="16"/>
                <w:szCs w:val="16"/>
                <w:color w:val="auto"/>
              </w:rPr>
            </w:pPr>
          </w:p>
        </w:tc>
      </w:tr>
      <w:tr>
        <w:trPr>
          <w:trHeight w:val="91"/>
        </w:trPr>
        <w:tc>
          <w:tcPr>
            <w:tcW w:w="332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160" w:type="dxa"/>
            <w:vAlign w:val="bottom"/>
          </w:tcPr>
          <w:p>
            <w:pPr>
              <w:spacing w:after="0"/>
              <w:rPr>
                <w:sz w:val="7"/>
                <w:szCs w:val="7"/>
                <w:color w:val="auto"/>
              </w:rPr>
            </w:pPr>
          </w:p>
        </w:tc>
      </w:tr>
    </w:tbl>
    <w:p>
      <w:pPr>
        <w:spacing w:after="0" w:line="23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21" w:lineRule="exact"/>
        <w:rPr>
          <w:sz w:val="24"/>
          <w:szCs w:val="24"/>
          <w:color w:val="auto"/>
        </w:rPr>
      </w:pPr>
    </w:p>
    <w:p>
      <w:pPr>
        <w:jc w:val="both"/>
        <w:ind w:right="2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7" w:right="319" w:bottom="1440" w:gutter="0" w:footer="0" w:header="0"/>
        </w:sectPr>
      </w:pPr>
    </w:p>
    <w:bookmarkStart w:id="1" w:name="page2"/>
    <w:bookmarkEnd w:id="1"/>
    <w:p>
      <w:pPr>
        <w:ind w:left="20"/>
        <w:spacing w:after="0"/>
        <w:tabs>
          <w:tab w:leader="none" w:pos="1380" w:val="left"/>
        </w:tabs>
        <w:rPr>
          <w:sz w:val="20"/>
          <w:szCs w:val="20"/>
          <w:color w:val="auto"/>
        </w:rPr>
      </w:pPr>
      <w:r>
        <w:rPr>
          <w:rFonts w:ascii="Times New Roman" w:cs="Times New Roman" w:eastAsia="Times New Roman" w:hAnsi="Times New Roman"/>
          <w:sz w:val="18"/>
          <w:szCs w:val="18"/>
          <w:color w:val="auto"/>
        </w:rPr>
        <w:t>Item 5.07</w:t>
      </w:r>
      <w:r>
        <w:rPr>
          <w:sz w:val="20"/>
          <w:szCs w:val="20"/>
          <w:color w:val="auto"/>
        </w:rPr>
        <w:tab/>
      </w:r>
      <w:r>
        <w:rPr>
          <w:rFonts w:ascii="Times New Roman" w:cs="Times New Roman" w:eastAsia="Times New Roman" w:hAnsi="Times New Roman"/>
          <w:sz w:val="17"/>
          <w:szCs w:val="17"/>
          <w:color w:val="auto"/>
        </w:rPr>
        <w:t>SUBMISSIONS OF MATTERS TO A VOTE OF SECURITY HOLDERS</w:t>
      </w:r>
    </w:p>
    <w:p>
      <w:pPr>
        <w:spacing w:after="0" w:line="3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4, 2024, at the Annual Shareholders’ Meeting of Brady Corporation (the “Company”), the holders of all of the 3,538,628 shares of the Company’s Class B Common Stock voted unanimously in favor of electing the following persons to serve as the Company’s directors until the Company’s next annual meeting of shareholders and until their successors have been elected: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W. Allender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 Bem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P. Bruno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Joanne Collins Smee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Deidre E. Cusack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M. Hix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Vineet Nargolwala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C. Richardson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Russell R. Shaller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E. Williams</w:t>
      </w: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1380" w:val="left"/>
        </w:tabs>
        <w:rPr>
          <w:sz w:val="20"/>
          <w:szCs w:val="20"/>
          <w:color w:val="auto"/>
        </w:rPr>
      </w:pPr>
      <w:r>
        <w:rPr>
          <w:rFonts w:ascii="Times New Roman" w:cs="Times New Roman" w:eastAsia="Times New Roman" w:hAnsi="Times New Roman"/>
          <w:sz w:val="18"/>
          <w:szCs w:val="18"/>
          <w:color w:val="auto"/>
        </w:rPr>
        <w:t>Item 8.01</w:t>
      </w:r>
      <w:r>
        <w:rPr>
          <w:sz w:val="20"/>
          <w:szCs w:val="20"/>
          <w:color w:val="auto"/>
        </w:rPr>
        <w:tab/>
      </w:r>
      <w:r>
        <w:rPr>
          <w:rFonts w:ascii="Times New Roman" w:cs="Times New Roman" w:eastAsia="Times New Roman" w:hAnsi="Times New Roman"/>
          <w:sz w:val="18"/>
          <w:szCs w:val="18"/>
          <w:color w:val="auto"/>
        </w:rPr>
        <w:t>OTHER EVENTS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3, 2024, the Company’s Board of Directors declared a quarterly cash dividend to holders of the Company’s Class A and Class B Common Stock of $0.24 per share, payable on January 31, 2025 to shareholders of record at the close of business on January 10, 2025. On December 4, 2024, the Company issued a press release announcing the declaration of the quarterly cash dividend.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9.01</w:t>
            </w:r>
          </w:p>
        </w:tc>
        <w:tc>
          <w:tcPr>
            <w:tcW w:w="9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STATEMENTS AND EXHIBITS</w:t>
            </w:r>
          </w:p>
        </w:tc>
        <w:tc>
          <w:tcPr>
            <w:tcW w:w="0" w:type="dxa"/>
            <w:vAlign w:val="bottom"/>
          </w:tcPr>
          <w:p>
            <w:pPr>
              <w:spacing w:after="0"/>
              <w:rPr>
                <w:sz w:val="1"/>
                <w:szCs w:val="1"/>
                <w:color w:val="auto"/>
              </w:rPr>
            </w:pPr>
          </w:p>
        </w:tc>
      </w:tr>
      <w:tr>
        <w:trPr>
          <w:trHeight w:val="55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7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7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9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77"/>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Brady Corporation, dated December 4, 2024, announcing the election of the Board of Directors and declaration of the</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1740" w:type="dxa"/>
            <w:vAlign w:val="bottom"/>
            <w:tcBorders>
              <w:top w:val="single" w:sz="8" w:color="0000FF"/>
            </w:tcBorders>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9"/>
              </w:rPr>
              <w:t>quarterly cash dividend.</w:t>
            </w:r>
          </w:p>
        </w:tc>
        <w:tc>
          <w:tcPr>
            <w:tcW w:w="8060" w:type="dxa"/>
            <w:vAlign w:val="bottom"/>
            <w:tcBorders>
              <w:top w:val="single" w:sz="8" w:color="0000FF"/>
            </w:tcBorders>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1400" w:type="dxa"/>
            <w:vAlign w:val="bottom"/>
          </w:tcPr>
          <w:p>
            <w:pPr>
              <w:spacing w:after="0"/>
              <w:rPr>
                <w:sz w:val="4"/>
                <w:szCs w:val="4"/>
                <w:color w:val="auto"/>
              </w:rPr>
            </w:pPr>
          </w:p>
        </w:tc>
        <w:tc>
          <w:tcPr>
            <w:tcW w:w="1740" w:type="dxa"/>
            <w:vAlign w:val="bottom"/>
            <w:tcBorders>
              <w:bottom w:val="single" w:sz="8" w:color="0000FF"/>
            </w:tcBorders>
            <w:vMerge w:val="continue"/>
          </w:tcPr>
          <w:p>
            <w:pPr>
              <w:spacing w:after="0"/>
              <w:rPr>
                <w:sz w:val="4"/>
                <w:szCs w:val="4"/>
                <w:color w:val="auto"/>
              </w:rPr>
            </w:pPr>
          </w:p>
        </w:tc>
        <w:tc>
          <w:tcPr>
            <w:tcW w:w="806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4, 2024</w:t>
      </w:r>
    </w:p>
    <w:p>
      <w:pPr>
        <w:spacing w:after="0" w:line="29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17145</wp:posOffset>
            </wp:positionV>
            <wp:extent cx="2408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Ann E. Thornton</w:t>
      </w:r>
    </w:p>
    <w:p>
      <w:pPr>
        <w:spacing w:after="0" w:line="1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 Chief Accounting Officer</w:t>
      </w:r>
    </w:p>
    <w:p>
      <w:pPr>
        <w:ind w:left="7460"/>
        <w:spacing w:after="0"/>
        <w:rPr>
          <w:sz w:val="20"/>
          <w:szCs w:val="20"/>
          <w:color w:val="auto"/>
        </w:rPr>
      </w:pPr>
      <w:r>
        <w:rPr>
          <w:rFonts w:ascii="Times New Roman" w:cs="Times New Roman" w:eastAsia="Times New Roman" w:hAnsi="Times New Roman"/>
          <w:sz w:val="18"/>
          <w:szCs w:val="18"/>
          <w:color w:val="auto"/>
        </w:rPr>
        <w:t>and Treasurer</w:t>
      </w:r>
    </w:p>
    <w:p>
      <w:pPr>
        <w:sectPr>
          <w:pgSz w:w="11900" w:h="16838" w:orient="portrait"/>
          <w:cols w:equalWidth="0" w:num="1">
            <w:col w:w="11240"/>
          </w:cols>
          <w:pgMar w:left="320" w:top="931"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 More Information:</w:t>
      </w:r>
    </w:p>
    <w:p>
      <w:pPr>
        <w:spacing w:after="0" w:line="233" w:lineRule="auto"/>
        <w:rPr>
          <w:sz w:val="20"/>
          <w:szCs w:val="20"/>
          <w:color w:val="auto"/>
        </w:rPr>
      </w:pPr>
      <w:r>
        <w:rPr>
          <w:rFonts w:ascii="Times New Roman" w:cs="Times New Roman" w:eastAsia="Times New Roman" w:hAnsi="Times New Roman"/>
          <w:sz w:val="20"/>
          <w:szCs w:val="20"/>
          <w:color w:val="auto"/>
        </w:rPr>
        <w:t>Investor contact: Ann Thornton 414-438-6887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 contact: Kate Venne 414-358-5176</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Brady Corporation elects Board of Directors and declares regular dividend to shareholders</w:t>
      </w:r>
    </w:p>
    <w:p>
      <w:pPr>
        <w:spacing w:after="0" w:line="274"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20"/>
          <w:szCs w:val="20"/>
          <w:color w:val="auto"/>
        </w:rPr>
        <w:t>MILWAUKEE (December 4, 2024) -- Brady Corporation (NYSE: BRC) (“Company”) announced that shareholders of the Company’s Class B Common Voting Stock have voted unanimously in favor of the election of the director nominees to a one-year term at the Company’s annual meeting of shareholders held today in Milwaukee.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Elected to the Brady Corporation Board of Directors are:</w:t>
      </w:r>
    </w:p>
    <w:p>
      <w:pPr>
        <w:spacing w:after="0" w:line="67"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Patrick W. Allender, Executive Vice President and Chief Financial Officer (Retired), Danaher Corporation</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 David S. Bem, Vice President of Science and Technology and Chief Technology Officer, PPG Industries, Inc.</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 Elizabeth P. Bruno, President, Brady Education Foundation</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Joanne Collins Smee, Executive Vice President and President of the Americas (Retired), Xerox Corporation</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Deidre E. Cusack, Executive Vice President of Global Products &amp; Solutions (Retired), Dematic</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Christopher M. Hix, Chief Financial Officer (Retired), Enovis Corporation</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Vineet Nargolwala, President, CEO and a director, Allegro MicroSystems, Inc.</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Bradley C. Richardson, Executive Vice President and Chief Financial Officer (Retired), Avient Corporation</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 Michelle E. Williams, Global Group President (Retired), Altuglas International, an affiliate of Arkema S.A.</w:t>
      </w:r>
    </w:p>
    <w:p>
      <w:pPr>
        <w:spacing w:after="0" w:line="6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Russell R. Shaller, President and Chief Executive Officer, Brady Corporation.</w:t>
      </w:r>
    </w:p>
    <w:p>
      <w:pPr>
        <w:spacing w:after="0" w:line="310" w:lineRule="exact"/>
        <w:rPr>
          <w:sz w:val="20"/>
          <w:szCs w:val="20"/>
          <w:color w:val="auto"/>
        </w:rPr>
      </w:pPr>
    </w:p>
    <w:p>
      <w:pPr>
        <w:ind w:right="280" w:firstLine="648"/>
        <w:spacing w:after="0" w:line="370" w:lineRule="auto"/>
        <w:rPr>
          <w:sz w:val="20"/>
          <w:szCs w:val="20"/>
          <w:color w:val="auto"/>
        </w:rPr>
      </w:pPr>
      <w:r>
        <w:rPr>
          <w:rFonts w:ascii="Times New Roman" w:cs="Times New Roman" w:eastAsia="Times New Roman" w:hAnsi="Times New Roman"/>
          <w:sz w:val="19"/>
          <w:szCs w:val="19"/>
          <w:color w:val="auto"/>
        </w:rPr>
        <w:t>At the Board of Directors meeting on December 3, 2024, the Board declared a dividend to shareholders of the Company's Class A Common Stock of $0.24 per share, payable on January 31, 2025, to shareholders of record at the close of business on January 10, 2025.</w:t>
      </w:r>
    </w:p>
    <w:p>
      <w:pPr>
        <w:spacing w:after="0" w:line="163" w:lineRule="exact"/>
        <w:rPr>
          <w:sz w:val="20"/>
          <w:szCs w:val="20"/>
          <w:color w:val="auto"/>
        </w:rPr>
      </w:pPr>
    </w:p>
    <w:p>
      <w:pPr>
        <w:ind w:right="40" w:firstLine="648"/>
        <w:spacing w:after="0" w:line="314" w:lineRule="auto"/>
        <w:rPr>
          <w:sz w:val="20"/>
          <w:szCs w:val="20"/>
          <w:color w:val="auto"/>
        </w:rPr>
      </w:pPr>
      <w:r>
        <w:rPr>
          <w:rFonts w:ascii="Times New Roman" w:cs="Times New Roman" w:eastAsia="Times New Roman" w:hAnsi="Times New Roman"/>
          <w:sz w:val="20"/>
          <w:szCs w:val="20"/>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2024, employed approximately 5,700 people in its worldwide businesses. Brady’s fiscal 2024 sales were approximately $1.34 billion. Brady stock trades on the New York Stock Exchange under the symbol BRC. More information is available at </w:t>
      </w:r>
      <w:r>
        <w:rPr>
          <w:rFonts w:ascii="Times New Roman" w:cs="Times New Roman" w:eastAsia="Times New Roman" w:hAnsi="Times New Roman"/>
          <w:sz w:val="20"/>
          <w:szCs w:val="20"/>
          <w:u w:val="single" w:color="auto"/>
          <w:color w:val="0000FF"/>
        </w:rPr>
        <w:t>www.bradyid.com</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2024-12-04T16:15:55Z</dcterms:created>
  <dcterms:modified xsi:type="dcterms:W3CDTF">2024-12-04T16:15:55Z</dcterms:modified>
</cp:coreProperties>
</file>