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210185</wp:posOffset>
            </wp:positionV>
            <wp:extent cx="15093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3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186690</wp:posOffset>
            </wp:positionV>
            <wp:extent cx="15093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34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Date of Report (Date of earliest event reported): September 30,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224155</wp:posOffset>
            </wp:positionV>
            <wp:extent cx="15093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167640</wp:posOffset>
            </wp:positionV>
            <wp:extent cx="15093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1-14959</w:t>
      </w:r>
    </w:p>
    <w:p>
      <w:pPr>
        <w:sectPr>
          <w:pgSz w:w="11900" w:h="16838" w:orient="portrait"/>
          <w:cols w:equalWidth="0" w:num="1">
            <w:col w:w="11400"/>
          </w:cols>
          <w:pgMar w:left="240" w:top="733" w:right="259" w:bottom="1440" w:gutter="0" w:footer="0" w:header="0"/>
        </w:sectPr>
      </w:pPr>
    </w:p>
    <w:p>
      <w:pPr>
        <w:spacing w:after="0" w:line="200" w:lineRule="exact"/>
        <w:rPr>
          <w:sz w:val="24"/>
          <w:szCs w:val="24"/>
          <w:color w:val="auto"/>
        </w:rPr>
      </w:pPr>
    </w:p>
    <w:p>
      <w:pPr>
        <w:spacing w:after="0" w:line="295" w:lineRule="exact"/>
        <w:rPr>
          <w:sz w:val="24"/>
          <w:szCs w:val="24"/>
          <w:color w:val="auto"/>
        </w:rPr>
      </w:pPr>
    </w:p>
    <w:p>
      <w:pPr>
        <w:ind w:left="256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39-0971239</w:t>
      </w:r>
    </w:p>
    <w:p>
      <w:pPr>
        <w:spacing w:after="0" w:line="82" w:lineRule="exact"/>
        <w:rPr>
          <w:sz w:val="24"/>
          <w:szCs w:val="24"/>
          <w:color w:val="auto"/>
        </w:rPr>
      </w:pPr>
    </w:p>
    <w:p>
      <w:pPr>
        <w:sectPr>
          <w:pgSz w:w="11900" w:h="16838" w:orient="portrait"/>
          <w:cols w:equalWidth="0" w:num="2">
            <w:col w:w="7380" w:space="720"/>
            <w:col w:w="3300"/>
          </w:cols>
          <w:pgMar w:left="240" w:top="733" w:right="259" w:bottom="1440" w:gutter="0" w:footer="0" w:header="0"/>
          <w:type w:val="continuous"/>
        </w:sectPr>
      </w:pPr>
    </w:p>
    <w:p>
      <w:pPr>
        <w:jc w:val="center"/>
        <w:ind w:right="1320"/>
        <w:spacing w:after="0"/>
        <w:rPr>
          <w:sz w:val="20"/>
          <w:szCs w:val="20"/>
          <w:color w:val="auto"/>
        </w:rPr>
      </w:pPr>
      <w:r>
        <w:rPr>
          <w:rFonts w:ascii="Arial" w:cs="Arial" w:eastAsia="Arial" w:hAnsi="Arial"/>
          <w:sz w:val="14"/>
          <w:szCs w:val="14"/>
          <w:b w:val="1"/>
          <w:bCs w:val="1"/>
          <w:color w:val="auto"/>
        </w:rPr>
        <w:t>(State of</w:t>
      </w:r>
    </w:p>
    <w:p>
      <w:pPr>
        <w:spacing w:after="0" w:line="4" w:lineRule="exact"/>
        <w:rPr>
          <w:sz w:val="24"/>
          <w:szCs w:val="24"/>
          <w:color w:val="auto"/>
        </w:rPr>
      </w:pPr>
    </w:p>
    <w:p>
      <w:pPr>
        <w:jc w:val="center"/>
        <w:ind w:right="1320"/>
        <w:spacing w:after="0"/>
        <w:rPr>
          <w:sz w:val="20"/>
          <w:szCs w:val="20"/>
          <w:color w:val="auto"/>
        </w:rPr>
      </w:pPr>
      <w:r>
        <w:rPr>
          <w:rFonts w:ascii="Arial" w:cs="Arial" w:eastAsia="Arial" w:hAnsi="Arial"/>
          <w:sz w:val="13"/>
          <w:szCs w:val="13"/>
          <w:b w:val="1"/>
          <w:bCs w:val="1"/>
          <w:color w:val="auto"/>
        </w:rPr>
        <w:t>Incorporation)</w:t>
      </w:r>
    </w:p>
    <w:p>
      <w:pPr>
        <w:spacing w:after="0" w:line="20" w:lineRule="exact"/>
        <w:rPr>
          <w:sz w:val="24"/>
          <w:szCs w:val="24"/>
          <w:color w:val="auto"/>
        </w:rPr>
      </w:pPr>
      <w:r>
        <w:rPr>
          <w:sz w:val="24"/>
          <w:szCs w:val="24"/>
          <w:color w:val="auto"/>
        </w:rPr>
        <w:br w:type="column"/>
      </w:r>
    </w:p>
    <w:p>
      <w:pPr>
        <w:jc w:val="center"/>
        <w:ind w:right="230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300"/>
        <w:spacing w:after="0"/>
        <w:rPr>
          <w:sz w:val="20"/>
          <w:szCs w:val="20"/>
          <w:color w:val="auto"/>
        </w:rPr>
      </w:pPr>
      <w:r>
        <w:rPr>
          <w:rFonts w:ascii="Arial" w:cs="Arial" w:eastAsia="Arial" w:hAnsi="Arial"/>
          <w:sz w:val="13"/>
          <w:szCs w:val="13"/>
          <w:b w:val="1"/>
          <w:bCs w:val="1"/>
          <w:color w:val="auto"/>
        </w:rPr>
        <w:t>Identification No.)</w:t>
      </w:r>
    </w:p>
    <w:p>
      <w:pPr>
        <w:spacing w:after="0" w:line="21" w:lineRule="exact"/>
        <w:rPr>
          <w:sz w:val="24"/>
          <w:szCs w:val="24"/>
          <w:color w:val="auto"/>
        </w:rPr>
      </w:pPr>
    </w:p>
    <w:p>
      <w:pPr>
        <w:sectPr>
          <w:pgSz w:w="11900" w:h="16838" w:orient="portrait"/>
          <w:cols w:equalWidth="0" w:num="2">
            <w:col w:w="7240" w:space="720"/>
            <w:col w:w="3440"/>
          </w:cols>
          <w:pgMar w:left="240" w:top="733" w:right="259" w:bottom="1440" w:gutter="0" w:footer="0" w:header="0"/>
          <w:type w:val="continuous"/>
        </w:sectPr>
      </w:pPr>
    </w:p>
    <w:p>
      <w:pPr>
        <w:ind w:left="4640"/>
        <w:spacing w:after="0"/>
        <w:rPr>
          <w:sz w:val="20"/>
          <w:szCs w:val="20"/>
          <w:color w:val="auto"/>
        </w:rPr>
      </w:pPr>
      <w:r>
        <w:rPr>
          <w:rFonts w:ascii="Arial" w:cs="Arial" w:eastAsia="Arial" w:hAnsi="Arial"/>
          <w:sz w:val="18"/>
          <w:szCs w:val="18"/>
          <w:b w:val="1"/>
          <w:bCs w:val="1"/>
          <w:color w:val="auto"/>
        </w:rPr>
        <w:t>6555 West Good Hope Road</w:t>
      </w:r>
    </w:p>
    <w:p>
      <w:pPr>
        <w:spacing w:after="0" w:line="21"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Milwaukee, Wisconsin 53223</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of Principal Executive Offices and Zip Code)</w:t>
      </w:r>
    </w:p>
    <w:p>
      <w:pPr>
        <w:spacing w:after="0" w:line="1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(414) 358-6600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194945</wp:posOffset>
            </wp:positionV>
            <wp:extent cx="15093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ectPr>
          <w:pgSz w:w="11900" w:h="16838" w:orient="portrait"/>
          <w:cols w:equalWidth="0" w:num="1">
            <w:col w:w="11400"/>
          </w:cols>
          <w:pgMar w:left="240" w:top="733" w:right="259" w:bottom="1440" w:gutter="0" w:footer="0" w:header="0"/>
          <w:type w:val="continuous"/>
        </w:sectPr>
      </w:pPr>
    </w:p>
    <w:p>
      <w:pPr>
        <w:spacing w:after="0" w:line="38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700" w:hanging="665"/>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00" w:hanging="665"/>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700" w:hanging="665"/>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right="2660" w:firstLine="35"/>
        <w:spacing w:after="0" w:line="415" w:lineRule="auto"/>
        <w:tabs>
          <w:tab w:leader="none" w:pos="68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9"/>
        </w:trPr>
        <w:tc>
          <w:tcPr>
            <w:tcW w:w="5980" w:type="dxa"/>
            <w:vAlign w:val="bottom"/>
            <w:tcBorders>
              <w:top w:val="single" w:sz="8" w:color="auto"/>
              <w:left w:val="single" w:sz="8" w:color="auto"/>
              <w:right w:val="single" w:sz="8" w:color="auto"/>
            </w:tcBorders>
          </w:tcPr>
          <w:p>
            <w:pPr>
              <w:spacing w:after="0"/>
              <w:rPr>
                <w:sz w:val="19"/>
                <w:szCs w:val="19"/>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Trading</w:t>
            </w:r>
          </w:p>
        </w:tc>
        <w:tc>
          <w:tcPr>
            <w:tcW w:w="3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5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w:t>
            </w: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7"/>
        </w:trPr>
        <w:tc>
          <w:tcPr>
            <w:tcW w:w="59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tcPr>
          <w:p>
            <w:pPr>
              <w:spacing w:after="0"/>
              <w:rPr>
                <w:sz w:val="2"/>
                <w:szCs w:val="2"/>
                <w:color w:val="auto"/>
              </w:rPr>
            </w:pPr>
          </w:p>
        </w:tc>
      </w:tr>
      <w:tr>
        <w:trPr>
          <w:trHeight w:val="237"/>
        </w:trPr>
        <w:tc>
          <w:tcPr>
            <w:tcW w:w="5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Class A Nonvoting Common Stock, par value $0.01 per share</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BRC</w:t>
            </w: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59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tcPr>
          <w:p>
            <w:pPr>
              <w:spacing w:after="0"/>
              <w:rPr>
                <w:sz w:val="2"/>
                <w:szCs w:val="2"/>
                <w:color w:val="auto"/>
              </w:rPr>
            </w:pPr>
          </w:p>
        </w:tc>
      </w:tr>
    </w:tbl>
    <w:p>
      <w:pPr>
        <w:spacing w:after="0" w:line="6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or the Securities Exchange Act of 1934 (17 CFR 240.12b-2).</w:t>
      </w:r>
    </w:p>
    <w:p>
      <w:pPr>
        <w:spacing w:after="0" w:line="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6" w:lineRule="exact"/>
        <w:rPr>
          <w:sz w:val="24"/>
          <w:szCs w:val="24"/>
          <w:color w:val="auto"/>
        </w:rPr>
      </w:pPr>
    </w:p>
    <w:p>
      <w:pPr>
        <w:ind w:right="4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00"/>
          </w:cols>
          <w:pgMar w:left="240" w:top="733" w:right="259" w:bottom="1440" w:gutter="0" w:footer="0" w:header="0"/>
          <w:type w:val="continuous"/>
        </w:sectPr>
      </w:pPr>
    </w:p>
    <w:bookmarkStart w:id="1" w:name="page2"/>
    <w:bookmarkEnd w:id="1"/>
    <w:p>
      <w:pPr>
        <w:ind w:left="912" w:right="520" w:hanging="890"/>
        <w:spacing w:after="0" w:line="260" w:lineRule="auto"/>
        <w:tabs>
          <w:tab w:leader="none" w:pos="892" w:val="left"/>
        </w:tabs>
        <w:rPr>
          <w:sz w:val="20"/>
          <w:szCs w:val="20"/>
          <w:color w:val="auto"/>
        </w:rPr>
      </w:pPr>
      <w:r>
        <w:rPr>
          <w:rFonts w:ascii="Arial" w:cs="Arial" w:eastAsia="Arial" w:hAnsi="Arial"/>
          <w:sz w:val="18"/>
          <w:szCs w:val="18"/>
          <w:color w:val="auto"/>
        </w:rPr>
        <w:t>Item 5.02</w:t>
      </w:r>
      <w:r>
        <w:rPr>
          <w:sz w:val="20"/>
          <w:szCs w:val="20"/>
          <w:color w:val="auto"/>
        </w:rPr>
        <w:tab/>
      </w:r>
      <w:r>
        <w:rPr>
          <w:rFonts w:ascii="Arial" w:cs="Arial" w:eastAsia="Arial" w:hAnsi="Arial"/>
          <w:sz w:val="20"/>
          <w:szCs w:val="20"/>
          <w:color w:val="auto"/>
        </w:rPr>
        <w:t>DEPARTURE OF DIRECTORS OR CERTAIN OFFICERS; ELECTION OF DIRECTORS; APPOINTMENT OF CERTAIN OFFICERS; COMPENSATORY ARRANGEMENTS OF CERTAIN OFFICERS</w:t>
      </w:r>
    </w:p>
    <w:p>
      <w:pPr>
        <w:spacing w:after="0" w:line="206" w:lineRule="exact"/>
        <w:rPr>
          <w:sz w:val="20"/>
          <w:szCs w:val="20"/>
          <w:color w:val="auto"/>
        </w:rPr>
      </w:pPr>
    </w:p>
    <w:p>
      <w:pPr>
        <w:ind w:left="-8" w:firstLine="8"/>
        <w:spacing w:after="0" w:line="277" w:lineRule="auto"/>
        <w:tabs>
          <w:tab w:leader="none" w:pos="382"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September 30, 2019, Louis T. Bolognini, Senior Vice President, General Counsel and Secretary of Brady Corporation (the "Company"), informed the Company of his intent to retire effective April 3, 2020.</w:t>
      </w:r>
    </w:p>
    <w:p>
      <w:pPr>
        <w:sectPr>
          <w:pgSz w:w="11900" w:h="16838" w:orient="portrait"/>
          <w:cols w:equalWidth="0" w:num="1">
            <w:col w:w="11412"/>
          </w:cols>
          <w:pgMar w:left="248" w:top="74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BRADY CORPORATION</w:t>
      </w:r>
    </w:p>
    <w:p>
      <w:pPr>
        <w:spacing w:after="0" w:line="387"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October 1, 2019</w:t>
      </w:r>
      <w:r>
        <w:rPr>
          <w:sz w:val="20"/>
          <w:szCs w:val="20"/>
          <w:color w:val="auto"/>
        </w:rPr>
        <w:tab/>
      </w:r>
      <w:r>
        <w:rPr>
          <w:rFonts w:ascii="Arial" w:cs="Arial" w:eastAsia="Arial" w:hAnsi="Arial"/>
          <w:sz w:val="17"/>
          <w:szCs w:val="17"/>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31750</wp:posOffset>
            </wp:positionV>
            <wp:extent cx="32931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Aaron J. Pearce</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Financial Officer and Treasurer</w:t>
      </w:r>
    </w:p>
    <w:sectPr>
      <w:pgSz w:w="11900" w:h="16838" w:orient="portrait"/>
      <w:cols w:equalWidth="0" w:num="1">
        <w:col w:w="11420"/>
      </w:cols>
      <w:pgMar w:left="240" w:top="8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2019-12-04T21:24:56Z</dcterms:created>
  <dcterms:modified xsi:type="dcterms:W3CDTF">2019-12-04T21:24:56Z</dcterms:modified>
</cp:coreProperties>
</file>