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9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6"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-628650</wp:posOffset>
            </wp:positionV>
            <wp:extent cx="58420" cy="641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98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-628650</wp:posOffset>
            </wp:positionV>
            <wp:extent cx="58420" cy="641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98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15875</wp:posOffset>
            </wp:positionV>
            <wp:extent cx="7325360" cy="5016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501650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80" w:space="480"/>
            <w:col w:w="8760"/>
          </w:cols>
          <w:pgMar w:left="240" w:top="222"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JAEHNERT FRANK M</w:t>
        </w:r>
      </w:hyperlink>
    </w:p>
    <w:p>
      <w:pPr>
        <w:spacing w:after="0" w:line="305" w:lineRule="exact"/>
        <w:rPr>
          <w:sz w:val="24"/>
          <w:szCs w:val="24"/>
          <w:color w:val="auto"/>
        </w:rPr>
      </w:pPr>
    </w:p>
    <w:p>
      <w:pPr>
        <w:ind w:left="120"/>
        <w:spacing w:after="0"/>
        <w:tabs>
          <w:tab w:leader="none" w:pos="136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11/01/2012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740" w:hanging="2"/>
        <w:spacing w:after="0" w:line="238"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02" w:type="dxa"/>
        <w:tblCellMar>
          <w:top w:w="0" w:type="dxa"/>
          <w:left w:w="0" w:type="dxa"/>
          <w:bottom w:w="0" w:type="dxa"/>
          <w:right w:w="0" w:type="dxa"/>
        </w:tblCellMar>
      </w:tblPr>
      <w:tr>
        <w:trPr>
          <w:trHeight w:val="214"/>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40" w:type="dxa"/>
            <w:vAlign w:val="bottom"/>
            <w:vMerge w:val="continue"/>
          </w:tcPr>
          <w:p>
            <w:pPr>
              <w:spacing w:after="0"/>
              <w:rPr>
                <w:sz w:val="8"/>
                <w:szCs w:val="8"/>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62"/>
        <w:spacing w:after="0"/>
        <w:rPr>
          <w:sz w:val="20"/>
          <w:szCs w:val="20"/>
          <w:color w:val="auto"/>
        </w:rPr>
      </w:pPr>
      <w:r>
        <w:rPr>
          <w:rFonts w:ascii="Arial" w:cs="Arial" w:eastAsia="Arial" w:hAnsi="Arial"/>
          <w:sz w:val="17"/>
          <w:szCs w:val="17"/>
          <w:color w:val="0000FF"/>
        </w:rPr>
        <w:t>President &amp; CEO</w:t>
      </w:r>
    </w:p>
    <w:p>
      <w:pPr>
        <w:spacing w:after="0" w:line="264" w:lineRule="exact"/>
        <w:rPr>
          <w:sz w:val="24"/>
          <w:szCs w:val="24"/>
          <w:color w:val="auto"/>
        </w:rPr>
      </w:pPr>
    </w:p>
    <w:p>
      <w:pPr>
        <w:sectPr>
          <w:pgSz w:w="11900" w:h="16838" w:orient="portrait"/>
          <w:cols w:equalWidth="0" w:num="3">
            <w:col w:w="3340" w:space="720"/>
            <w:col w:w="3278" w:space="720"/>
            <w:col w:w="3462"/>
          </w:cols>
          <w:pgMar w:left="240" w:top="222" w:right="139" w:bottom="1440" w:gutter="0" w:footer="0" w:header="0"/>
          <w:type w:val="continuous"/>
        </w:sectPr>
      </w:pP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2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88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MILWAUKEE</w:t>
            </w:r>
          </w:p>
        </w:tc>
        <w:tc>
          <w:tcPr>
            <w:tcW w:w="360" w:type="dxa"/>
            <w:vAlign w:val="bottom"/>
            <w:vMerge w:val="restart"/>
          </w:tcPr>
          <w:p>
            <w:pPr>
              <w:spacing w:after="0"/>
              <w:rPr>
                <w:sz w:val="20"/>
                <w:szCs w:val="20"/>
                <w:color w:val="auto"/>
              </w:rPr>
            </w:pPr>
            <w:r>
              <w:rPr>
                <w:rFonts w:ascii="Arial" w:cs="Arial" w:eastAsia="Arial" w:hAnsi="Arial"/>
                <w:sz w:val="17"/>
                <w:szCs w:val="17"/>
                <w:color w:val="0000FF"/>
              </w:rPr>
              <w:t>WI</w:t>
            </w:r>
          </w:p>
        </w:tc>
        <w:tc>
          <w:tcPr>
            <w:tcW w:w="860" w:type="dxa"/>
            <w:vAlign w:val="bottom"/>
          </w:tcPr>
          <w:p>
            <w:pPr>
              <w:spacing w:after="0"/>
              <w:rPr>
                <w:sz w:val="13"/>
                <w:szCs w:val="13"/>
                <w:color w:val="auto"/>
              </w:rPr>
            </w:pPr>
          </w:p>
        </w:tc>
        <w:tc>
          <w:tcPr>
            <w:tcW w:w="1240" w:type="dxa"/>
            <w:vAlign w:val="bottom"/>
            <w:vMerge w:val="restart"/>
          </w:tcPr>
          <w:p>
            <w:pPr>
              <w:ind w:left="80"/>
              <w:spacing w:after="0"/>
              <w:rPr>
                <w:sz w:val="20"/>
                <w:szCs w:val="20"/>
                <w:color w:val="auto"/>
              </w:rPr>
            </w:pPr>
            <w:r>
              <w:rPr>
                <w:rFonts w:ascii="Arial" w:cs="Arial" w:eastAsia="Arial" w:hAnsi="Arial"/>
                <w:sz w:val="17"/>
                <w:szCs w:val="17"/>
                <w:color w:val="0000FF"/>
              </w:rPr>
              <w:t>53223</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40" w:type="dxa"/>
            <w:vAlign w:val="bottom"/>
            <w:gridSpan w:val="7"/>
            <w:vMerge w:val="restart"/>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40" w:type="dxa"/>
            <w:vAlign w:val="bottom"/>
            <w:gridSpan w:val="7"/>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9A9A9A"/>
            </w:tcBorders>
          </w:tcPr>
          <w:p>
            <w:pPr>
              <w:spacing w:after="0"/>
              <w:rPr>
                <w:sz w:val="2"/>
                <w:szCs w:val="2"/>
                <w:color w:val="auto"/>
              </w:rPr>
            </w:pPr>
          </w:p>
        </w:tc>
        <w:tc>
          <w:tcPr>
            <w:tcW w:w="480" w:type="dxa"/>
            <w:vAlign w:val="bottom"/>
            <w:tcBorders>
              <w:bottom w:val="single" w:sz="8" w:color="9A9A9A"/>
            </w:tcBorders>
          </w:tcPr>
          <w:p>
            <w:pPr>
              <w:spacing w:after="0"/>
              <w:rPr>
                <w:sz w:val="2"/>
                <w:szCs w:val="2"/>
                <w:color w:val="auto"/>
              </w:rPr>
            </w:pPr>
          </w:p>
        </w:tc>
        <w:tc>
          <w:tcPr>
            <w:tcW w:w="360" w:type="dxa"/>
            <w:vAlign w:val="bottom"/>
            <w:tcBorders>
              <w:bottom w:val="single" w:sz="8" w:color="9A9A9A"/>
            </w:tcBorders>
          </w:tcPr>
          <w:p>
            <w:pPr>
              <w:spacing w:after="0"/>
              <w:rPr>
                <w:sz w:val="2"/>
                <w:szCs w:val="2"/>
                <w:color w:val="auto"/>
              </w:rPr>
            </w:pPr>
          </w:p>
        </w:tc>
        <w:tc>
          <w:tcPr>
            <w:tcW w:w="860" w:type="dxa"/>
            <w:vAlign w:val="bottom"/>
            <w:tcBorders>
              <w:bottom w:val="single" w:sz="8" w:color="9A9A9A"/>
            </w:tcBorders>
          </w:tcPr>
          <w:p>
            <w:pPr>
              <w:spacing w:after="0"/>
              <w:rPr>
                <w:sz w:val="2"/>
                <w:szCs w:val="2"/>
                <w:color w:val="auto"/>
              </w:rPr>
            </w:pPr>
          </w:p>
        </w:tc>
        <w:tc>
          <w:tcPr>
            <w:tcW w:w="1240" w:type="dxa"/>
            <w:vAlign w:val="bottom"/>
            <w:tcBorders>
              <w:bottom w:val="single" w:sz="8" w:color="9A9A9A"/>
            </w:tcBorders>
          </w:tcPr>
          <w:p>
            <w:pPr>
              <w:spacing w:after="0"/>
              <w:rPr>
                <w:sz w:val="2"/>
                <w:szCs w:val="2"/>
                <w:color w:val="auto"/>
              </w:rPr>
            </w:pPr>
          </w:p>
        </w:tc>
        <w:tc>
          <w:tcPr>
            <w:tcW w:w="80" w:type="dxa"/>
            <w:vAlign w:val="bottom"/>
            <w:tcBorders>
              <w:bottom w:val="single" w:sz="8" w:color="9A9A9A"/>
            </w:tcBorders>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13"/>
                <w:szCs w:val="13"/>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32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72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20" w:type="dxa"/>
            <w:vAlign w:val="bottom"/>
            <w:gridSpan w:val="4"/>
          </w:tcPr>
          <w:p>
            <w:pPr>
              <w:ind w:left="60"/>
              <w:spacing w:after="0"/>
              <w:rPr>
                <w:sz w:val="20"/>
                <w:szCs w:val="20"/>
                <w:color w:val="auto"/>
              </w:rPr>
            </w:pPr>
            <w:r>
              <w:rPr>
                <w:rFonts w:ascii="Arial" w:cs="Arial" w:eastAsia="Arial" w:hAnsi="Arial"/>
                <w:sz w:val="13"/>
                <w:szCs w:val="13"/>
                <w:b w:val="1"/>
                <w:bCs w:val="1"/>
                <w:color w:val="auto"/>
                <w:w w:val="98"/>
              </w:rPr>
              <w:t>1. Title of Security (Instr. 3)</w:t>
            </w:r>
          </w:p>
        </w:tc>
        <w:tc>
          <w:tcPr>
            <w:tcW w:w="860" w:type="dxa"/>
            <w:vAlign w:val="bottom"/>
          </w:tcPr>
          <w:p>
            <w:pPr>
              <w:spacing w:after="0"/>
              <w:rPr>
                <w:sz w:val="14"/>
                <w:szCs w:val="14"/>
                <w:color w:val="auto"/>
              </w:rPr>
            </w:pPr>
          </w:p>
        </w:tc>
        <w:tc>
          <w:tcPr>
            <w:tcW w:w="196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20" w:type="dxa"/>
            <w:vAlign w:val="bottom"/>
            <w:gridSpan w:val="2"/>
          </w:tcPr>
          <w:p>
            <w:pPr>
              <w:ind w:left="880"/>
              <w:spacing w:after="0" w:line="127"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2060" w:type="dxa"/>
            <w:vAlign w:val="bottom"/>
            <w:gridSpan w:val="5"/>
          </w:tcPr>
          <w:p>
            <w:pPr>
              <w:ind w:left="1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660" w:type="dxa"/>
            <w:vAlign w:val="bottom"/>
          </w:tcPr>
          <w:p>
            <w:pPr>
              <w:spacing w:after="0"/>
              <w:rPr>
                <w:sz w:val="11"/>
                <w:szCs w:val="11"/>
                <w:color w:val="auto"/>
              </w:rPr>
            </w:pPr>
          </w:p>
        </w:tc>
        <w:tc>
          <w:tcPr>
            <w:tcW w:w="96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960" w:type="dxa"/>
            <w:vAlign w:val="bottom"/>
            <w:gridSpan w:val="3"/>
          </w:tcPr>
          <w:p>
            <w:pPr>
              <w:ind w:left="8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 Owned</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Following Reported</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3"/>
              </w:rPr>
              <w:t>(A) or</w:t>
            </w:r>
          </w:p>
        </w:tc>
        <w:tc>
          <w:tcPr>
            <w:tcW w:w="72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720" w:type="dxa"/>
            <w:vAlign w:val="bottom"/>
            <w:gridSpan w:val="4"/>
          </w:tcPr>
          <w:p>
            <w:pPr>
              <w:ind w:left="60"/>
              <w:spacing w:after="0"/>
              <w:rPr>
                <w:sz w:val="20"/>
                <w:szCs w:val="20"/>
                <w:color w:val="auto"/>
              </w:rPr>
            </w:pPr>
            <w:r>
              <w:rPr>
                <w:rFonts w:ascii="Arial" w:cs="Arial" w:eastAsia="Arial" w:hAnsi="Arial"/>
                <w:sz w:val="17"/>
                <w:szCs w:val="17"/>
                <w:color w:val="0000FF"/>
                <w:w w:val="91"/>
              </w:rPr>
              <w:t>Class A Common Stock</w:t>
            </w: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86"/>
              </w:rPr>
              <w:t>5,446.3248</w:t>
            </w:r>
            <w:r>
              <w:rPr>
                <w:rFonts w:ascii="Arial" w:cs="Arial" w:eastAsia="Arial" w:hAnsi="Arial"/>
                <w:sz w:val="21"/>
                <w:szCs w:val="21"/>
                <w:color w:val="008000"/>
                <w:w w:val="86"/>
                <w:vertAlign w:val="superscript"/>
              </w:rPr>
              <w:t>(1)</w:t>
            </w:r>
          </w:p>
        </w:tc>
        <w:tc>
          <w:tcPr>
            <w:tcW w:w="30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20" w:type="dxa"/>
            <w:vAlign w:val="bottom"/>
            <w:tcBorders>
              <w:top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Class A Common Stock</w:t>
            </w:r>
          </w:p>
        </w:tc>
        <w:tc>
          <w:tcPr>
            <w:tcW w:w="860" w:type="dxa"/>
            <w:vAlign w:val="bottom"/>
            <w:tcBorders>
              <w:top w:val="single" w:sz="8" w:color="2C2C2C"/>
            </w:tcBorders>
          </w:tcPr>
          <w:p>
            <w:pPr>
              <w:spacing w:after="0"/>
              <w:rPr>
                <w:sz w:val="22"/>
                <w:szCs w:val="22"/>
                <w:color w:val="auto"/>
              </w:rPr>
            </w:pPr>
          </w:p>
        </w:tc>
        <w:tc>
          <w:tcPr>
            <w:tcW w:w="12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61,567</w:t>
            </w: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720" w:type="dxa"/>
            <w:vAlign w:val="bottom"/>
            <w:tcBorders>
              <w:bottom w:val="single" w:sz="8" w:color="2C2C2C"/>
            </w:tcBorders>
            <w:gridSpan w:val="4"/>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Class A Common Stock</w:t>
            </w:r>
          </w:p>
        </w:tc>
        <w:tc>
          <w:tcPr>
            <w:tcW w:w="86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3"/>
          </w:tcPr>
          <w:p>
            <w:pPr>
              <w:ind w:left="980"/>
              <w:spacing w:after="0"/>
              <w:rPr>
                <w:sz w:val="20"/>
                <w:szCs w:val="20"/>
                <w:color w:val="auto"/>
              </w:rPr>
            </w:pPr>
            <w:r>
              <w:rPr>
                <w:rFonts w:ascii="Arial" w:cs="Arial" w:eastAsia="Arial" w:hAnsi="Arial"/>
                <w:sz w:val="17"/>
                <w:szCs w:val="17"/>
                <w:color w:val="0000FF"/>
              </w:rPr>
              <w:t>11/01/2012</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98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107.9753</w:t>
            </w:r>
          </w:p>
        </w:tc>
        <w:tc>
          <w:tcPr>
            <w:tcW w:w="3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31.48</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18,410.7233</w:t>
            </w:r>
            <w:r>
              <w:rPr>
                <w:rFonts w:ascii="Arial" w:cs="Arial" w:eastAsia="Arial" w:hAnsi="Arial"/>
                <w:sz w:val="21"/>
                <w:szCs w:val="21"/>
                <w:color w:val="008000"/>
                <w:w w:val="85"/>
                <w:vertAlign w:val="superscript"/>
              </w:rPr>
              <w:t>(3)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460" w:type="dxa"/>
            <w:vAlign w:val="bottom"/>
            <w:tcBorders>
              <w:top w:val="single" w:sz="8" w:color="2C2C2C"/>
            </w:tcBorders>
            <w:gridSpan w:val="14"/>
          </w:tcPr>
          <w:p>
            <w:pPr>
              <w:ind w:lef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760" w:type="dxa"/>
            <w:vAlign w:val="bottom"/>
            <w:gridSpan w:val="12"/>
          </w:tcPr>
          <w:p>
            <w:pPr>
              <w:ind w:left="8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6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gridSpan w:val="2"/>
          </w:tcPr>
          <w:p>
            <w:pPr>
              <w:ind w:left="2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Execution Date,</w:t>
            </w:r>
          </w:p>
        </w:tc>
        <w:tc>
          <w:tcPr>
            <w:tcW w:w="12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4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0"/>
              </w:rPr>
              <w:t>Price of</w:t>
            </w: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2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jc w:val="right"/>
              <w:ind w:right="100"/>
              <w:spacing w:after="0" w:line="130" w:lineRule="exact"/>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 or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4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(2)</w:t>
            </w:r>
          </w:p>
        </w:tc>
        <w:tc>
          <w:tcPr>
            <w:tcW w:w="680" w:type="dxa"/>
            <w:vAlign w:val="bottom"/>
            <w:gridSpan w:val="2"/>
          </w:tcPr>
          <w:p>
            <w:pPr>
              <w:ind w:left="100"/>
              <w:spacing w:after="0"/>
              <w:rPr>
                <w:sz w:val="20"/>
                <w:szCs w:val="20"/>
                <w:color w:val="auto"/>
              </w:rPr>
            </w:pPr>
            <w:r>
              <w:rPr>
                <w:rFonts w:ascii="Arial" w:cs="Arial" w:eastAsia="Arial" w:hAnsi="Arial"/>
                <w:sz w:val="13"/>
                <w:szCs w:val="13"/>
                <w:color w:val="0000FF"/>
              </w:rPr>
              <w:t>Class A</w:t>
            </w:r>
          </w:p>
        </w:tc>
        <w:tc>
          <w:tcPr>
            <w:tcW w:w="660" w:type="dxa"/>
            <w:vAlign w:val="bottom"/>
            <w:vMerge w:val="restart"/>
          </w:tcPr>
          <w:p>
            <w:pPr>
              <w:spacing w:after="0"/>
              <w:rPr>
                <w:sz w:val="20"/>
                <w:szCs w:val="20"/>
                <w:color w:val="auto"/>
              </w:rPr>
            </w:pPr>
            <w:r>
              <w:rPr>
                <w:rFonts w:ascii="Arial" w:cs="Arial" w:eastAsia="Arial" w:hAnsi="Arial"/>
                <w:sz w:val="17"/>
                <w:szCs w:val="17"/>
                <w:color w:val="0000FF"/>
                <w:w w:val="92"/>
              </w:rPr>
              <w:t>0.6533</w:t>
            </w:r>
            <w:r>
              <w:rPr>
                <w:rFonts w:ascii="Arial" w:cs="Arial" w:eastAsia="Arial" w:hAnsi="Arial"/>
                <w:sz w:val="21"/>
                <w:szCs w:val="21"/>
                <w:color w:val="008000"/>
                <w:w w:val="92"/>
                <w:vertAlign w:val="superscript"/>
              </w:rPr>
              <w:t>(2)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3"/>
                <w:szCs w:val="13"/>
                <w:color w:val="0000FF"/>
                <w:w w:val="86"/>
              </w:rPr>
              <w:t>91,082.5729</w:t>
            </w:r>
            <w:r>
              <w:rPr>
                <w:rFonts w:ascii="Arial" w:cs="Arial" w:eastAsia="Arial" w:hAnsi="Arial"/>
                <w:sz w:val="21"/>
                <w:szCs w:val="21"/>
                <w:color w:val="008000"/>
                <w:w w:val="86"/>
                <w:vertAlign w:val="superscript"/>
              </w:rPr>
              <w:t>(2)(4)</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gridSpan w:val="2"/>
          </w:tcPr>
          <w:p>
            <w:pPr>
              <w:ind w:left="60"/>
              <w:spacing w:after="0" w:line="143" w:lineRule="exact"/>
              <w:rPr>
                <w:sz w:val="20"/>
                <w:szCs w:val="20"/>
                <w:color w:val="auto"/>
              </w:rPr>
            </w:pPr>
            <w:r>
              <w:rPr>
                <w:rFonts w:ascii="Arial" w:cs="Arial" w:eastAsia="Arial" w:hAnsi="Arial"/>
                <w:sz w:val="13"/>
                <w:szCs w:val="13"/>
                <w:color w:val="0000FF"/>
                <w:w w:val="95"/>
              </w:rPr>
              <w:t>Compensation</w:t>
            </w:r>
          </w:p>
        </w:tc>
        <w:tc>
          <w:tcPr>
            <w:tcW w:w="4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ind w:left="180"/>
              <w:spacing w:after="0" w:line="143" w:lineRule="exact"/>
              <w:rPr>
                <w:sz w:val="20"/>
                <w:szCs w:val="20"/>
                <w:color w:val="auto"/>
              </w:rPr>
            </w:pPr>
            <w:r>
              <w:rPr>
                <w:rFonts w:ascii="Arial" w:cs="Arial" w:eastAsia="Arial" w:hAnsi="Arial"/>
                <w:sz w:val="13"/>
                <w:szCs w:val="13"/>
                <w:color w:val="0000FF"/>
              </w:rPr>
              <w:t>11/01/2012</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00"/>
              <w:spacing w:after="0" w:line="143" w:lineRule="exact"/>
              <w:rPr>
                <w:sz w:val="20"/>
                <w:szCs w:val="20"/>
                <w:color w:val="auto"/>
              </w:rPr>
            </w:pPr>
            <w:r>
              <w:rPr>
                <w:rFonts w:ascii="Arial" w:cs="Arial" w:eastAsia="Arial" w:hAnsi="Arial"/>
                <w:sz w:val="13"/>
                <w:szCs w:val="13"/>
                <w:color w:val="0000FF"/>
              </w:rPr>
              <w:t>A</w:t>
            </w:r>
          </w:p>
        </w:tc>
        <w:tc>
          <w:tcPr>
            <w:tcW w:w="600" w:type="dxa"/>
            <w:vAlign w:val="bottom"/>
          </w:tcPr>
          <w:p>
            <w:pPr>
              <w:ind w:left="180"/>
              <w:spacing w:after="0" w:line="143" w:lineRule="exact"/>
              <w:rPr>
                <w:sz w:val="20"/>
                <w:szCs w:val="20"/>
                <w:color w:val="auto"/>
              </w:rPr>
            </w:pPr>
            <w:r>
              <w:rPr>
                <w:rFonts w:ascii="Arial" w:cs="Arial" w:eastAsia="Arial" w:hAnsi="Arial"/>
                <w:sz w:val="13"/>
                <w:szCs w:val="13"/>
                <w:color w:val="0000FF"/>
              </w:rPr>
              <w:t>0.6533</w:t>
            </w:r>
          </w:p>
        </w:tc>
        <w:tc>
          <w:tcPr>
            <w:tcW w:w="3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31.45</w:t>
            </w:r>
          </w:p>
        </w:tc>
        <w:tc>
          <w:tcPr>
            <w:tcW w:w="960" w:type="dxa"/>
            <w:vAlign w:val="bottom"/>
            <w:gridSpan w:val="2"/>
            <w:vMerge w:val="continue"/>
          </w:tcPr>
          <w:p>
            <w:pPr>
              <w:spacing w:after="0"/>
              <w:rPr>
                <w:sz w:val="12"/>
                <w:szCs w:val="12"/>
                <w:color w:val="auto"/>
              </w:rPr>
            </w:pPr>
          </w:p>
        </w:tc>
        <w:tc>
          <w:tcPr>
            <w:tcW w:w="66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color w:val="0000FF"/>
              </w:rPr>
              <w:t>Unit</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tcPr>
          <w:p>
            <w:pPr>
              <w:ind w:left="1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320" w:firstLine="2"/>
        <w:spacing w:after="0" w:line="250"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the reporting person is the beneficiary of these securities for Section 16 purposes or any other purpose.</w:t>
      </w:r>
    </w:p>
    <w:p>
      <w:pPr>
        <w:spacing w:after="0" w:line="25" w:lineRule="exact"/>
        <w:rPr>
          <w:rFonts w:ascii="Arial" w:cs="Arial" w:eastAsia="Arial" w:hAnsi="Arial"/>
          <w:sz w:val="13"/>
          <w:szCs w:val="13"/>
          <w:color w:val="008000"/>
        </w:rPr>
      </w:pPr>
    </w:p>
    <w:p>
      <w:pPr>
        <w:ind w:left="40" w:right="200" w:firstLine="2"/>
        <w:spacing w:after="0" w:line="250"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deferred compensation stock units were acquired under the Brady Corporation Director Deferred Compensation Plan. Each deferred compensation unit is the economic equivalent of one share of Brady's Class A Common Stock upon the reporting person's cessation of service as a director.</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540.7796 shares acquired pursuant to a deferred compensation dividend on November 2, 2012.</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6" w:lineRule="auto"/>
        <w:rPr>
          <w:sz w:val="20"/>
          <w:szCs w:val="20"/>
          <w:color w:val="auto"/>
        </w:rPr>
      </w:pPr>
      <w:r>
        <w:rPr>
          <w:rFonts w:ascii="Arial" w:cs="Arial" w:eastAsia="Arial" w:hAnsi="Arial"/>
          <w:sz w:val="17"/>
          <w:szCs w:val="17"/>
          <w:color w:val="0000FF"/>
        </w:rPr>
        <w:t xml:space="preserve">Sherilyn Whitmoyer, Attorney in </w:t>
      </w:r>
      <w:r>
        <w:rPr>
          <w:rFonts w:ascii="Arial" w:cs="Arial" w:eastAsia="Arial" w:hAnsi="Arial"/>
          <w:sz w:val="33"/>
          <w:szCs w:val="33"/>
          <w:color w:val="0000FF"/>
          <w:vertAlign w:val="subscript"/>
        </w:rPr>
        <w:t>11/05/2012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-27305</wp:posOffset>
            </wp:positionV>
            <wp:extent cx="14147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-20320</wp:posOffset>
            </wp:positionV>
            <wp:extent cx="184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5815330</wp:posOffset>
            </wp:positionH>
            <wp:positionV relativeFrom="paragraph">
              <wp:posOffset>-85725</wp:posOffset>
            </wp:positionV>
            <wp:extent cx="4832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4000" w:firstLine="2"/>
        <w:spacing w:after="0" w:line="336"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2019-12-16T04:24:54Z</dcterms:created>
  <dcterms:modified xsi:type="dcterms:W3CDTF">2019-12-16T04:24:54Z</dcterms:modified>
</cp:coreProperties>
</file>