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51435</wp:posOffset>
            </wp:positionV>
            <wp:extent cx="14998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1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53340</wp:posOffset>
            </wp:positionV>
            <wp:extent cx="1499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9870" cy="8890"/>
                    </a:xfrm>
                    <a:prstGeom prst="rect">
                      <a:avLst/>
                    </a:prstGeom>
                    <a:noFill/>
                  </pic:spPr>
                </pic:pic>
              </a:graphicData>
            </a:graphic>
          </wp:anchor>
        </w:drawing>
      </w:r>
    </w:p>
    <w:p>
      <w:pPr>
        <w:spacing w:after="0" w:line="222" w:lineRule="exact"/>
        <w:rPr>
          <w:sz w:val="24"/>
          <w:szCs w:val="24"/>
          <w:color w:val="auto"/>
        </w:rPr>
      </w:pPr>
    </w:p>
    <w:p>
      <w:pPr>
        <w:ind w:left="640" w:right="40" w:hanging="614"/>
        <w:spacing w:after="0" w:line="233" w:lineRule="auto"/>
        <w:tabs>
          <w:tab w:leader="none" w:pos="64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January 31, 2025</w:t>
      </w:r>
    </w:p>
    <w:p>
      <w:pPr>
        <w:spacing w:after="0" w:line="1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2" w:lineRule="exact"/>
        <w:rPr>
          <w:sz w:val="24"/>
          <w:szCs w:val="24"/>
          <w:color w:val="auto"/>
        </w:rPr>
      </w:pPr>
    </w:p>
    <w:p>
      <w:pPr>
        <w:ind w:left="640" w:right="60" w:hanging="614"/>
        <w:spacing w:after="0" w:line="238" w:lineRule="auto"/>
        <w:tabs>
          <w:tab w:leader="none" w:pos="6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6760" w:type="dxa"/>
            <w:vAlign w:val="bottom"/>
            <w:gridSpan w:val="5"/>
          </w:tcPr>
          <w:p>
            <w:pPr>
              <w:ind w:left="342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w:t>
            </w:r>
          </w:p>
        </w:tc>
        <w:tc>
          <w:tcPr>
            <w:tcW w:w="0" w:type="dxa"/>
            <w:vAlign w:val="bottom"/>
          </w:tcPr>
          <w:p>
            <w:pPr>
              <w:spacing w:after="0"/>
              <w:rPr>
                <w:sz w:val="1"/>
                <w:szCs w:val="1"/>
                <w:color w:val="auto"/>
              </w:rPr>
            </w:pPr>
          </w:p>
        </w:tc>
      </w:tr>
      <w:tr>
        <w:trPr>
          <w:trHeight w:val="378"/>
        </w:trPr>
        <w:tc>
          <w:tcPr>
            <w:tcW w:w="3860" w:type="dxa"/>
            <w:vAlign w:val="bottom"/>
          </w:tcPr>
          <w:p>
            <w:pPr>
              <w:spacing w:after="0"/>
              <w:rPr>
                <w:sz w:val="24"/>
                <w:szCs w:val="24"/>
                <w:color w:val="auto"/>
              </w:rPr>
            </w:pPr>
          </w:p>
        </w:tc>
        <w:tc>
          <w:tcPr>
            <w:tcW w:w="7400" w:type="dxa"/>
            <w:vAlign w:val="bottom"/>
            <w:gridSpan w:val="7"/>
          </w:tcPr>
          <w:p>
            <w:pPr>
              <w:jc w:val="center"/>
              <w:ind w:right="3788"/>
              <w:spacing w:after="0"/>
              <w:rPr>
                <w:sz w:val="20"/>
                <w:szCs w:val="20"/>
                <w:color w:val="auto"/>
              </w:rPr>
            </w:pPr>
            <w:r>
              <w:rPr>
                <w:rFonts w:ascii="Times New Roman" w:cs="Times New Roman" w:eastAsia="Times New Roman" w:hAnsi="Times New Roman"/>
                <w:sz w:val="18"/>
                <w:szCs w:val="18"/>
                <w:b w:val="1"/>
                <w:bCs w:val="1"/>
                <w:color w:val="auto"/>
              </w:rPr>
              <w:t>Commission File Number 1-14959</w:t>
            </w:r>
          </w:p>
        </w:tc>
        <w:tc>
          <w:tcPr>
            <w:tcW w:w="0" w:type="dxa"/>
            <w:vAlign w:val="bottom"/>
          </w:tcPr>
          <w:p>
            <w:pPr>
              <w:spacing w:after="0"/>
              <w:rPr>
                <w:sz w:val="1"/>
                <w:szCs w:val="1"/>
                <w:color w:val="auto"/>
              </w:rPr>
            </w:pPr>
          </w:p>
        </w:tc>
      </w:tr>
      <w:tr>
        <w:trPr>
          <w:trHeight w:val="81"/>
        </w:trPr>
        <w:tc>
          <w:tcPr>
            <w:tcW w:w="442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8"/>
        </w:trPr>
        <w:tc>
          <w:tcPr>
            <w:tcW w:w="11260" w:type="dxa"/>
            <w:vAlign w:val="bottom"/>
            <w:gridSpan w:val="8"/>
          </w:tcPr>
          <w:p>
            <w:pPr>
              <w:jc w:val="center"/>
              <w:spacing w:after="0"/>
              <w:rPr>
                <w:sz w:val="20"/>
                <w:szCs w:val="20"/>
                <w:color w:val="auto"/>
              </w:rPr>
            </w:pPr>
            <w:r>
              <w:rPr>
                <w:rFonts w:ascii="Times New Roman" w:cs="Times New Roman" w:eastAsia="Times New Roman" w:hAnsi="Times New Roman"/>
                <w:sz w:val="43"/>
                <w:szCs w:val="43"/>
                <w:b w:val="1"/>
                <w:bCs w:val="1"/>
                <w:color w:val="auto"/>
                <w:w w:val="99"/>
              </w:rPr>
              <w:t>BRADY CORPORATION</w:t>
            </w:r>
          </w:p>
        </w:tc>
        <w:tc>
          <w:tcPr>
            <w:tcW w:w="0" w:type="dxa"/>
            <w:vAlign w:val="bottom"/>
          </w:tcPr>
          <w:p>
            <w:pPr>
              <w:spacing w:after="0"/>
              <w:rPr>
                <w:sz w:val="1"/>
                <w:szCs w:val="1"/>
                <w:color w:val="auto"/>
              </w:rPr>
            </w:pPr>
          </w:p>
        </w:tc>
      </w:tr>
      <w:tr>
        <w:trPr>
          <w:trHeight w:val="188"/>
        </w:trPr>
        <w:tc>
          <w:tcPr>
            <w:tcW w:w="3860" w:type="dxa"/>
            <w:vAlign w:val="bottom"/>
          </w:tcPr>
          <w:p>
            <w:pPr>
              <w:spacing w:after="0"/>
              <w:rPr>
                <w:sz w:val="16"/>
                <w:szCs w:val="16"/>
                <w:color w:val="auto"/>
              </w:rPr>
            </w:pPr>
          </w:p>
        </w:tc>
        <w:tc>
          <w:tcPr>
            <w:tcW w:w="7400" w:type="dxa"/>
            <w:vAlign w:val="bottom"/>
            <w:gridSpan w:val="7"/>
          </w:tcPr>
          <w:p>
            <w:pPr>
              <w:jc w:val="center"/>
              <w:ind w:right="3788"/>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0" w:type="dxa"/>
            <w:vAlign w:val="bottom"/>
          </w:tcPr>
          <w:p>
            <w:pPr>
              <w:spacing w:after="0"/>
              <w:rPr>
                <w:sz w:val="1"/>
                <w:szCs w:val="1"/>
                <w:color w:val="auto"/>
              </w:rPr>
            </w:pPr>
          </w:p>
        </w:tc>
      </w:tr>
      <w:tr>
        <w:trPr>
          <w:trHeight w:val="91"/>
        </w:trPr>
        <w:tc>
          <w:tcPr>
            <w:tcW w:w="38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48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335"/>
        </w:trPr>
        <w:tc>
          <w:tcPr>
            <w:tcW w:w="3860" w:type="dxa"/>
            <w:vAlign w:val="bottom"/>
          </w:tcPr>
          <w:p>
            <w:pPr>
              <w:jc w:val="center"/>
              <w:ind w:left="1382"/>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500" w:type="dxa"/>
            <w:vAlign w:val="bottom"/>
            <w:gridSpan w:val="3"/>
          </w:tcPr>
          <w:p>
            <w:pPr>
              <w:jc w:val="right"/>
              <w:ind w:right="2188"/>
              <w:spacing w:after="0"/>
              <w:rPr>
                <w:sz w:val="20"/>
                <w:szCs w:val="20"/>
                <w:color w:val="auto"/>
              </w:rPr>
            </w:pPr>
            <w:r>
              <w:rPr>
                <w:rFonts w:ascii="Times New Roman" w:cs="Times New Roman" w:eastAsia="Times New Roman" w:hAnsi="Times New Roman"/>
                <w:sz w:val="18"/>
                <w:szCs w:val="18"/>
                <w:b w:val="1"/>
                <w:bCs w:val="1"/>
                <w:color w:val="auto"/>
              </w:rPr>
              <w:t>39-0178960</w:t>
            </w:r>
          </w:p>
        </w:tc>
        <w:tc>
          <w:tcPr>
            <w:tcW w:w="0" w:type="dxa"/>
            <w:vAlign w:val="bottom"/>
          </w:tcPr>
          <w:p>
            <w:pPr>
              <w:spacing w:after="0"/>
              <w:rPr>
                <w:sz w:val="1"/>
                <w:szCs w:val="1"/>
                <w:color w:val="auto"/>
              </w:rPr>
            </w:pPr>
          </w:p>
        </w:tc>
      </w:tr>
      <w:tr>
        <w:trPr>
          <w:trHeight w:val="188"/>
        </w:trPr>
        <w:tc>
          <w:tcPr>
            <w:tcW w:w="6760" w:type="dxa"/>
            <w:vAlign w:val="bottom"/>
            <w:gridSpan w:val="5"/>
          </w:tcPr>
          <w:p>
            <w:pPr>
              <w:jc w:val="center"/>
              <w:ind w:right="1362"/>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60" w:type="dxa"/>
            <w:vAlign w:val="bottom"/>
          </w:tcPr>
          <w:p>
            <w:pPr>
              <w:jc w:val="center"/>
              <w:ind w:right="84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98"/>
        </w:trPr>
        <w:tc>
          <w:tcPr>
            <w:tcW w:w="3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6555 West Good Hope Road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Milwaukee, Wisconsin 53223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860" w:type="dxa"/>
            <w:vAlign w:val="bottom"/>
          </w:tcPr>
          <w:p>
            <w:pPr>
              <w:spacing w:after="0"/>
              <w:rPr>
                <w:sz w:val="16"/>
                <w:szCs w:val="16"/>
                <w:color w:val="auto"/>
              </w:rPr>
            </w:pPr>
          </w:p>
        </w:tc>
        <w:tc>
          <w:tcPr>
            <w:tcW w:w="7400" w:type="dxa"/>
            <w:vAlign w:val="bottom"/>
            <w:gridSpan w:val="7"/>
          </w:tcPr>
          <w:p>
            <w:pPr>
              <w:jc w:val="center"/>
              <w:ind w:right="3808"/>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tc>
        <w:tc>
          <w:tcPr>
            <w:tcW w:w="0" w:type="dxa"/>
            <w:vAlign w:val="bottom"/>
          </w:tcPr>
          <w:p>
            <w:pPr>
              <w:spacing w:after="0"/>
              <w:rPr>
                <w:sz w:val="1"/>
                <w:szCs w:val="1"/>
                <w:color w:val="auto"/>
              </w:rPr>
            </w:pPr>
          </w:p>
        </w:tc>
      </w:tr>
      <w:tr>
        <w:trPr>
          <w:trHeight w:val="365"/>
        </w:trPr>
        <w:tc>
          <w:tcPr>
            <w:tcW w:w="3860" w:type="dxa"/>
            <w:vAlign w:val="bottom"/>
          </w:tcPr>
          <w:p>
            <w:pPr>
              <w:spacing w:after="0"/>
              <w:rPr>
                <w:sz w:val="24"/>
                <w:szCs w:val="24"/>
                <w:color w:val="auto"/>
              </w:rPr>
            </w:pPr>
          </w:p>
        </w:tc>
        <w:tc>
          <w:tcPr>
            <w:tcW w:w="2900" w:type="dxa"/>
            <w:vAlign w:val="bottom"/>
            <w:gridSpan w:val="4"/>
          </w:tcPr>
          <w:p>
            <w:pPr>
              <w:jc w:val="center"/>
              <w:ind w:left="541"/>
              <w:spacing w:after="0"/>
              <w:rPr>
                <w:sz w:val="20"/>
                <w:szCs w:val="20"/>
                <w:color w:val="auto"/>
              </w:rPr>
            </w:pPr>
            <w:r>
              <w:rPr>
                <w:rFonts w:ascii="Times New Roman" w:cs="Times New Roman" w:eastAsia="Times New Roman" w:hAnsi="Times New Roman"/>
                <w:sz w:val="18"/>
                <w:szCs w:val="18"/>
                <w:b w:val="1"/>
                <w:bCs w:val="1"/>
                <w:color w:val="auto"/>
                <w:w w:val="99"/>
              </w:rPr>
              <w:t>(414) 358-6600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860" w:type="dxa"/>
            <w:vAlign w:val="bottom"/>
          </w:tcPr>
          <w:p>
            <w:pPr>
              <w:spacing w:after="0"/>
              <w:rPr>
                <w:sz w:val="16"/>
                <w:szCs w:val="16"/>
                <w:color w:val="auto"/>
              </w:rPr>
            </w:pPr>
          </w:p>
        </w:tc>
        <w:tc>
          <w:tcPr>
            <w:tcW w:w="7400" w:type="dxa"/>
            <w:vAlign w:val="bottom"/>
            <w:gridSpan w:val="7"/>
          </w:tcPr>
          <w:p>
            <w:pPr>
              <w:jc w:val="center"/>
              <w:ind w:right="380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0" w:type="dxa"/>
            <w:vAlign w:val="bottom"/>
          </w:tcPr>
          <w:p>
            <w:pPr>
              <w:spacing w:after="0"/>
              <w:rPr>
                <w:sz w:val="1"/>
                <w:szCs w:val="1"/>
                <w:color w:val="auto"/>
              </w:rPr>
            </w:pPr>
          </w:p>
        </w:tc>
      </w:tr>
      <w:tr>
        <w:trPr>
          <w:trHeight w:val="91"/>
        </w:trPr>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5"/>
        </w:trPr>
        <w:tc>
          <w:tcPr>
            <w:tcW w:w="38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8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spacing w:after="0"/>
              <w:rPr>
                <w:sz w:val="16"/>
                <w:szCs w:val="16"/>
                <w:color w:val="auto"/>
              </w:rPr>
            </w:pPr>
          </w:p>
        </w:tc>
        <w:tc>
          <w:tcPr>
            <w:tcW w:w="450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5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38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Class A Nonvoting Common Stock, par value $0.01 per share</w:t>
            </w:r>
          </w:p>
        </w:tc>
        <w:tc>
          <w:tcPr>
            <w:tcW w:w="5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BRC</w:t>
            </w:r>
          </w:p>
        </w:tc>
        <w:tc>
          <w:tcPr>
            <w:tcW w:w="45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bl>
    <w:p>
      <w:pPr>
        <w:spacing w:after="0" w:line="234" w:lineRule="exact"/>
        <w:rPr>
          <w:sz w:val="24"/>
          <w:szCs w:val="24"/>
          <w:color w:val="auto"/>
        </w:rPr>
      </w:pPr>
    </w:p>
    <w:p>
      <w:pPr>
        <w:jc w:val="both"/>
        <w:ind w:right="40"/>
        <w:spacing w:after="0" w:line="21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20" w:lineRule="exact"/>
        <w:rPr>
          <w:sz w:val="24"/>
          <w:szCs w:val="24"/>
          <w:color w:val="auto"/>
        </w:rPr>
      </w:pPr>
    </w:p>
    <w:p>
      <w:pPr>
        <w:jc w:val="both"/>
        <w:ind w:right="20"/>
        <w:spacing w:after="0" w:line="20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20" w:lineRule="exact"/>
        <w:rPr>
          <w:sz w:val="24"/>
          <w:szCs w:val="24"/>
          <w:color w:val="auto"/>
        </w:rPr>
      </w:pPr>
    </w:p>
    <w:p>
      <w:pPr>
        <w:jc w:val="both"/>
        <w:ind w:right="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225" w:right="319" w:bottom="1440" w:gutter="0" w:footer="0" w:header="0"/>
        </w:sectPr>
      </w:pPr>
    </w:p>
    <w:p>
      <w:pPr>
        <w:spacing w:after="0" w:line="148" w:lineRule="exact"/>
        <w:rPr>
          <w:sz w:val="24"/>
          <w:szCs w:val="24"/>
          <w:color w:val="auto"/>
        </w:rPr>
      </w:pPr>
    </w:p>
    <w:p>
      <w:pPr>
        <w:ind w:left="20" w:right="420"/>
        <w:spacing w:after="0" w:line="382" w:lineRule="auto"/>
        <w:rPr>
          <w:sz w:val="20"/>
          <w:szCs w:val="20"/>
          <w:color w:val="auto"/>
        </w:rPr>
      </w:pPr>
      <w:r>
        <w:rPr>
          <w:rFonts w:ascii="Times New Roman" w:cs="Times New Roman" w:eastAsia="Times New Roman" w:hAnsi="Times New Roman"/>
          <w:sz w:val="14"/>
          <w:szCs w:val="14"/>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94" w:lineRule="exact"/>
        <w:rPr>
          <w:sz w:val="24"/>
          <w:szCs w:val="24"/>
          <w:color w:val="auto"/>
        </w:rPr>
      </w:pPr>
    </w:p>
    <w:p>
      <w:pPr>
        <w:sectPr>
          <w:pgSz w:w="11900" w:h="16838" w:orient="portrait"/>
          <w:cols w:equalWidth="0" w:num="6">
            <w:col w:w="1740" w:space="720"/>
            <w:col w:w="320" w:space="720"/>
            <w:col w:w="1780" w:space="720"/>
            <w:col w:w="320" w:space="720"/>
            <w:col w:w="1760" w:space="720"/>
            <w:col w:w="1740"/>
          </w:cols>
          <w:pgMar w:left="320" w:top="225" w:right="319" w:bottom="1440" w:gutter="0" w:footer="0" w:header="0"/>
          <w:type w:val="continuous"/>
        </w:sectPr>
      </w:pPr>
    </w:p>
    <w:p>
      <w:pPr>
        <w:ind w:right="20"/>
        <w:spacing w:after="0" w:line="21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3" w:lineRule="exact"/>
        <w:rPr>
          <w:sz w:val="24"/>
          <w:szCs w:val="24"/>
          <w:color w:val="auto"/>
        </w:rPr>
      </w:pPr>
    </w:p>
    <w:p>
      <w:pPr>
        <w:spacing w:after="0" w:line="184" w:lineRule="exact"/>
        <w:tabs>
          <w:tab w:leader="none" w:pos="66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20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4"/>
          <w:szCs w:val="14"/>
          <w:color w:val="auto"/>
        </w:rPr>
        <w:t>As of February 19, 2025, there were 44,241,601 outstanding shares of Class A Nonvoting Common Stock and 3,538,628 shares of Class B Voting Common Stock. The Class B Voting Common Stock, all of which is held by affiliates of the Registrant, is the only voting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ind w:left="5340"/>
              <w:spacing w:after="0"/>
              <w:rPr>
                <w:sz w:val="20"/>
                <w:szCs w:val="20"/>
                <w:color w:val="auto"/>
              </w:rPr>
            </w:pPr>
            <w:r>
              <w:rPr>
                <w:rFonts w:ascii="Times New Roman" w:cs="Times New Roman" w:eastAsia="Times New Roman" w:hAnsi="Times New Roman"/>
                <w:sz w:val="18"/>
                <w:szCs w:val="18"/>
                <w:color w:val="auto"/>
              </w:rPr>
              <w:t>INDEX</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5"/>
        </w:trPr>
        <w:tc>
          <w:tcPr>
            <w:tcW w:w="9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1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18"/>
        </w:trPr>
        <w:tc>
          <w:tcPr>
            <w:tcW w:w="9760" w:type="dxa"/>
            <w:vAlign w:val="bottom"/>
            <w:vMerge w:val="continue"/>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Condensed Consolidated Statements of Income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1A. Risk Factors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6. Exhibits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Signatures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976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2</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7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ITEM 1. FINANCIAL STATEMENTS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Dollars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200" w:type="dxa"/>
            <w:vAlign w:val="bottom"/>
          </w:tcPr>
          <w:p>
            <w:pPr>
              <w:spacing w:after="0"/>
              <w:rPr>
                <w:sz w:val="18"/>
                <w:szCs w:val="18"/>
                <w:color w:val="auto"/>
              </w:rPr>
            </w:pPr>
          </w:p>
        </w:tc>
        <w:tc>
          <w:tcPr>
            <w:tcW w:w="13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July 31, 2024</w:t>
            </w:r>
          </w:p>
        </w:tc>
        <w:tc>
          <w:tcPr>
            <w:tcW w:w="0" w:type="dxa"/>
            <w:vAlign w:val="bottom"/>
          </w:tcPr>
          <w:p>
            <w:pPr>
              <w:spacing w:after="0"/>
              <w:rPr>
                <w:sz w:val="1"/>
                <w:szCs w:val="1"/>
                <w:color w:val="auto"/>
              </w:rPr>
            </w:pPr>
          </w:p>
        </w:tc>
      </w:tr>
      <w:tr>
        <w:trPr>
          <w:trHeight w:val="211"/>
        </w:trPr>
        <w:tc>
          <w:tcPr>
            <w:tcW w:w="8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140" w:type="dxa"/>
            <w:vAlign w:val="bottom"/>
            <w:shd w:val="clear" w:color="auto" w:fill="CCEEFF"/>
          </w:tcPr>
          <w:p>
            <w:pPr>
              <w:ind w:left="37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250,118</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$9,227 and $6,749, respectively</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185,486</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152,729</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14,080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11,382</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536,315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599,715</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equipment—net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195,758</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661,288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589,611</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51,839</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15,596</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38,504</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24,546</w:t>
            </w:r>
          </w:p>
        </w:tc>
        <w:tc>
          <w:tcPr>
            <w:tcW w:w="0" w:type="dxa"/>
            <w:vAlign w:val="bottom"/>
          </w:tcPr>
          <w:p>
            <w:pPr>
              <w:spacing w:after="0"/>
              <w:rPr>
                <w:sz w:val="1"/>
                <w:szCs w:val="1"/>
                <w:color w:val="auto"/>
              </w:rPr>
            </w:pPr>
          </w:p>
        </w:tc>
      </w:tr>
      <w:tr>
        <w:trPr>
          <w:trHeight w:val="207"/>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1,588,700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1,515,569</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14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84,691</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77,954</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14,061</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income taxes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7,424</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13,382</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83,699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67,170</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282,350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264,682</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90,935</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25,342</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70,649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67,952</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468,232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448,911</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14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Class A nonvoting common stock—Issued 51,261,487 shares, and outstanding 44,241,601 and 44,042,462 shares,</w:t>
            </w:r>
          </w:p>
        </w:tc>
        <w:tc>
          <w:tcPr>
            <w:tcW w:w="1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respectively</w:t>
            </w:r>
          </w:p>
        </w:tc>
        <w:tc>
          <w:tcPr>
            <w:tcW w:w="1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Class B voting common stock—Issued and outstanding, 3,538,628 shares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356,531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353,654</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Retained earnings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1,238,275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1,174,025</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Treasury stock—7,019,886 and 7,219,025 shares, respectively, of Class A nonvoting common stock, at cost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(343,059)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(351,947)</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(131,827)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(109,622)</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1,120,468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1,066,658</w:t>
            </w:r>
          </w:p>
        </w:tc>
        <w:tc>
          <w:tcPr>
            <w:tcW w:w="0" w:type="dxa"/>
            <w:vAlign w:val="bottom"/>
          </w:tcPr>
          <w:p>
            <w:pPr>
              <w:spacing w:after="0"/>
              <w:rPr>
                <w:sz w:val="1"/>
                <w:szCs w:val="1"/>
                <w:color w:val="auto"/>
              </w:rPr>
            </w:pPr>
          </w:p>
        </w:tc>
      </w:tr>
      <w:tr>
        <w:trPr>
          <w:trHeight w:val="207"/>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1,588,700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1,515,569</w:t>
            </w:r>
          </w:p>
        </w:tc>
        <w:tc>
          <w:tcPr>
            <w:tcW w:w="0" w:type="dxa"/>
            <w:vAlign w:val="bottom"/>
          </w:tcPr>
          <w:p>
            <w:pPr>
              <w:spacing w:after="0"/>
              <w:rPr>
                <w:sz w:val="1"/>
                <w:szCs w:val="1"/>
                <w:color w:val="auto"/>
              </w:rPr>
            </w:pPr>
          </w:p>
        </w:tc>
      </w:tr>
      <w:tr>
        <w:trPr>
          <w:trHeight w:val="23"/>
        </w:trPr>
        <w:tc>
          <w:tcPr>
            <w:tcW w:w="8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INCOME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(Dollars in Thousands, Except Per Share Amounts, 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240" w:type="dxa"/>
            <w:vAlign w:val="bottom"/>
          </w:tcPr>
          <w:p>
            <w:pPr>
              <w:spacing w:after="0"/>
              <w:rPr>
                <w:sz w:val="18"/>
                <w:szCs w:val="18"/>
                <w:color w:val="auto"/>
              </w:rPr>
            </w:pPr>
          </w:p>
        </w:tc>
        <w:tc>
          <w:tcPr>
            <w:tcW w:w="260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r>
      <w:tr>
        <w:trPr>
          <w:trHeight w:val="211"/>
        </w:trPr>
        <w:tc>
          <w:tcPr>
            <w:tcW w:w="54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356,675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322,624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733,740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654,607</w:t>
            </w:r>
          </w:p>
        </w:tc>
      </w:tr>
      <w:tr>
        <w:trPr>
          <w:trHeight w:val="213"/>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180,832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160,541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368,208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320,805</w:t>
            </w:r>
          </w:p>
        </w:tc>
      </w:tr>
      <w:tr>
        <w:trPr>
          <w:trHeight w:val="212"/>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margin</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365,532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333,802</w:t>
            </w: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32,534</w:t>
            </w:r>
          </w:p>
        </w:tc>
      </w:tr>
      <w:tr>
        <w:trPr>
          <w:trHeight w:val="213"/>
        </w:trPr>
        <w:tc>
          <w:tcPr>
            <w:tcW w:w="5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105,886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91,325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217,732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187,612</w:t>
            </w:r>
          </w:p>
        </w:tc>
      </w:tr>
      <w:tr>
        <w:trPr>
          <w:trHeight w:val="212"/>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255,376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220,146</w:t>
            </w: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110,156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113,656</w:t>
            </w:r>
          </w:p>
        </w:tc>
      </w:tr>
      <w:tr>
        <w:trPr>
          <w:trHeight w:val="21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Investment and other income</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3,122</w:t>
            </w:r>
          </w:p>
        </w:tc>
      </w:tr>
      <w:tr>
        <w:trPr>
          <w:trHeight w:val="21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w:t>
            </w:r>
          </w:p>
        </w:tc>
      </w:tr>
      <w:tr>
        <w:trPr>
          <w:trHeight w:val="207"/>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52,047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110,847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115,222</w:t>
            </w: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23,730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24,353</w:t>
            </w:r>
          </w:p>
        </w:tc>
      </w:tr>
      <w:tr>
        <w:trPr>
          <w:trHeight w:val="212"/>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40,334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43,628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87,117</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90,869</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Class A Nonvoting Common Share:</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3"/>
        </w:trPr>
        <w:tc>
          <w:tcPr>
            <w:tcW w:w="5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21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Class B Voting Common Share: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13"/>
        </w:trPr>
        <w:tc>
          <w:tcPr>
            <w:tcW w:w="5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21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48,440</w:t>
            </w:r>
          </w:p>
        </w:tc>
      </w:tr>
      <w:tr>
        <w:trPr>
          <w:trHeight w:val="21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48,768</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ind w:right="5260"/>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CONDENSED CONSOLIDATED STATEMENTS OF COMPREHENSIVE INCOME </w:t>
      </w:r>
      <w:r>
        <w:rPr>
          <w:rFonts w:ascii="Times New Roman" w:cs="Times New Roman" w:eastAsia="Times New Roman" w:hAnsi="Times New Roman"/>
          <w:sz w:val="16"/>
          <w:szCs w:val="16"/>
          <w:color w:val="auto"/>
        </w:rPr>
        <w:t>(Dollars in Thousands, 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240" w:type="dxa"/>
            <w:vAlign w:val="bottom"/>
          </w:tcPr>
          <w:p>
            <w:pPr>
              <w:spacing w:after="0"/>
              <w:rPr>
                <w:sz w:val="18"/>
                <w:szCs w:val="18"/>
                <w:color w:val="auto"/>
              </w:rPr>
            </w:pPr>
          </w:p>
        </w:tc>
        <w:tc>
          <w:tcPr>
            <w:tcW w:w="2580" w:type="dxa"/>
            <w:vAlign w:val="bottom"/>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r>
      <w:tr>
        <w:trPr>
          <w:trHeight w:val="211"/>
        </w:trPr>
        <w:tc>
          <w:tcPr>
            <w:tcW w:w="55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87,117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90,869</w:t>
            </w:r>
          </w:p>
        </w:tc>
      </w:tr>
      <w:tr>
        <w:trPr>
          <w:trHeight w:val="213"/>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(5,773)</w:t>
            </w:r>
          </w:p>
        </w:tc>
      </w:tr>
      <w:tr>
        <w:trPr>
          <w:trHeight w:val="216"/>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flow hedges: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55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gain (loss) recognized in other comprehensive (loss) income</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w:t>
            </w:r>
          </w:p>
        </w:tc>
      </w:tr>
      <w:tr>
        <w:trPr>
          <w:trHeight w:val="216"/>
        </w:trPr>
        <w:tc>
          <w:tcPr>
            <w:tcW w:w="5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Reclassification adjustment for losses (gains) included in net income</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w:t>
            </w:r>
          </w:p>
        </w:tc>
      </w:tr>
      <w:tr>
        <w:trPr>
          <w:trHeight w:val="209"/>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r>
      <w:tr>
        <w:trPr>
          <w:trHeight w:val="219"/>
        </w:trPr>
        <w:tc>
          <w:tcPr>
            <w:tcW w:w="5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5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Pension and other post-retirement benefits actuarial gain amortization</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r>
      <w:tr>
        <w:trPr>
          <w:trHeight w:val="219"/>
        </w:trPr>
        <w:tc>
          <w:tcPr>
            <w:tcW w:w="5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before tax</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(21,965)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(6,825)</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 related to items of other comprehensive (loss) income</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07"/>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(20,225)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15,342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(22,205)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(6,880)</w:t>
            </w:r>
          </w:p>
        </w:tc>
      </w:tr>
      <w:tr>
        <w:trPr>
          <w:trHeight w:val="235"/>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58,970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64,912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83,989</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ind w:right="5360"/>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CONDENSED CONSOLIDATED STATEMENTS OF STOCKHOLDERS' EQUITY </w:t>
      </w:r>
      <w:r>
        <w:rPr>
          <w:rFonts w:ascii="Times New Roman" w:cs="Times New Roman" w:eastAsia="Times New Roman" w:hAnsi="Times New Roman"/>
          <w:sz w:val="16"/>
          <w:szCs w:val="16"/>
          <w:color w:val="auto"/>
        </w:rPr>
        <w:t>(Dollars in Thousands, Unaudited)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6"/>
                <w:szCs w:val="16"/>
                <w:b w:val="1"/>
                <w:bCs w:val="1"/>
                <w:color w:val="auto"/>
              </w:rPr>
              <w:t>Three months ended January 31, 2025</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3"/>
                <w:szCs w:val="13"/>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56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3"/>
                <w:szCs w:val="13"/>
                <w:color w:val="auto"/>
              </w:rPr>
            </w:pPr>
          </w:p>
        </w:tc>
        <w:tc>
          <w:tcPr>
            <w:tcW w:w="118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2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36"/>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October 31,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354,592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1,209,406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(344,012)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1,108,932</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740" w:type="dxa"/>
            <w:vAlign w:val="bottom"/>
            <w:tcBorders>
              <w:top w:val="single" w:sz="8" w:color="CCEEFF"/>
            </w:tcBorders>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40,334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40,334</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(20,225)</w:t>
            </w:r>
          </w:p>
        </w:tc>
        <w:tc>
          <w:tcPr>
            <w:tcW w:w="0" w:type="dxa"/>
            <w:vAlign w:val="bottom"/>
          </w:tcPr>
          <w:p>
            <w:pPr>
              <w:spacing w:after="0"/>
              <w:rPr>
                <w:sz w:val="1"/>
                <w:szCs w:val="1"/>
                <w:color w:val="auto"/>
              </w:rPr>
            </w:pPr>
          </w:p>
        </w:tc>
      </w:tr>
      <w:tr>
        <w:trPr>
          <w:trHeight w:val="162"/>
        </w:trPr>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of Class A Common Stock under</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plan</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A — $0.2400 per share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(10,616)</w:t>
            </w: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B — $0.2400 per share</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0" w:type="dxa"/>
            <w:vAlign w:val="bottom"/>
          </w:tcPr>
          <w:p>
            <w:pPr>
              <w:spacing w:after="0"/>
              <w:rPr>
                <w:sz w:val="1"/>
                <w:szCs w:val="1"/>
                <w:color w:val="auto"/>
              </w:rPr>
            </w:pPr>
          </w:p>
        </w:tc>
      </w:tr>
      <w:tr>
        <w:trPr>
          <w:trHeight w:val="237"/>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January 31, 2025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356,531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1,238,275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(343,059)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1,120,468</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3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6"/>
                <w:szCs w:val="16"/>
                <w:b w:val="1"/>
                <w:bCs w:val="1"/>
                <w:color w:val="auto"/>
              </w:rPr>
              <w:t>Six months ended January 31, 2025</w:t>
            </w: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3"/>
                <w:szCs w:val="13"/>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56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3"/>
                <w:szCs w:val="13"/>
                <w:color w:val="auto"/>
              </w:rPr>
            </w:pPr>
          </w:p>
        </w:tc>
        <w:tc>
          <w:tcPr>
            <w:tcW w:w="118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2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36"/>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353,654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1,174,025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(351,947)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1,066,658</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740" w:type="dxa"/>
            <w:vAlign w:val="bottom"/>
            <w:tcBorders>
              <w:top w:val="single" w:sz="8" w:color="CCEEFF"/>
            </w:tcBorders>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87,117</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87,117</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(22,205)</w:t>
            </w:r>
          </w:p>
        </w:tc>
        <w:tc>
          <w:tcPr>
            <w:tcW w:w="0" w:type="dxa"/>
            <w:vAlign w:val="bottom"/>
          </w:tcPr>
          <w:p>
            <w:pPr>
              <w:spacing w:after="0"/>
              <w:rPr>
                <w:sz w:val="1"/>
                <w:szCs w:val="1"/>
                <w:color w:val="auto"/>
              </w:rPr>
            </w:pPr>
          </w:p>
        </w:tc>
      </w:tr>
      <w:tr>
        <w:trPr>
          <w:trHeight w:val="162"/>
        </w:trPr>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of Class A Common Stock under</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8,888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3,582</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plan</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7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Tax benefit and withholdings from deferred</w:t>
            </w: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distributions</w:t>
            </w: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7,993</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A — $0.4800 per share</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(21,228)</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B — $0.4634 per share</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w:t>
            </w:r>
          </w:p>
        </w:tc>
        <w:tc>
          <w:tcPr>
            <w:tcW w:w="0" w:type="dxa"/>
            <w:vAlign w:val="bottom"/>
          </w:tcPr>
          <w:p>
            <w:pPr>
              <w:spacing w:after="0"/>
              <w:rPr>
                <w:sz w:val="1"/>
                <w:szCs w:val="1"/>
                <w:color w:val="auto"/>
              </w:rPr>
            </w:pPr>
          </w:p>
        </w:tc>
      </w:tr>
      <w:tr>
        <w:trPr>
          <w:trHeight w:val="212"/>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January 31, 2025</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356,531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1,238,275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(343,059)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(131,827)</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1,120,468</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1"/>
        </w:trPr>
        <w:tc>
          <w:tcPr>
            <w:tcW w:w="3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6"/>
                <w:szCs w:val="16"/>
                <w:b w:val="1"/>
                <w:bCs w:val="1"/>
                <w:color w:val="auto"/>
              </w:rPr>
              <w:t>Three months ended January 31, 2024</w:t>
            </w: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3"/>
                <w:szCs w:val="13"/>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56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3"/>
                <w:szCs w:val="13"/>
                <w:color w:val="auto"/>
              </w:rPr>
            </w:pPr>
          </w:p>
        </w:tc>
        <w:tc>
          <w:tcPr>
            <w:tcW w:w="118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2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36"/>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October 31,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352,421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1,057,773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(300,467)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994,992</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740" w:type="dxa"/>
            <w:vAlign w:val="bottom"/>
            <w:tcBorders>
              <w:top w:val="single" w:sz="8" w:color="CCEEFF"/>
            </w:tcBorders>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43,628</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43,628</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15,342</w:t>
            </w:r>
          </w:p>
        </w:tc>
        <w:tc>
          <w:tcPr>
            <w:tcW w:w="0" w:type="dxa"/>
            <w:vAlign w:val="bottom"/>
          </w:tcPr>
          <w:p>
            <w:pPr>
              <w:spacing w:after="0"/>
              <w:rPr>
                <w:sz w:val="1"/>
                <w:szCs w:val="1"/>
                <w:color w:val="auto"/>
              </w:rPr>
            </w:pPr>
          </w:p>
        </w:tc>
      </w:tr>
      <w:tr>
        <w:trPr>
          <w:trHeight w:val="162"/>
        </w:trPr>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of Class A Common Stock under</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2,466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2,739</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plan</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0" w:type="dxa"/>
            <w:vAlign w:val="bottom"/>
          </w:tcPr>
          <w:p>
            <w:pPr>
              <w:spacing w:after="0"/>
              <w:rPr>
                <w:sz w:val="1"/>
                <w:szCs w:val="1"/>
                <w:color w:val="auto"/>
              </w:rPr>
            </w:pPr>
          </w:p>
        </w:tc>
      </w:tr>
      <w:tr>
        <w:trPr>
          <w:trHeight w:val="162"/>
        </w:trPr>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Repurchase of shares of Class A Common Stock,</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(7,713)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(7,713)</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including excise taxes</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A — $0.2350 per share</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(10,525)</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B — $0.2350 per share</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0" w:type="dxa"/>
            <w:vAlign w:val="bottom"/>
          </w:tcPr>
          <w:p>
            <w:pPr>
              <w:spacing w:after="0"/>
              <w:rPr>
                <w:sz w:val="1"/>
                <w:szCs w:val="1"/>
                <w:color w:val="auto"/>
              </w:rPr>
            </w:pPr>
          </w:p>
        </w:tc>
      </w:tr>
      <w:tr>
        <w:trPr>
          <w:trHeight w:val="212"/>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January 31,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353,794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1,090,045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(305,714)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(99,941)</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1,038,732</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6"/>
                <w:szCs w:val="16"/>
                <w:b w:val="1"/>
                <w:bCs w:val="1"/>
                <w:color w:val="auto"/>
              </w:rPr>
              <w:t>Six months ended January 31, 2024</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3"/>
                <w:szCs w:val="13"/>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56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3"/>
                <w:szCs w:val="13"/>
                <w:color w:val="auto"/>
              </w:rPr>
            </w:pPr>
          </w:p>
        </w:tc>
        <w:tc>
          <w:tcPr>
            <w:tcW w:w="118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6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36"/>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351,771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1,021,870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990,919</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740" w:type="dxa"/>
            <w:vAlign w:val="bottom"/>
            <w:tcBorders>
              <w:top w:val="single" w:sz="8" w:color="CCEEFF"/>
            </w:tcBorders>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90,869</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90,869</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(6,880)</w:t>
            </w:r>
          </w:p>
        </w:tc>
        <w:tc>
          <w:tcPr>
            <w:tcW w:w="0" w:type="dxa"/>
            <w:vAlign w:val="bottom"/>
          </w:tcPr>
          <w:p>
            <w:pPr>
              <w:spacing w:after="0"/>
              <w:rPr>
                <w:sz w:val="1"/>
                <w:szCs w:val="1"/>
                <w:color w:val="auto"/>
              </w:rPr>
            </w:pPr>
          </w:p>
        </w:tc>
      </w:tr>
      <w:tr>
        <w:trPr>
          <w:trHeight w:val="162"/>
        </w:trPr>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of Class A Common Stock under</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(3,389)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6,393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3,004</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plan</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7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Tax benefit and withholdings from deferred</w:t>
            </w: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distributions</w:t>
            </w: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5,263</w:t>
            </w:r>
          </w:p>
        </w:tc>
        <w:tc>
          <w:tcPr>
            <w:tcW w:w="0" w:type="dxa"/>
            <w:vAlign w:val="bottom"/>
          </w:tcPr>
          <w:p>
            <w:pPr>
              <w:spacing w:after="0"/>
              <w:rPr>
                <w:sz w:val="1"/>
                <w:szCs w:val="1"/>
                <w:color w:val="auto"/>
              </w:rPr>
            </w:pPr>
          </w:p>
        </w:tc>
      </w:tr>
      <w:tr>
        <w:trPr>
          <w:trHeight w:val="165"/>
        </w:trPr>
        <w:tc>
          <w:tcPr>
            <w:tcW w:w="37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Repurchase of shares of Class A Common Stock,</w:t>
            </w: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(21,898)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(21,898)</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including excise taxes</w:t>
            </w: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A — $0.4700 per share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(21,090)</w:t>
            </w: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B — $0.4534 per share</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0" w:type="dxa"/>
            <w:vAlign w:val="bottom"/>
          </w:tcPr>
          <w:p>
            <w:pPr>
              <w:spacing w:after="0"/>
              <w:rPr>
                <w:sz w:val="1"/>
                <w:szCs w:val="1"/>
                <w:color w:val="auto"/>
              </w:rPr>
            </w:pPr>
          </w:p>
        </w:tc>
      </w:tr>
      <w:tr>
        <w:trPr>
          <w:trHeight w:val="237"/>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January 31,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353,794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1,090,045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1,038,732</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(Dollars in Thousands, 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c>
          <w:tcPr>
            <w:tcW w:w="0" w:type="dxa"/>
            <w:vAlign w:val="bottom"/>
          </w:tcPr>
          <w:p>
            <w:pPr>
              <w:spacing w:after="0"/>
              <w:rPr>
                <w:sz w:val="1"/>
                <w:szCs w:val="1"/>
                <w:color w:val="auto"/>
              </w:rPr>
            </w:pPr>
          </w:p>
        </w:tc>
      </w:tr>
      <w:tr>
        <w:trPr>
          <w:trHeight w:val="211"/>
        </w:trPr>
        <w:tc>
          <w:tcPr>
            <w:tcW w:w="8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87,117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90,869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5,263</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(5,030)</w:t>
            </w:r>
          </w:p>
        </w:tc>
        <w:tc>
          <w:tcPr>
            <w:tcW w:w="0" w:type="dxa"/>
            <w:vAlign w:val="bottom"/>
          </w:tcPr>
          <w:p>
            <w:pPr>
              <w:spacing w:after="0"/>
              <w:rPr>
                <w:sz w:val="1"/>
                <w:szCs w:val="1"/>
                <w:color w:val="auto"/>
              </w:rPr>
            </w:pPr>
          </w:p>
        </w:tc>
      </w:tr>
      <w:tr>
        <w:trPr>
          <w:trHeight w:val="213"/>
        </w:trPr>
        <w:tc>
          <w:tcPr>
            <w:tcW w:w="818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0" w:type="dxa"/>
            <w:vAlign w:val="bottom"/>
          </w:tcPr>
          <w:p>
            <w:pPr>
              <w:spacing w:after="0"/>
              <w:rPr>
                <w:sz w:val="1"/>
                <w:szCs w:val="1"/>
                <w:color w:val="auto"/>
              </w:rPr>
            </w:pPr>
          </w:p>
        </w:tc>
      </w:tr>
      <w:tr>
        <w:trPr>
          <w:trHeight w:val="213"/>
        </w:trPr>
        <w:tc>
          <w:tcPr>
            <w:tcW w:w="818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(4,203)</w:t>
            </w:r>
          </w:p>
        </w:tc>
        <w:tc>
          <w:tcPr>
            <w:tcW w:w="0" w:type="dxa"/>
            <w:vAlign w:val="bottom"/>
          </w:tcPr>
          <w:p>
            <w:pPr>
              <w:spacing w:after="0"/>
              <w:rPr>
                <w:sz w:val="1"/>
                <w:szCs w:val="1"/>
                <w:color w:val="auto"/>
              </w:rPr>
            </w:pPr>
          </w:p>
        </w:tc>
      </w:tr>
      <w:tr>
        <w:trPr>
          <w:trHeight w:val="207"/>
        </w:trPr>
        <w:tc>
          <w:tcPr>
            <w:tcW w:w="818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98,351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(60,832)</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(137,348)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818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(60,832)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Payment of dividends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(22,694)</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Payments for employee taxes withheld from stock-based awards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3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(21,797)</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Proceeds from borrowing on credit agreement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69,145</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Repayment of borrowing on credit agreement</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(70,771)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07"/>
        </w:trPr>
        <w:tc>
          <w:tcPr>
            <w:tcW w:w="818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(22,343)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(42,964)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(2,227)</w:t>
            </w:r>
          </w:p>
        </w:tc>
        <w:tc>
          <w:tcPr>
            <w:tcW w:w="0" w:type="dxa"/>
            <w:vAlign w:val="bottom"/>
          </w:tcPr>
          <w:p>
            <w:pPr>
              <w:spacing w:after="0"/>
              <w:rPr>
                <w:sz w:val="1"/>
                <w:szCs w:val="1"/>
                <w:color w:val="auto"/>
              </w:rPr>
            </w:pPr>
          </w:p>
        </w:tc>
      </w:tr>
      <w:tr>
        <w:trPr>
          <w:trHeight w:val="199"/>
        </w:trPr>
        <w:tc>
          <w:tcPr>
            <w:tcW w:w="8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(7,672)</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250,118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151,532</w:t>
            </w:r>
          </w:p>
        </w:tc>
        <w:tc>
          <w:tcPr>
            <w:tcW w:w="0" w:type="dxa"/>
            <w:vAlign w:val="bottom"/>
          </w:tcPr>
          <w:p>
            <w:pPr>
              <w:spacing w:after="0"/>
              <w:rPr>
                <w:sz w:val="1"/>
                <w:szCs w:val="1"/>
                <w:color w:val="auto"/>
              </w:rPr>
            </w:pPr>
          </w:p>
        </w:tc>
      </w:tr>
      <w:tr>
        <w:trPr>
          <w:trHeight w:val="199"/>
        </w:trPr>
        <w:tc>
          <w:tcPr>
            <w:tcW w:w="8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138,452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143,860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81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Six Months Ended January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 — Basis of Presentation</w:t>
      </w:r>
    </w:p>
    <w:p>
      <w:pPr>
        <w:spacing w:after="0" w:line="17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by Brady Corporation and subsidiaries (the “Company,” “Brady,” “we,” or “our”)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January 31, 2025 and July 31, 2024, its results of operations and comprehensive income for the three and six months ended January 31, 2025 and 2024, and cash flows for the six months ended January 31, 2025 and 2024. The condensed consolidated balance sheet as of July 31, 2024 has been derived from the audited consolidated financial statements as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Annual Report on Form 10-K for the year ended July 31, 2024.</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New Accounting Pronouncements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Standards not yet adopted</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The guidance requires expanded interim and annual disclosures of segment information including the disclosure of significant segment expenses that are regularly provided to the chief operating decision maker and included within segment profit and loss. The guidance is effective for the Company's fiscal 2025 Form 10-K and interim periods thereafter. The Company is currently assessing its segment information disclosures in connection with the adoption of ASU 2023-07.</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guidance requires expanded annual disclosures including the standardization and disaggregation of income tax rate reconciliation categories and the amount of income taxes paid by jurisdiction. The guidance is effective for the Company’s fiscal 2026 Form 10-K. The Company is currently assessing its income tax disclosures in connection with the adoption of ASU 2023-09.</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The guidance requires expanded interim and annual disclosures of expense information including the amounts of inventory purchases, employee compensation, depreciation, amortization, and depletion within commonly presented expense captions during the period. The guidance is effective for the Company's fiscal 2028 Form 10-K and interim periods thereafter. The Company is currently evaluating the ASU to determine its impact on the Company's disclosures.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 — Additional Balance Sheet Information</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Inventories consisted of the following as of January 31, 2025 and July 31,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220" w:type="dxa"/>
            <w:vAlign w:val="bottom"/>
          </w:tcPr>
          <w:p>
            <w:pPr>
              <w:spacing w:after="0"/>
              <w:rPr>
                <w:sz w:val="18"/>
                <w:szCs w:val="18"/>
                <w:color w:val="auto"/>
              </w:rPr>
            </w:pPr>
          </w:p>
        </w:tc>
        <w:tc>
          <w:tcPr>
            <w:tcW w:w="13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July 31, 2024</w:t>
            </w:r>
          </w:p>
        </w:tc>
      </w:tr>
      <w:tr>
        <w:trPr>
          <w:trHeight w:val="212"/>
        </w:trPr>
        <w:tc>
          <w:tcPr>
            <w:tcW w:w="7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products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102,614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89,430</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Work-in-process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24,601</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 and supplies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51,778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38,698</w:t>
            </w:r>
          </w:p>
        </w:tc>
      </w:tr>
      <w:tr>
        <w:trPr>
          <w:trHeight w:val="207"/>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inventories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181,810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152,729</w:t>
            </w:r>
          </w:p>
        </w:tc>
      </w:tr>
      <w:tr>
        <w:trPr>
          <w:trHeight w:val="23"/>
        </w:trPr>
        <w:tc>
          <w:tcPr>
            <w:tcW w:w="7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Property, plant and equipment is presented net of accumulated depreciation in the amount of $307,266 and $304,199 as of January 31, 2025 and July 31, 2024, respectively.</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D — Other Intangible Assets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intangible assets as of January 31, 2025 and July 31, 2024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920" w:type="dxa"/>
            <w:vAlign w:val="bottom"/>
          </w:tcPr>
          <w:p>
            <w:pPr>
              <w:spacing w:after="0"/>
              <w:rPr>
                <w:sz w:val="11"/>
                <w:szCs w:val="11"/>
                <w:color w:val="auto"/>
              </w:rPr>
            </w:pPr>
          </w:p>
        </w:tc>
        <w:tc>
          <w:tcPr>
            <w:tcW w:w="12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10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10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7"/>
                <w:szCs w:val="17"/>
                <w:color w:val="auto"/>
              </w:rPr>
            </w:pPr>
          </w:p>
        </w:tc>
        <w:tc>
          <w:tcPr>
            <w:tcW w:w="6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100" w:type="dxa"/>
            <w:vAlign w:val="bottom"/>
          </w:tcPr>
          <w:p>
            <w:pPr>
              <w:spacing w:after="0"/>
              <w:rPr>
                <w:sz w:val="17"/>
                <w:szCs w:val="17"/>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9"/>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Amortized other intangible assets:</w:t>
            </w: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Tradenames</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12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85"/>
              </w:rPr>
              <w:t>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Customer relationships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(30,026)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89,139</w:t>
            </w:r>
          </w:p>
        </w:tc>
        <w:tc>
          <w:tcPr>
            <w:tcW w:w="120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85"/>
              </w:rPr>
              <w:t>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41,151</w:t>
            </w:r>
          </w:p>
        </w:tc>
        <w:tc>
          <w:tcPr>
            <w:tcW w:w="0" w:type="dxa"/>
            <w:vAlign w:val="bottom"/>
          </w:tcPr>
          <w:p>
            <w:pPr>
              <w:spacing w:after="0"/>
              <w:rPr>
                <w:sz w:val="1"/>
                <w:szCs w:val="1"/>
                <w:color w:val="auto"/>
              </w:rPr>
            </w:pPr>
          </w:p>
        </w:tc>
      </w:tr>
      <w:tr>
        <w:trPr>
          <w:trHeight w:val="195"/>
        </w:trPr>
        <w:tc>
          <w:tcPr>
            <w:tcW w:w="2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Technology</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19,273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11,182</w:t>
            </w:r>
          </w:p>
        </w:tc>
        <w:tc>
          <w:tcPr>
            <w:tcW w:w="12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85"/>
              </w:rPr>
              <w:t>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3,118</w:t>
            </w: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Unamortized other intangible assets: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Tradenames</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7,512</w:t>
            </w: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7,570</w:t>
            </w:r>
          </w:p>
        </w:tc>
        <w:tc>
          <w:tcPr>
            <w:tcW w:w="0" w:type="dxa"/>
            <w:vAlign w:val="bottom"/>
          </w:tcPr>
          <w:p>
            <w:pPr>
              <w:spacing w:after="0"/>
              <w:rPr>
                <w:sz w:val="1"/>
                <w:szCs w:val="1"/>
                <w:color w:val="auto"/>
              </w:rPr>
            </w:pPr>
          </w:p>
        </w:tc>
      </w:tr>
      <w:tr>
        <w:trPr>
          <w:trHeight w:val="221"/>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146,781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(30,061)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51,839</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change in the gross carrying amount of other intangible assets as of January 31, 2025 compared to July 31, 2024 was primarily due to the acquisitions of Gravotech Holding (“Gravotech”) and American Barcode and RFID Incorporated (“AB&amp;R”) completed during the six months ended January 31, 2025 and to a lesser extent, the effect of currency fluctuations. Refer to Note N, “Acquisitions,” for additional information on intangible assets acquired.</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on intangible assets was $4,671 and $2,364 for the three months ended January 31, 2025 and 2024, respectively, and $9,384 and $4,719 for the six months ended January 31, 2025 and 2024, respectively.</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E — Leases</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leases certain manufacturing facilities, warehouse and office spaces, and vehicles accounted for as operating leases. Lease terms typically range from one year to ten years. As of January 31, 2025, the Company did not have any finance leases.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Operating lease expense was $4,539 and $3,804 for the three months ended January 31, 2025 and 2024, respectively, and $9,274 and $7,869 for the six months ended January 31, 2025 and 2024, respectively, which was recognized in either “Cost of goods sold” or “Selling, general and administrative” expenses in the condensed consolidated statements of income, based on the nature of the lease. Short-term lease expense, variable lease expenses, and sublease income were immaterial to the condensed consolidated statements of income for the three and six months ended January 31, 2025 and 2024.</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operating leases for the six months ended January 31, 2025 and 2024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80" w:type="dxa"/>
            <w:vAlign w:val="bottom"/>
          </w:tcPr>
          <w:p>
            <w:pPr>
              <w:spacing w:after="0"/>
              <w:rPr>
                <w:sz w:val="18"/>
                <w:szCs w:val="18"/>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c>
          <w:tcPr>
            <w:tcW w:w="480" w:type="dxa"/>
            <w:vAlign w:val="bottom"/>
            <w:tcBorders>
              <w:bottom w:val="single" w:sz="8" w:color="auto"/>
            </w:tcBorders>
          </w:tcPr>
          <w:p>
            <w:pPr>
              <w:spacing w:after="0"/>
              <w:rPr>
                <w:sz w:val="18"/>
                <w:szCs w:val="18"/>
                <w:color w:val="auto"/>
              </w:rPr>
            </w:pPr>
          </w:p>
        </w:tc>
      </w:tr>
      <w:tr>
        <w:trPr>
          <w:trHeight w:val="211"/>
        </w:trPr>
        <w:tc>
          <w:tcPr>
            <w:tcW w:w="80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r>
      <w:tr>
        <w:trPr>
          <w:trHeight w:val="211"/>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cash outflows from operating leases</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9,157</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8,585</w:t>
            </w:r>
          </w:p>
        </w:tc>
      </w:tr>
      <w:tr>
        <w:trPr>
          <w:trHeight w:val="281"/>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Operating lease assets obtained in exchange for new operating lease liabilities </w:t>
            </w:r>
            <w:r>
              <w:rPr>
                <w:rFonts w:ascii="Times New Roman" w:cs="Times New Roman" w:eastAsia="Times New Roman" w:hAnsi="Times New Roman"/>
                <w:sz w:val="21"/>
                <w:szCs w:val="21"/>
                <w:color w:val="auto"/>
                <w:vertAlign w:val="superscript"/>
              </w:rPr>
              <w:t>(1)</w:t>
            </w:r>
          </w:p>
        </w:tc>
        <w:tc>
          <w:tcPr>
            <w:tcW w:w="9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12,749</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2,551</w:t>
            </w:r>
          </w:p>
        </w:tc>
      </w:tr>
    </w:tbl>
    <w:p>
      <w:pPr>
        <w:spacing w:after="0" w:line="11" w:lineRule="exact"/>
        <w:rPr>
          <w:sz w:val="20"/>
          <w:szCs w:val="20"/>
          <w:color w:val="auto"/>
        </w:rPr>
      </w:pPr>
    </w:p>
    <w:p>
      <w:pPr>
        <w:ind w:left="480" w:hanging="148"/>
        <w:spacing w:after="0"/>
        <w:tabs>
          <w:tab w:leader="none" w:pos="48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new leases and remeasurements or modifications of existing leases.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F — Accumulated Other Comprehensive Loss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comprehensive loss consists of foreign currency translation adjustments, which includes net investment hedges and long-term intercompany loan translation adjustments, unrealized gains and losses from cash flow hedges, and the unamortized gain on post-retirement plans, net of their related tax effects.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changes in the balances of each component of accumulated other comprehensive loss, net of tax, for the six months ended January 31, 2025:</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5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Unrealized loss on</w:t>
            </w: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Unamortized gain</w:t>
            </w:r>
          </w:p>
        </w:tc>
        <w:tc>
          <w:tcPr>
            <w:tcW w:w="8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50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on post-retirement</w:t>
            </w:r>
          </w:p>
        </w:tc>
        <w:tc>
          <w:tcPr>
            <w:tcW w:w="80" w:type="dxa"/>
            <w:vAlign w:val="bottom"/>
          </w:tcPr>
          <w:p>
            <w:pPr>
              <w:spacing w:after="0"/>
              <w:rPr>
                <w:sz w:val="14"/>
                <w:szCs w:val="14"/>
                <w:color w:val="auto"/>
              </w:rPr>
            </w:pPr>
          </w:p>
        </w:tc>
        <w:tc>
          <w:tcPr>
            <w:tcW w:w="14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3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8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0" w:type="dxa"/>
            <w:vAlign w:val="bottom"/>
          </w:tcPr>
          <w:p>
            <w:pPr>
              <w:spacing w:after="0"/>
              <w:rPr>
                <w:sz w:val="1"/>
                <w:szCs w:val="1"/>
                <w:color w:val="auto"/>
              </w:rPr>
            </w:pPr>
          </w:p>
        </w:tc>
      </w:tr>
      <w:tr>
        <w:trPr>
          <w:trHeight w:val="236"/>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July 31, 2024</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(109,622)</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Other comprehensive loss before reclassification</w:t>
            </w: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60" w:type="dxa"/>
            <w:vAlign w:val="bottom"/>
            <w:tcBorders>
              <w:top w:val="single" w:sz="8" w:color="CCEEFF"/>
            </w:tcBorders>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(21,259)</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(21,902)</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0" w:type="dxa"/>
            <w:vAlign w:val="bottom"/>
          </w:tcPr>
          <w:p>
            <w:pPr>
              <w:spacing w:after="0"/>
              <w:rPr>
                <w:sz w:val="1"/>
                <w:szCs w:val="1"/>
                <w:color w:val="auto"/>
              </w:rPr>
            </w:pPr>
          </w:p>
        </w:tc>
      </w:tr>
      <w:tr>
        <w:trPr>
          <w:trHeight w:val="212"/>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January 31, 2025</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(131,194)</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(131,827)</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increase in accumulated other comprehensive loss as of January 31, 2025 compared to July 31, 2024 was primarily due to the appreciation of the U.S. dollar against certain other currencies during the six-month period.</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changes in accumulated other comprehensive loss by component, net of tax, for the six months ended January 31, 2024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5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Unrealized gain on</w:t>
            </w: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Unamortized gain</w:t>
            </w:r>
          </w:p>
        </w:tc>
        <w:tc>
          <w:tcPr>
            <w:tcW w:w="8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50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on post-retirement</w:t>
            </w:r>
          </w:p>
        </w:tc>
        <w:tc>
          <w:tcPr>
            <w:tcW w:w="80" w:type="dxa"/>
            <w:vAlign w:val="bottom"/>
          </w:tcPr>
          <w:p>
            <w:pPr>
              <w:spacing w:after="0"/>
              <w:rPr>
                <w:sz w:val="14"/>
                <w:szCs w:val="14"/>
                <w:color w:val="auto"/>
              </w:rPr>
            </w:pPr>
          </w:p>
        </w:tc>
        <w:tc>
          <w:tcPr>
            <w:tcW w:w="14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3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8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0" w:type="dxa"/>
            <w:vAlign w:val="bottom"/>
          </w:tcPr>
          <w:p>
            <w:pPr>
              <w:spacing w:after="0"/>
              <w:rPr>
                <w:sz w:val="1"/>
                <w:szCs w:val="1"/>
                <w:color w:val="auto"/>
              </w:rPr>
            </w:pPr>
          </w:p>
        </w:tc>
      </w:tr>
      <w:tr>
        <w:trPr>
          <w:trHeight w:val="236"/>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July 31, 2023</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(93,061)</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w:t>
            </w: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60" w:type="dxa"/>
            <w:vAlign w:val="bottom"/>
            <w:tcBorders>
              <w:top w:val="single" w:sz="8" w:color="CCEEFF"/>
            </w:tcBorders>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(5,773)</w:t>
            </w:r>
          </w:p>
        </w:tc>
        <w:tc>
          <w:tcPr>
            <w:tcW w:w="1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(5,423)</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0" w:type="dxa"/>
            <w:vAlign w:val="bottom"/>
          </w:tcPr>
          <w:p>
            <w:pPr>
              <w:spacing w:after="0"/>
              <w:rPr>
                <w:sz w:val="1"/>
                <w:szCs w:val="1"/>
                <w:color w:val="auto"/>
              </w:rPr>
            </w:pPr>
          </w:p>
        </w:tc>
      </w:tr>
      <w:tr>
        <w:trPr>
          <w:trHeight w:val="212"/>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January 31, 2024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(101,231)</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(99,941)</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increase in accumulated other comprehensive loss as of January 31, 2024 compared to July 31, 2023 was primarily due to the appreciation of the U.S. dollar against certain other currencies during the six-month period.</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Of the amounts reclassified from accumulated other comprehensive loss during the six months ended January 31, 2025 and 2024, unrealized gains on cash flow hedges were reclassified to “Cost of goods sold” and unamortized gains on post-retirement plans were reclassified into “Investment and other income” on the condensed consolidated statements of income.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illustrates the income tax (expense) benefit on the components of other comprehensive loss for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2025 and 2024:</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280" w:type="dxa"/>
            <w:vAlign w:val="bottom"/>
          </w:tcPr>
          <w:p>
            <w:pPr>
              <w:spacing w:after="0"/>
              <w:rPr>
                <w:sz w:val="18"/>
                <w:szCs w:val="18"/>
                <w:color w:val="auto"/>
              </w:rPr>
            </w:pPr>
          </w:p>
        </w:tc>
        <w:tc>
          <w:tcPr>
            <w:tcW w:w="270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r>
      <w:tr>
        <w:trPr>
          <w:trHeight w:val="211"/>
        </w:trPr>
        <w:tc>
          <w:tcPr>
            <w:tcW w:w="5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 related to items of other comprehensive loss:</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0"/>
        </w:trPr>
        <w:tc>
          <w:tcPr>
            <w:tcW w:w="5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flow hedges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G — Revenue Recognition</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revenue when control of the product or service transfers to the customer at an amount that represents the consideration expected to be received in exchange for those products and services. The Company’s revenues are primarily from the sale of identification solutions and workplace safety products that are shipped and billed to customers. All revenue is from contracts with customers and is included in “Net sales” on the condensed consolidated statements of income. See Note H, “Segment Information,” for the Company’s disaggregated revenue disclosure.</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offers extended warranty coverage that is included in the sales price of certain products, which it accounts for as service warranties. The Company accounts for the deferred revenue associated with extended service warranties as a contract liability. The balance of contract liabilities associated with service warranty performance obligations was $2,963 and $2,947 as of January 31, 2025 and July 31, 2024, respectively. The current portion and non-current portion of contract liabilities are included in “Other current liabilities” and “Other liabilities,” respectively, on the condensed consolidated balance sheets. The Company recognized revenue of $341 and $321 during the three months ended January 31, 2025 and 2024, respectively, and $678 and $635 during the six months ended January 31, 2025 and 2024, respectively, that was included in the contract liability balance at the beginning of the respective period from the amortization of extended service warranties. Of the contract liability balance outstanding at January 31, 2025, the Company expects to recognize 22% by the end of fiscal 2025, an additional 35% by the end of fiscal 2026, and the remaining balance thereafter.</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H — Segment Information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is organized and managed within two regions: Americas &amp; Asia and Europe &amp; Australia, which are the reportable segments.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net sales by segment and geographic region for the three and six months ended January 31, 2025 and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280" w:type="dxa"/>
            <w:vAlign w:val="bottom"/>
          </w:tcPr>
          <w:p>
            <w:pPr>
              <w:spacing w:after="0"/>
              <w:rPr>
                <w:sz w:val="18"/>
                <w:szCs w:val="18"/>
                <w:color w:val="auto"/>
              </w:rPr>
            </w:pPr>
          </w:p>
        </w:tc>
        <w:tc>
          <w:tcPr>
            <w:tcW w:w="270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c>
          <w:tcPr>
            <w:tcW w:w="0" w:type="dxa"/>
            <w:vAlign w:val="bottom"/>
          </w:tcPr>
          <w:p>
            <w:pPr>
              <w:spacing w:after="0"/>
              <w:rPr>
                <w:sz w:val="1"/>
                <w:szCs w:val="1"/>
                <w:color w:val="auto"/>
              </w:rPr>
            </w:pPr>
          </w:p>
        </w:tc>
      </w:tr>
      <w:tr>
        <w:trPr>
          <w:trHeight w:val="211"/>
        </w:trPr>
        <w:tc>
          <w:tcPr>
            <w:tcW w:w="5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Americas &amp; Asia</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i w:val="1"/>
                <w:iCs w:val="1"/>
                <w:color w:val="auto"/>
              </w:rPr>
              <w:t>Americas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416,580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382,262</w:t>
            </w:r>
          </w:p>
        </w:tc>
        <w:tc>
          <w:tcPr>
            <w:tcW w:w="0" w:type="dxa"/>
            <w:vAlign w:val="bottom"/>
          </w:tcPr>
          <w:p>
            <w:pPr>
              <w:spacing w:after="0"/>
              <w:rPr>
                <w:sz w:val="1"/>
                <w:szCs w:val="1"/>
                <w:color w:val="auto"/>
              </w:rPr>
            </w:pPr>
          </w:p>
        </w:tc>
      </w:tr>
      <w:tr>
        <w:trPr>
          <w:trHeight w:val="214"/>
        </w:trPr>
        <w:tc>
          <w:tcPr>
            <w:tcW w:w="5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i w:val="1"/>
                <w:iCs w:val="1"/>
                <w:color w:val="auto"/>
              </w:rPr>
              <w:t>Asia</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31,299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25,667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62,694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51,007</w:t>
            </w:r>
          </w:p>
        </w:tc>
        <w:tc>
          <w:tcPr>
            <w:tcW w:w="0" w:type="dxa"/>
            <w:vAlign w:val="bottom"/>
          </w:tcPr>
          <w:p>
            <w:pPr>
              <w:spacing w:after="0"/>
              <w:rPr>
                <w:sz w:val="1"/>
                <w:szCs w:val="1"/>
                <w:color w:val="auto"/>
              </w:rPr>
            </w:pPr>
          </w:p>
        </w:tc>
      </w:tr>
      <w:tr>
        <w:trPr>
          <w:trHeight w:val="233"/>
        </w:trPr>
        <w:tc>
          <w:tcPr>
            <w:tcW w:w="5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233,846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211,643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479,274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433,269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Europe &amp; Australia</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i w:val="1"/>
                <w:iCs w:val="1"/>
                <w:color w:val="auto"/>
              </w:rPr>
              <w:t>Europe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226,630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194,704</w:t>
            </w:r>
          </w:p>
        </w:tc>
        <w:tc>
          <w:tcPr>
            <w:tcW w:w="0" w:type="dxa"/>
            <w:vAlign w:val="bottom"/>
          </w:tcPr>
          <w:p>
            <w:pPr>
              <w:spacing w:after="0"/>
              <w:rPr>
                <w:sz w:val="1"/>
                <w:szCs w:val="1"/>
                <w:color w:val="auto"/>
              </w:rPr>
            </w:pPr>
          </w:p>
        </w:tc>
      </w:tr>
      <w:tr>
        <w:trPr>
          <w:trHeight w:val="214"/>
        </w:trPr>
        <w:tc>
          <w:tcPr>
            <w:tcW w:w="5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i w:val="1"/>
                <w:iCs w:val="1"/>
                <w:color w:val="auto"/>
              </w:rPr>
              <w:t>Australia</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12,352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12,610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27,836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26,634</w:t>
            </w:r>
          </w:p>
        </w:tc>
        <w:tc>
          <w:tcPr>
            <w:tcW w:w="0" w:type="dxa"/>
            <w:vAlign w:val="bottom"/>
          </w:tcPr>
          <w:p>
            <w:pPr>
              <w:spacing w:after="0"/>
              <w:rPr>
                <w:sz w:val="1"/>
                <w:szCs w:val="1"/>
                <w:color w:val="auto"/>
              </w:rPr>
            </w:pPr>
          </w:p>
        </w:tc>
      </w:tr>
      <w:tr>
        <w:trPr>
          <w:trHeight w:val="233"/>
        </w:trPr>
        <w:tc>
          <w:tcPr>
            <w:tcW w:w="5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122,829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110,981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254,466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221,338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Company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356,675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322,624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733,740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654,607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segment profit for the three and six months ended January 31, 2025 and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306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280" w:type="dxa"/>
            <w:vAlign w:val="bottom"/>
          </w:tcPr>
          <w:p>
            <w:pPr>
              <w:spacing w:after="0"/>
              <w:rPr>
                <w:sz w:val="18"/>
                <w:szCs w:val="18"/>
                <w:color w:val="auto"/>
              </w:rPr>
            </w:pPr>
          </w:p>
        </w:tc>
        <w:tc>
          <w:tcPr>
            <w:tcW w:w="270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r>
      <w:tr>
        <w:trPr>
          <w:trHeight w:val="211"/>
        </w:trPr>
        <w:tc>
          <w:tcPr>
            <w:tcW w:w="520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profit:</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5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Americas &amp; Asia</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45,986</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43,895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100,886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93,792</w:t>
            </w:r>
          </w:p>
        </w:tc>
      </w:tr>
      <w:tr>
        <w:trPr>
          <w:trHeight w:val="21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Europe &amp; Australia</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11,378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31,798</w:t>
            </w:r>
          </w:p>
        </w:tc>
      </w:tr>
      <w:tr>
        <w:trPr>
          <w:trHeight w:val="20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profit from reportable segments</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57,364</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58,949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125,378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125,590</w:t>
            </w:r>
          </w:p>
        </w:tc>
      </w:tr>
      <w:tr>
        <w:trPr>
          <w:trHeight w:val="23"/>
        </w:trPr>
        <w:tc>
          <w:tcPr>
            <w:tcW w:w="5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Total profit from reportable segments is a measure of operating income that excludes administrative costs related to corporate functions that are otherwise included in the Company's operating income. The following is a reconciliation of total profit from reportable segments to income before income taxes for the three and six months ended January 31, 2025 and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304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280" w:type="dxa"/>
            <w:vAlign w:val="bottom"/>
          </w:tcPr>
          <w:p>
            <w:pPr>
              <w:spacing w:after="0"/>
              <w:rPr>
                <w:sz w:val="18"/>
                <w:szCs w:val="18"/>
                <w:color w:val="auto"/>
              </w:rPr>
            </w:pPr>
          </w:p>
        </w:tc>
        <w:tc>
          <w:tcPr>
            <w:tcW w:w="270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r>
      <w:tr>
        <w:trPr>
          <w:trHeight w:val="211"/>
        </w:trPr>
        <w:tc>
          <w:tcPr>
            <w:tcW w:w="52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profit from reportable segments</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57,364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125,590</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Unallocated amounts:</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Administrative costs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(11,934)</w:t>
            </w:r>
          </w:p>
        </w:tc>
      </w:tr>
      <w:tr>
        <w:trPr>
          <w:trHeight w:val="213"/>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Investment and other income</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3,122</w:t>
            </w:r>
          </w:p>
        </w:tc>
      </w:tr>
      <w:tr>
        <w:trPr>
          <w:trHeight w:val="21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w:t>
            </w:r>
          </w:p>
        </w:tc>
      </w:tr>
      <w:tr>
        <w:trPr>
          <w:trHeight w:val="207"/>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52,047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55,820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110,847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115,222</w:t>
            </w:r>
          </w:p>
        </w:tc>
      </w:tr>
      <w:tr>
        <w:trPr>
          <w:trHeight w:val="23"/>
        </w:trPr>
        <w:tc>
          <w:tcPr>
            <w:tcW w:w="5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I — Net Income per Common Share</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Reconciliations of the numerator and denominator of the basic and diluted per share computations for the Company’s Class A and Class B common stock are summarized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304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280" w:type="dxa"/>
            <w:vAlign w:val="bottom"/>
          </w:tcPr>
          <w:p>
            <w:pPr>
              <w:spacing w:after="0"/>
              <w:rPr>
                <w:sz w:val="18"/>
                <w:szCs w:val="18"/>
                <w:color w:val="auto"/>
              </w:rPr>
            </w:pPr>
          </w:p>
        </w:tc>
        <w:tc>
          <w:tcPr>
            <w:tcW w:w="270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c>
          <w:tcPr>
            <w:tcW w:w="0" w:type="dxa"/>
            <w:vAlign w:val="bottom"/>
          </w:tcPr>
          <w:p>
            <w:pPr>
              <w:spacing w:after="0"/>
              <w:rPr>
                <w:sz w:val="1"/>
                <w:szCs w:val="1"/>
                <w:color w:val="auto"/>
              </w:rPr>
            </w:pPr>
          </w:p>
        </w:tc>
      </w:tr>
      <w:tr>
        <w:trPr>
          <w:trHeight w:val="211"/>
        </w:trPr>
        <w:tc>
          <w:tcPr>
            <w:tcW w:w="52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 (in thousands):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22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Net income (Numerator for basic and diluted income per Class A</w:t>
            </w:r>
          </w:p>
        </w:tc>
        <w:tc>
          <w:tcPr>
            <w:tcW w:w="880" w:type="dxa"/>
            <w:vAlign w:val="bottom"/>
            <w:vMerge w:val="restart"/>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40,334</w:t>
            </w:r>
          </w:p>
        </w:tc>
        <w:tc>
          <w:tcPr>
            <w:tcW w:w="100" w:type="dxa"/>
            <w:vAlign w:val="bottom"/>
          </w:tcPr>
          <w:p>
            <w:pPr>
              <w:spacing w:after="0"/>
              <w:rPr>
                <w:sz w:val="14"/>
                <w:szCs w:val="14"/>
                <w:color w:val="auto"/>
              </w:rPr>
            </w:pPr>
          </w:p>
        </w:tc>
        <w:tc>
          <w:tcPr>
            <w:tcW w:w="32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43,628</w:t>
            </w:r>
          </w:p>
        </w:tc>
        <w:tc>
          <w:tcPr>
            <w:tcW w:w="100" w:type="dxa"/>
            <w:vAlign w:val="bottom"/>
          </w:tcPr>
          <w:p>
            <w:pPr>
              <w:spacing w:after="0"/>
              <w:rPr>
                <w:sz w:val="14"/>
                <w:szCs w:val="14"/>
                <w:color w:val="auto"/>
              </w:rPr>
            </w:pPr>
          </w:p>
        </w:tc>
        <w:tc>
          <w:tcPr>
            <w:tcW w:w="2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87,117</w:t>
            </w:r>
          </w:p>
        </w:tc>
        <w:tc>
          <w:tcPr>
            <w:tcW w:w="100" w:type="dxa"/>
            <w:vAlign w:val="bottom"/>
          </w:tcPr>
          <w:p>
            <w:pPr>
              <w:spacing w:after="0"/>
              <w:rPr>
                <w:sz w:val="14"/>
                <w:szCs w:val="14"/>
                <w:color w:val="auto"/>
              </w:rPr>
            </w:pPr>
          </w:p>
        </w:tc>
        <w:tc>
          <w:tcPr>
            <w:tcW w:w="3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90,869</w:t>
            </w:r>
          </w:p>
        </w:tc>
        <w:tc>
          <w:tcPr>
            <w:tcW w:w="0" w:type="dxa"/>
            <w:vAlign w:val="bottom"/>
          </w:tcPr>
          <w:p>
            <w:pPr>
              <w:spacing w:after="0"/>
              <w:rPr>
                <w:sz w:val="1"/>
                <w:szCs w:val="1"/>
                <w:color w:val="auto"/>
              </w:rPr>
            </w:pPr>
          </w:p>
        </w:tc>
      </w:tr>
      <w:tr>
        <w:trPr>
          <w:trHeight w:val="213"/>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Nonvoting Common Share)</w:t>
            </w:r>
          </w:p>
        </w:tc>
        <w:tc>
          <w:tcPr>
            <w:tcW w:w="88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Less: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Preferential dividends</w:t>
            </w:r>
          </w:p>
        </w:tc>
        <w:tc>
          <w:tcPr>
            <w:tcW w:w="8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Preferential dividends on dilutive stock options</w:t>
            </w:r>
          </w:p>
        </w:tc>
        <w:tc>
          <w:tcPr>
            <w:tcW w:w="8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42"/>
        </w:trPr>
        <w:tc>
          <w:tcPr>
            <w:tcW w:w="5220" w:type="dxa"/>
            <w:vAlign w:val="bottom"/>
          </w:tcPr>
          <w:p>
            <w:pPr>
              <w:ind w:left="360"/>
              <w:spacing w:after="0" w:line="142" w:lineRule="exact"/>
              <w:rPr>
                <w:sz w:val="20"/>
                <w:szCs w:val="20"/>
                <w:color w:val="auto"/>
              </w:rPr>
            </w:pPr>
            <w:r>
              <w:rPr>
                <w:rFonts w:ascii="Times New Roman" w:cs="Times New Roman" w:eastAsia="Times New Roman" w:hAnsi="Times New Roman"/>
                <w:sz w:val="16"/>
                <w:szCs w:val="16"/>
                <w:color w:val="auto"/>
              </w:rPr>
              <w:t>Numerator for basic and diluted income per Class B Voting Common</w:t>
            </w:r>
          </w:p>
        </w:tc>
        <w:tc>
          <w:tcPr>
            <w:tcW w:w="880" w:type="dxa"/>
            <w:vAlign w:val="bottom"/>
            <w:tcBorders>
              <w:top w:val="single" w:sz="8" w:color="auto"/>
            </w:tcBorders>
            <w:vMerge w:val="restart"/>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40,334</w:t>
            </w:r>
          </w:p>
        </w:tc>
        <w:tc>
          <w:tcPr>
            <w:tcW w:w="100" w:type="dxa"/>
            <w:vAlign w:val="bottom"/>
          </w:tcPr>
          <w:p>
            <w:pPr>
              <w:spacing w:after="0"/>
              <w:rPr>
                <w:sz w:val="12"/>
                <w:szCs w:val="12"/>
                <w:color w:val="auto"/>
              </w:rPr>
            </w:pPr>
          </w:p>
        </w:tc>
        <w:tc>
          <w:tcPr>
            <w:tcW w:w="320" w:type="dxa"/>
            <w:vAlign w:val="bottom"/>
            <w:tcBorders>
              <w:top w:val="single" w:sz="8" w:color="auto"/>
            </w:tcBorders>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43,628</w:t>
            </w:r>
          </w:p>
        </w:tc>
        <w:tc>
          <w:tcPr>
            <w:tcW w:w="100" w:type="dxa"/>
            <w:vAlign w:val="bottom"/>
          </w:tcPr>
          <w:p>
            <w:pPr>
              <w:spacing w:after="0"/>
              <w:rPr>
                <w:sz w:val="12"/>
                <w:szCs w:val="12"/>
                <w:color w:val="auto"/>
              </w:rPr>
            </w:pPr>
          </w:p>
        </w:tc>
        <w:tc>
          <w:tcPr>
            <w:tcW w:w="280" w:type="dxa"/>
            <w:vAlign w:val="bottom"/>
            <w:tcBorders>
              <w:top w:val="single" w:sz="8" w:color="auto"/>
            </w:tcBorders>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86,373</w:t>
            </w:r>
          </w:p>
        </w:tc>
        <w:tc>
          <w:tcPr>
            <w:tcW w:w="100" w:type="dxa"/>
            <w:vAlign w:val="bottom"/>
          </w:tcPr>
          <w:p>
            <w:pPr>
              <w:spacing w:after="0"/>
              <w:rPr>
                <w:sz w:val="12"/>
                <w:szCs w:val="12"/>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90,116</w:t>
            </w:r>
          </w:p>
        </w:tc>
        <w:tc>
          <w:tcPr>
            <w:tcW w:w="0" w:type="dxa"/>
            <w:vAlign w:val="bottom"/>
          </w:tcPr>
          <w:p>
            <w:pPr>
              <w:spacing w:after="0"/>
              <w:rPr>
                <w:sz w:val="1"/>
                <w:szCs w:val="1"/>
                <w:color w:val="auto"/>
              </w:rPr>
            </w:pPr>
          </w:p>
        </w:tc>
      </w:tr>
      <w:tr>
        <w:trPr>
          <w:trHeight w:val="194"/>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w:t>
            </w:r>
          </w:p>
        </w:tc>
        <w:tc>
          <w:tcPr>
            <w:tcW w:w="8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Denominator (in thousands):</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Denominator for basic income per share for both Class A and Class B</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47,851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48,440</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Plus: Effect of dilutive equity awards</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0" w:type="dxa"/>
            <w:vAlign w:val="bottom"/>
          </w:tcPr>
          <w:p>
            <w:pPr>
              <w:spacing w:after="0"/>
              <w:rPr>
                <w:sz w:val="1"/>
                <w:szCs w:val="1"/>
                <w:color w:val="auto"/>
              </w:rPr>
            </w:pPr>
          </w:p>
        </w:tc>
      </w:tr>
      <w:tr>
        <w:trPr>
          <w:trHeight w:val="207"/>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Denominator for diluted income per share for both Class A and Class B</w:t>
            </w: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48,306</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48,725</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48,261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48,768</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Class A Nonvoting Common Share:</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Basic</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Diluted</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Class B Voting Common Share:</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Basic</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10"/>
        </w:trPr>
        <w:tc>
          <w:tcPr>
            <w:tcW w:w="5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Diluted</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bl>
    <w:p>
      <w:pPr>
        <w:spacing w:after="0" w:line="23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Potentially dilutive securities attributable to outstanding stock options and restricted stock units were excluded from the calculation of diluted earnings per share where the combined exercise price and average unamortized fair value were greater than the average market price of the Company's Class A Nonvoting Common Stock because the effect would have been anti-dilutive. There were no anti-dilutive shares for the three months ended January 31, 2025. The amount of anti-dilutive shares were 49,562 for the three months ended January 31, 2024, and 8,639 and 181,674 for the six months ended January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J — Fair Value Measurements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fair value accounting guidance, the Company determines fair value based on the exchange price that would be received to sell an asset or paid to transfer a liability in an orderly transaction between market participants. The inputs used to measure fair value are classified into the following hierarchy:</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for identical instruments that are accessible as of the reporting date.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Other significant pricing inputs that are either directly or indirectly observable.</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Significant unobservable pricing inputs, which result in the use of management's own assumptions.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financial assets and liabilities that were accounted for at fair value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2025 and July 31, 2024:</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22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July 31, 2024</w:t>
            </w:r>
          </w:p>
        </w:tc>
        <w:tc>
          <w:tcPr>
            <w:tcW w:w="15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 Hierarchy</w:t>
            </w:r>
          </w:p>
        </w:tc>
      </w:tr>
      <w:tr>
        <w:trPr>
          <w:trHeight w:val="199"/>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13"/>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compensation plan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20,029</w:t>
            </w:r>
          </w:p>
        </w:tc>
        <w:tc>
          <w:tcPr>
            <w:tcW w:w="120" w:type="dxa"/>
            <w:vAlign w:val="bottom"/>
          </w:tcPr>
          <w:p>
            <w:pPr>
              <w:spacing w:after="0"/>
              <w:rPr>
                <w:sz w:val="18"/>
                <w:szCs w:val="18"/>
                <w:color w:val="auto"/>
              </w:rPr>
            </w:pPr>
          </w:p>
        </w:tc>
        <w:tc>
          <w:tcPr>
            <w:tcW w:w="1560" w:type="dxa"/>
            <w:vAlign w:val="bottom"/>
          </w:tcPr>
          <w:p>
            <w:pPr>
              <w:ind w:left="1060"/>
              <w:spacing w:after="0"/>
              <w:rPr>
                <w:sz w:val="20"/>
                <w:szCs w:val="20"/>
                <w:color w:val="auto"/>
              </w:rPr>
            </w:pPr>
            <w:r>
              <w:rPr>
                <w:rFonts w:ascii="Times New Roman" w:cs="Times New Roman" w:eastAsia="Times New Roman" w:hAnsi="Times New Roman"/>
                <w:sz w:val="16"/>
                <w:szCs w:val="16"/>
                <w:color w:val="auto"/>
                <w:w w:val="99"/>
              </w:rPr>
              <w:t>Level 1</w:t>
            </w:r>
          </w:p>
        </w:tc>
      </w:tr>
      <w:tr>
        <w:trPr>
          <w:trHeight w:val="21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w w:val="99"/>
              </w:rPr>
              <w:t>Level 2</w:t>
            </w:r>
          </w:p>
        </w:tc>
      </w:tr>
      <w:tr>
        <w:trPr>
          <w:trHeight w:val="21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w w:val="99"/>
              </w:rPr>
              <w:t>Level 2</w:t>
            </w: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w:t>
      </w:r>
    </w:p>
    <w:p>
      <w:pPr>
        <w:spacing w:after="0" w:line="16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Deferred compensation plan assets: </w:t>
      </w:r>
      <w:r>
        <w:rPr>
          <w:rFonts w:ascii="Times New Roman" w:cs="Times New Roman" w:eastAsia="Times New Roman" w:hAnsi="Times New Roman"/>
          <w:sz w:val="18"/>
          <w:szCs w:val="18"/>
          <w:color w:val="auto"/>
        </w:rPr>
        <w:t>The Company’s deferred compensation investments consist of investments in mutual funds, which are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assets” on the condensed consolidated balance sheets. These investments were classified as Level 1 as the shares of these investments trade with sufficient frequency and volume to enable us to obtain pricing information on an ongoing basis.</w:t>
      </w:r>
    </w:p>
    <w:p>
      <w:pPr>
        <w:spacing w:after="0" w:line="11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Foreign exchange contracts: </w:t>
      </w:r>
      <w:r>
        <w:rPr>
          <w:rFonts w:ascii="Times New Roman" w:cs="Times New Roman" w:eastAsia="Times New Roman" w:hAnsi="Times New Roman"/>
          <w:sz w:val="18"/>
          <w:szCs w:val="18"/>
          <w:color w:val="auto"/>
        </w:rPr>
        <w:t>The Company’s foreign exchange contracts were classified as Level 2 as the fair value was based on the present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future cash flows using external models that use observable inputs, such as interest rates, yield curves and foreign exchange rates. See Note K, “Derivatives and Hedging Activities,” for additional information.</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fair values of cash and cash equivalents, accounts receivable, accounts payable, and other liabilities approximated carrying values due to their short-term nature.</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K — Derivatives and Hedging Activities</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on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Main foreign currency exposures are related to transactions denominated in the British Pound, Euro, Canadian dollar, Australian dollar, Mexican Peso, Chinese Yuan, Malaysian Ringgit and Singapore dollar. Generally, these risk management transactions will involve the use of foreign currency derivatives to minimize the impact of currency movements on non-functional currency transactions.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U.S. dollar equivalent notional amounts of outstanding forward exchange contracts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200" w:type="dxa"/>
            <w:vAlign w:val="bottom"/>
          </w:tcPr>
          <w:p>
            <w:pPr>
              <w:spacing w:after="0"/>
              <w:rPr>
                <w:sz w:val="18"/>
                <w:szCs w:val="18"/>
                <w:color w:val="auto"/>
              </w:rPr>
            </w:pPr>
          </w:p>
        </w:tc>
        <w:tc>
          <w:tcPr>
            <w:tcW w:w="13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July 31, 2024</w:t>
            </w:r>
          </w:p>
        </w:tc>
      </w:tr>
      <w:tr>
        <w:trPr>
          <w:trHeight w:val="213"/>
        </w:trPr>
        <w:tc>
          <w:tcPr>
            <w:tcW w:w="8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Designated as cash flow hedges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29,660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59,207</w:t>
            </w:r>
          </w:p>
        </w:tc>
      </w:tr>
      <w:tr>
        <w:trPr>
          <w:trHeight w:val="21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Non-designated hedges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4,459</w:t>
            </w:r>
          </w:p>
        </w:tc>
      </w:tr>
      <w:tr>
        <w:trPr>
          <w:trHeight w:val="237"/>
        </w:trPr>
        <w:tc>
          <w:tcPr>
            <w:tcW w:w="8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foreign exchange contracts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33,793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63,666</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designated a portion of its forward foreign exchange contracts as cash flow hedges and recorded these contracts at fair value on the condensed consolidated balance sheets. For these instruments, the effective portion of the gain or loss on the derivative is reported as a component of other comprehensive income (“OCI”) and reclassified into income in the same period or periods during which the hedged transaction affects income. As of January 31, 2025 and July 31, 2024, unrealized losses of $529 and $124 have been included in OCI, respectively.</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designated certain third party foreign currency denominated debt borrowed under its credit agreement as net investment hedges. These debt obligations, denominated in Euros and British Pounds, were designated as net investment hedges to hedge portions of the Company's net investment in its European operations. The Company’s foreign currency denominated debt obligations are valued under a market approach using publicized spot prices, and the net gains or losses attributable to the changes in spot prices are recorded as cumulative translation within AOCI and are included in the foreign currency translation adjustments section of the condensed consolidated statements of comprehensive income. As of January 31, 2025 and July 31, 2024, the cumulative balances recognized in accumulated other comprehensive income were gains of $33 and losses of $1,237, respectively, on any outstanding foreign currency denominated debt obligations.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amount of pre-tax gains and losses related to derivatives designated as hedging instruments: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80" w:type="dxa"/>
            <w:vAlign w:val="bottom"/>
          </w:tcPr>
          <w:p>
            <w:pPr>
              <w:spacing w:after="0"/>
              <w:rPr>
                <w:sz w:val="18"/>
                <w:szCs w:val="18"/>
                <w:color w:val="auto"/>
              </w:rPr>
            </w:pPr>
          </w:p>
        </w:tc>
        <w:tc>
          <w:tcPr>
            <w:tcW w:w="304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280" w:type="dxa"/>
            <w:vAlign w:val="bottom"/>
          </w:tcPr>
          <w:p>
            <w:pPr>
              <w:spacing w:after="0"/>
              <w:rPr>
                <w:sz w:val="18"/>
                <w:szCs w:val="18"/>
                <w:color w:val="auto"/>
              </w:rPr>
            </w:pPr>
          </w:p>
        </w:tc>
        <w:tc>
          <w:tcPr>
            <w:tcW w:w="270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r>
      <w:tr>
        <w:trPr>
          <w:trHeight w:val="211"/>
        </w:trPr>
        <w:tc>
          <w:tcPr>
            <w:tcW w:w="518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Gains (losses) recognized in OCI:</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Forward exchange contracts (cash flow hedges)</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w:t>
            </w:r>
          </w:p>
        </w:tc>
      </w:tr>
      <w:tr>
        <w:trPr>
          <w:trHeight w:val="219"/>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currency denominated debt (net investment hedges)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r>
      <w:tr>
        <w:trPr>
          <w:trHeight w:val="214"/>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(Losses) gains reclassified from OCI into cost of goods sold</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8"/>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Forward exchange contracts (cash flow hedges)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w:t>
            </w: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Fair values of derivative instruments in the condensed consolidated balance sheets were as follows: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p>
      <w:pPr>
        <w:spacing w:after="0" w:line="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Foreign exchange contracts (cash flow hedges)</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Foreign currency denominated debt (net investment hedges)</w:t>
      </w:r>
    </w:p>
    <w:p>
      <w:pPr>
        <w:spacing w:after="0" w:line="30" w:lineRule="exact"/>
        <w:rPr>
          <w:sz w:val="20"/>
          <w:szCs w:val="20"/>
          <w:color w:val="auto"/>
        </w:rPr>
      </w:pPr>
    </w:p>
    <w:p>
      <w:pPr>
        <w:jc w:val="right"/>
        <w:ind w:left="20" w:right="680"/>
        <w:spacing w:after="0" w:line="308" w:lineRule="auto"/>
        <w:rPr>
          <w:sz w:val="20"/>
          <w:szCs w:val="20"/>
          <w:color w:val="auto"/>
        </w:rPr>
      </w:pPr>
      <w:r>
        <w:rPr>
          <w:rFonts w:ascii="Times New Roman" w:cs="Times New Roman" w:eastAsia="Times New Roman" w:hAnsi="Times New Roman"/>
          <w:sz w:val="16"/>
          <w:szCs w:val="16"/>
          <w:b w:val="1"/>
          <w:bCs w:val="1"/>
          <w:color w:val="auto"/>
        </w:rPr>
        <w:t xml:space="preserve">Derivatives not designated as hedging instruments: </w:t>
      </w:r>
      <w:r>
        <w:rPr>
          <w:rFonts w:ascii="Times New Roman" w:cs="Times New Roman" w:eastAsia="Times New Roman" w:hAnsi="Times New Roman"/>
          <w:sz w:val="16"/>
          <w:szCs w:val="16"/>
          <w:color w:val="auto"/>
        </w:rPr>
        <w:t>Foreign exchange contracts (non-designated hedges)</w:t>
      </w:r>
    </w:p>
    <w:p>
      <w:pPr>
        <w:ind w:left="20"/>
        <w:spacing w:after="0"/>
        <w:rPr>
          <w:sz w:val="20"/>
          <w:szCs w:val="20"/>
          <w:color w:val="auto"/>
        </w:rPr>
      </w:pPr>
      <w:r>
        <w:rPr>
          <w:rFonts w:ascii="Times New Roman" w:cs="Times New Roman" w:eastAsia="Times New Roman" w:hAnsi="Times New Roman"/>
          <w:sz w:val="16"/>
          <w:szCs w:val="16"/>
          <w:b w:val="1"/>
          <w:bCs w:val="1"/>
          <w:color w:val="auto"/>
        </w:rPr>
        <w:t>Total derivative instruments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July 31, 2024</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40" w:type="dxa"/>
            <w:vAlign w:val="bottom"/>
          </w:tcPr>
          <w:p>
            <w:pPr>
              <w:spacing w:after="0"/>
              <w:rPr>
                <w:sz w:val="13"/>
                <w:szCs w:val="13"/>
                <w:color w:val="auto"/>
              </w:rPr>
            </w:pPr>
          </w:p>
        </w:tc>
        <w:tc>
          <w:tcPr>
            <w:tcW w:w="80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9"/>
              </w:rPr>
              <w:t>Prepaid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Prepaid</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expenses and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expenses and</w:t>
            </w: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80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140" w:type="dxa"/>
            <w:vAlign w:val="bottom"/>
          </w:tcPr>
          <w:p>
            <w:pPr>
              <w:spacing w:after="0"/>
              <w:rPr>
                <w:sz w:val="14"/>
                <w:szCs w:val="14"/>
                <w:color w:val="auto"/>
              </w:rPr>
            </w:pPr>
          </w:p>
        </w:tc>
        <w:tc>
          <w:tcPr>
            <w:tcW w:w="9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80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current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7"/>
              </w:rPr>
              <w:t>assets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0" w:type="dxa"/>
            <w:vAlign w:val="bottom"/>
          </w:tcPr>
          <w:p>
            <w:pPr>
              <w:spacing w:after="0"/>
              <w:rPr>
                <w:sz w:val="1"/>
                <w:szCs w:val="1"/>
                <w:color w:val="auto"/>
              </w:rPr>
            </w:pPr>
          </w:p>
        </w:tc>
      </w:tr>
      <w:tr>
        <w:trPr>
          <w:trHeight w:val="408"/>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34,060</w:t>
            </w:r>
          </w:p>
        </w:tc>
        <w:tc>
          <w:tcPr>
            <w:tcW w:w="0" w:type="dxa"/>
            <w:vAlign w:val="bottom"/>
          </w:tcPr>
          <w:p>
            <w:pPr>
              <w:spacing w:after="0"/>
              <w:rPr>
                <w:sz w:val="1"/>
                <w:szCs w:val="1"/>
                <w:color w:val="auto"/>
              </w:rPr>
            </w:pPr>
          </w:p>
        </w:tc>
      </w:tr>
      <w:tr>
        <w:trPr>
          <w:trHeight w:val="435"/>
        </w:trPr>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32,790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34,060</w:t>
            </w:r>
          </w:p>
        </w:tc>
        <w:tc>
          <w:tcPr>
            <w:tcW w:w="0" w:type="dxa"/>
            <w:vAlign w:val="bottom"/>
          </w:tcPr>
          <w:p>
            <w:pPr>
              <w:spacing w:after="0"/>
              <w:rPr>
                <w:sz w:val="1"/>
                <w:szCs w:val="1"/>
                <w:color w:val="auto"/>
              </w:rPr>
            </w:pPr>
          </w:p>
        </w:tc>
      </w:tr>
      <w:tr>
        <w:trPr>
          <w:trHeight w:val="23"/>
        </w:trPr>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-864870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-591185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-316865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20" w:space="720"/>
            <w:col w:w="6300"/>
          </w:cols>
          <w:pgMar w:left="320" w:top="118" w:right="339" w:bottom="1440" w:gutter="0" w:footer="0" w:header="0"/>
          <w:type w:val="continuous"/>
        </w:sect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L — Income Taxes</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income tax rate for the three months ended January 31, 2025 and 2024 was 22.5% and 21.8%, respectively. The income tax rate for the six months ended January 31, 2025 and 2024, was 21.4% and 21.1%, respectively.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M — Contingencies</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a variety of investigations, claims, suits, and other legal proceedings, including but not limited to, intellectual property, employment, unclaimed property, tort, and breach of contract matters. Any legal proceedings are subject to inherent uncertainties, and these matters and their potential effects may change in the future. The Company records a liability for contingencies when a loss is deemed to be probable and the loss can be reasonably estimated. The Company currently believes that the outcomes of such proceedings will not have a material adverse impact on its business, financial position, results of operations or cash flows.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N — Acquisitions</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August 1, 2024, the Company acquired all of the outstanding shares of Gravotech. Headquartered in Lyon, France, Gravotech is a leader in the design, manufacture and distribution of innovative solutions for specialized engraving, marking and cutting, offering laser, mechanical engraving, scribing and dot peen capabilities across multiple industries. The acquisition of Gravotech expands the Company’s identification product offerings and research and development capabilities to include specialized direct part marking and engraving expertise. The acquisition was funded through cash on hand and borrowings under the Company’s existing credit agreement. Net sales and net loss attributable to Gravotech from the acquisition date through January 31, 2025 were $56,853 and $8,266, respectively. The net loss attributable to Gravotech is due to a non-recurring increase in cost of goods sold related to the fair value adjustment to inventory upon acquisition and amortization expense for intangible assets.</w:t>
      </w:r>
    </w:p>
    <w:p>
      <w:pPr>
        <w:spacing w:after="0" w:line="13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preliminary purchase price allocation included goodwill of $69,936 of which $48,586 was assigned to the Americas &amp; Asia segment and $21,350 was assigned to the Europe &amp; Australia segment.</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preliminary fair value of the assets acquired and liabilities assumed at the date of the acquisition: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7,469</w:t>
            </w:r>
          </w:p>
        </w:tc>
      </w:tr>
      <w:tr>
        <w:trPr>
          <w:trHeight w:val="213"/>
        </w:trPr>
        <w:tc>
          <w:tcPr>
            <w:tcW w:w="9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23,697</w:t>
            </w:r>
          </w:p>
        </w:tc>
      </w:tr>
      <w:tr>
        <w:trPr>
          <w:trHeight w:val="21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21,190</w:t>
            </w:r>
          </w:p>
        </w:tc>
      </w:tr>
      <w:tr>
        <w:trPr>
          <w:trHeight w:val="213"/>
        </w:trPr>
        <w:tc>
          <w:tcPr>
            <w:tcW w:w="9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w:t>
            </w:r>
          </w:p>
        </w:tc>
      </w:tr>
      <w:tr>
        <w:trPr>
          <w:trHeight w:val="21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 net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2,472</w:t>
            </w:r>
          </w:p>
        </w:tc>
      </w:tr>
      <w:tr>
        <w:trPr>
          <w:trHeight w:val="213"/>
        </w:trPr>
        <w:tc>
          <w:tcPr>
            <w:tcW w:w="9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69,936</w:t>
            </w:r>
          </w:p>
        </w:tc>
      </w:tr>
      <w:tr>
        <w:trPr>
          <w:trHeight w:val="21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64,099</w:t>
            </w:r>
          </w:p>
        </w:tc>
      </w:tr>
      <w:tr>
        <w:trPr>
          <w:trHeight w:val="213"/>
        </w:trPr>
        <w:tc>
          <w:tcPr>
            <w:tcW w:w="9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6,800</w:t>
            </w:r>
          </w:p>
        </w:tc>
      </w:tr>
      <w:tr>
        <w:trPr>
          <w:trHeight w:val="21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w:t>
            </w:r>
          </w:p>
        </w:tc>
      </w:tr>
      <w:tr>
        <w:trPr>
          <w:trHeight w:val="213"/>
        </w:trPr>
        <w:tc>
          <w:tcPr>
            <w:tcW w:w="9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(17,353)</w:t>
            </w:r>
          </w:p>
        </w:tc>
      </w:tr>
      <w:tr>
        <w:trPr>
          <w:trHeight w:val="21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(9,106)</w:t>
            </w:r>
          </w:p>
        </w:tc>
      </w:tr>
      <w:tr>
        <w:trPr>
          <w:trHeight w:val="213"/>
        </w:trPr>
        <w:tc>
          <w:tcPr>
            <w:tcW w:w="9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(6,680)</w:t>
            </w:r>
          </w:p>
        </w:tc>
      </w:tr>
      <w:tr>
        <w:trPr>
          <w:trHeight w:val="21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income taxes</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w:t>
            </w:r>
          </w:p>
        </w:tc>
      </w:tr>
      <w:tr>
        <w:trPr>
          <w:trHeight w:val="213"/>
        </w:trPr>
        <w:tc>
          <w:tcPr>
            <w:tcW w:w="9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(17,688)</w:t>
            </w:r>
          </w:p>
        </w:tc>
      </w:tr>
      <w:tr>
        <w:trPr>
          <w:trHeight w:val="21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(6,800)</w:t>
            </w:r>
          </w:p>
        </w:tc>
      </w:tr>
      <w:tr>
        <w:trPr>
          <w:trHeight w:val="213"/>
        </w:trPr>
        <w:tc>
          <w:tcPr>
            <w:tcW w:w="9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(6,729)</w:t>
            </w:r>
          </w:p>
        </w:tc>
      </w:tr>
      <w:tr>
        <w:trPr>
          <w:trHeight w:val="212"/>
        </w:trPr>
        <w:tc>
          <w:tcPr>
            <w:tcW w:w="9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assets acquired</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131,083</w:t>
            </w:r>
          </w:p>
        </w:tc>
      </w:tr>
      <w:tr>
        <w:trPr>
          <w:trHeight w:val="213"/>
        </w:trPr>
        <w:tc>
          <w:tcPr>
            <w:tcW w:w="9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cash acquired</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(7,469)</w:t>
            </w:r>
          </w:p>
        </w:tc>
      </w:tr>
      <w:tr>
        <w:trPr>
          <w:trHeight w:val="199"/>
        </w:trPr>
        <w:tc>
          <w:tcPr>
            <w:tcW w:w="9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3"/>
        </w:trPr>
        <w:tc>
          <w:tcPr>
            <w:tcW w:w="9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of total consideration</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123,614</w:t>
            </w:r>
          </w:p>
        </w:tc>
      </w:tr>
      <w:tr>
        <w:trPr>
          <w:trHeight w:val="23"/>
        </w:trPr>
        <w:tc>
          <w:tcPr>
            <w:tcW w:w="99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final purchase price allocation is subject to post-closing adjustments pursuant to the terms of the securities sale and purchase agreement, as well as the finalization of certain accounts, primarily intangible assets and deferred tax adjustments. The goodwill for this acquisition is not deductible for tax purposes.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following table presents the unaudited pro forma operating results for the three and six months ended January 31, 2025 and 2024, reflecting the acquisition of Gravotech as if it had occurred at the beginning of fiscal year 2024. The unaudited pro forma operating results for the three and six months ended January 31, 2025 do not contain any adjustments to the accompanying condensed consolidated financial statements. The unaudited pro forma operating results for the three and six months ended January 31, 2024 include Gravotech’s normal operating results and pro forma adjustments to include cumulative expenses, net of tax, for the non-recurring fair value adjustment to inventory, amortization expense for acquired intangible assets and interest expense on acquisition-related debt. The unaudited pro forma operating results are presented for comparative purposes only and do not necessarily reflect future operating results or those that would have occurred had the acquisition been completed at the beginning of fiscal year 2024.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300" w:type="dxa"/>
            <w:vAlign w:val="bottom"/>
          </w:tcPr>
          <w:p>
            <w:pPr>
              <w:spacing w:after="0"/>
              <w:rPr>
                <w:sz w:val="18"/>
                <w:szCs w:val="18"/>
                <w:color w:val="auto"/>
              </w:rPr>
            </w:pPr>
          </w:p>
        </w:tc>
        <w:tc>
          <w:tcPr>
            <w:tcW w:w="2820" w:type="dxa"/>
            <w:vAlign w:val="bottom"/>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r>
      <w:tr>
        <w:trPr>
          <w:trHeight w:val="211"/>
        </w:trPr>
        <w:tc>
          <w:tcPr>
            <w:tcW w:w="49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sales, pro forma</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356,675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352,412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733,740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713,521</w:t>
            </w:r>
          </w:p>
        </w:tc>
      </w:tr>
      <w:tr>
        <w:trPr>
          <w:trHeight w:val="210"/>
        </w:trPr>
        <w:tc>
          <w:tcPr>
            <w:tcW w:w="4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pro forma</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87,117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86,918</w:t>
            </w:r>
          </w:p>
        </w:tc>
      </w:tr>
    </w:tbl>
    <w:p>
      <w:pPr>
        <w:spacing w:after="0" w:line="24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October 1, 2024, the Company acquired all of the outstanding shares of AB&amp;R for $15,625, net of cash acquired. Based in Phoenix, Arizona, AB&amp;R provides integrated solutions for asset tracking, inventory management, and workflow optimization using advanced identification and tracking technologies, including barcoding, radio frequency identification (“RFID”) and Internet of Things (“IoT”)-based systems. The acquisition was funded through cash on hand and borrowings under the Company’s existing credit agreement. The Company recorded its preliminary purchase price allocation during the first quarter of fiscal year 2025, based on its estimates of the fair value of the acquired assets and assumed liabilities at that time. The preliminary purchase price allocation included goodwill of $10,877, intangible assets of $4,600, and net tangible assets of $148. The goodwill for this acquisition is assigned to the Americas &amp; Asia segment and is deductible for tax purposes. The final purchase price allocation is subject to post-closing adjustments and the finalization of certain intangible asset valuations and deferred tax adjustments, as well as potential contingent consideration subject to AB&amp;R’s achievement of certain post-acquisition financial targets pursuant to the terms of the membership interest purchase agreement. Acquisition-related expenses of $305 were recognized in selling, general and administrative (“SG&amp;A”) expenses during the six months ended January 31, 2025. The accompanying condensed consolidated financial statements include the results of AB&amp;R from the date of acquisition through January 31, 2025. Pro forma and other financial information are not presented for the AB&amp;R acquisition because its impact on the Company's results of operation and financial position is immaterial.</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Brady Corporation is a global manufacturer and supplier of identification solutions and workplace safety products that identify and protect premises, products and people. The Company is organized and managed on a geographic basis with two reportable segments: Americas &amp; Asia and Europe &amp; Australia. This regional operating structure allows the Company to further integrate its businesses, support continued growth through the application of the best go-to-market strategies in key geographies, facilitate new product development within recent acquisitions and further simplify and scale the global business.</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Within each of the reportable segments, the Company markets, sells and distributes a broad range of identification and safety products and solutions across the following primary product categories:</w:t>
      </w:r>
    </w:p>
    <w:p>
      <w:pPr>
        <w:spacing w:after="0" w:line="189" w:lineRule="exact"/>
        <w:rPr>
          <w:sz w:val="20"/>
          <w:szCs w:val="20"/>
          <w:color w:val="auto"/>
        </w:rPr>
      </w:pPr>
    </w:p>
    <w:p>
      <w:pPr>
        <w:jc w:val="both"/>
        <w:ind w:left="660" w:hanging="328"/>
        <w:spacing w:after="0" w:line="25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facility identification and protection, which includes safety signs, traffic signs and control products, floor-marking tape, pipe markers, labeling systems, spill control products, lockout/tagout devices, personal protection equipment, first aid products, and software and services for safety compliance auditing, procedures writing and training.</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identification, which includes materials, printing systems, radio frequency identification (“RFID”) and barcode scanners for product identification, engraving equipment, brand protection labeling, work in process labeling, finished product identification, asset tracking labels, asset tags and industrial track and trace applications.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 identification, which includes handheld printers, wire markers, sleeves, and tags.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identification, which includes wristbands, labels, printing systems, and other products used in hospital, laboratory, and other healthcare settings for tracking and improving the safety of patients.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People identification, which includes name tags, badges, lanyards, rigid card printing systems, and access control software.</w:t>
      </w:r>
    </w:p>
    <w:p>
      <w:pPr>
        <w:spacing w:after="0" w:line="15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ability to provide customers with a broad range of proprietary, customized and diverse products for use in various applications across multiple industries and geographies, along with a commitment to quality and service, have made Brady a leader in many of its markets. Brady's long-term sales growth and profitability will depend not only on the overall economic environment and our ability to successfully navigate changes in the macro environment, but also on our ability to develop and market innovative products, deliver a high level of customer service, advance our digital capabilities, and continuously improve the efficiency of our global operations. Our strategy for growth includes an increased focus on certain industries and products, streamlining our product offerings, expanding into higher growth end-markets, intensifying efforts to leverage our diverse product portfolio and synergies across our business, improving the overall customer experience, developing technologically advanced, innovative, and proprietary products, and improving our digital capabilities.</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are key initiatives supporting our strategy in fiscal 2025:</w:t>
      </w:r>
    </w:p>
    <w:p>
      <w:pPr>
        <w:spacing w:after="0" w:line="171" w:lineRule="exact"/>
        <w:rPr>
          <w:sz w:val="20"/>
          <w:szCs w:val="20"/>
          <w:color w:val="auto"/>
        </w:rPr>
      </w:pPr>
    </w:p>
    <w:p>
      <w:pPr>
        <w:ind w:left="660" w:right="2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organic growth by enhancing our research and development process and utilizing customer feedback and observations to develop innovative new products that solve customer needs and improve environmental sustainability.</w:t>
      </w:r>
    </w:p>
    <w:p>
      <w:pPr>
        <w:ind w:left="660" w:right="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highest level of customer service by aligning with customers' preferred communications channels and leveraging technology to enhance the customer experience.</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our sales capabilities through an improved digital presence and the use of data-driven marketing automation tools.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profitability through pricing mechanisms to mitigate the impacts of ongoing supply chain disruptions and inflationary pressures while ensuring prices are market competitive.</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recent acquisitions to further enhance our strategic position and accelerate long-term sales growth.</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operational excellence and executing sustainable efficiency gains within our selling, general and administrative structures and within our global operations including insourcing of critical products and manufacturing activities while reducing our environmental footprint.</w:t>
      </w:r>
    </w:p>
    <w:p>
      <w:pPr>
        <w:ind w:left="660" w:hanging="328"/>
        <w:spacing w:after="0" w:line="26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our high-performance culture, which rewards execution and respects diversity, to elevate employee engagement and improve recruitment and retention practices in order to drive differential performance and execute our strategy.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Macroeconomic Conditions and Trends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operations and financial performance are subject to the risks and uncertainties inherent in the global economic environment, including inflationary pressures, supply chain disruptions, and other macroeconomic challenges. These pressures may impact the Company's business, financial condition and results of operations as the global economic outlook remains uncertain. The Company has taken and will continue to take actions to mitigate inflationary pressures through targeted pricing actions and a commitment to driving long-term efficiency improvements.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our financial strength positions us well to continue investing in acquisitions and organic growth opportunities, such as expanded sales channels, marketing programs, and research and development (“R&amp;D”). We remain focused on driving sustainable efficiency gains and automation across our operations and selling, general and administrative (“SG&amp;A”) functions, while also returning capital to our shareholders through dividends and share repurchases. At January 31, 2025, we had cash of $138.5 million, as well as a credit agreement with $210.1 million available for future borrowing, which can be increased up to $1,095.1 million at the Company's option and subject to certain conditions, for total available liquidity of $1,233.6 million.</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our financial resources and liquidity levels, including the undrawn portion of our credit agreement and our ability to increase that credit line as necessary, are sufficient to support the execution of our growth strategy and to manage the impact of economic or geopolitical events that could potentially reduce sales, net income, or cash provided by operating activities. Refer to Risk Factors, included in Part I, Item 1A of our Annual Report on Form 10-K for the year ended July 31, 2024, for further discussion of the possible impact of global economic or geopolitical events on our business.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of Operations</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comparability of the operating results for the three and six months ended January 31, 2025 compared to the same periods in the prior year have been impacted by the acquisitions of Gravotech on August 1, 2024 and AB&amp;R on October 1, 2024. The operating results of Gravotech and AB&amp;R have been included since their acquisition dates. Gravotech has been included in both reportable segments, and AB&amp;R has been included in the Americas &amp; Asia reportable segment. The comparability of the year-to-date operating results of the Americas &amp; Asia segment has also been impacted by the divestiture of a non-core business in October 2023.</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comparison of results of operating income for the three and six months ended January 31, 2025 and 2024,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8"/>
          </w:tcPr>
          <w:p>
            <w:pPr>
              <w:ind w:left="60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c>
          <w:tcPr>
            <w:tcW w:w="840" w:type="dxa"/>
            <w:vAlign w:val="bottom"/>
            <w:tcBorders>
              <w:bottom w:val="single" w:sz="8" w:color="auto"/>
            </w:tcBorders>
          </w:tcPr>
          <w:p>
            <w:pPr>
              <w:spacing w:after="0"/>
              <w:rPr>
                <w:sz w:val="18"/>
                <w:szCs w:val="18"/>
                <w:color w:val="auto"/>
              </w:rPr>
            </w:pPr>
          </w:p>
        </w:tc>
      </w:tr>
      <w:tr>
        <w:trPr>
          <w:trHeight w:val="214"/>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0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160" w:type="dxa"/>
            <w:vAlign w:val="bottom"/>
            <w:gridSpan w:val="3"/>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Sales</w:t>
            </w:r>
          </w:p>
        </w:tc>
      </w:tr>
      <w:tr>
        <w:trPr>
          <w:trHeight w:val="211"/>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356,675</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322,624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733,740</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654,607</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14"/>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Gross margin</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175,843</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365,532</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49.8 %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333,802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51.0 %</w:t>
            </w:r>
          </w:p>
        </w:tc>
      </w:tr>
      <w:tr>
        <w:trPr>
          <w:trHeight w:val="218"/>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3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18,723</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37,644</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32,534</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r>
      <w:tr>
        <w:trPr>
          <w:trHeight w:val="219"/>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105,886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91,325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217,732</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187,612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28.7 %</w:t>
            </w:r>
          </w:p>
        </w:tc>
      </w:tr>
      <w:tr>
        <w:trPr>
          <w:trHeight w:val="207"/>
        </w:trPr>
        <w:tc>
          <w:tcPr>
            <w:tcW w:w="33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124,609</w:t>
            </w:r>
          </w:p>
        </w:tc>
        <w:tc>
          <w:tcPr>
            <w:tcW w:w="10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34.9 %</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108,157</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33.5 %</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255,376</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34.8 %</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220,146</w:t>
            </w:r>
          </w:p>
        </w:tc>
        <w:tc>
          <w:tcPr>
            <w:tcW w:w="10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33.6 %</w:t>
            </w:r>
          </w:p>
        </w:tc>
      </w:tr>
      <w:tr>
        <w:trPr>
          <w:trHeight w:val="235"/>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51,234</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14.4 %</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53,926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16.7 %</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110,156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15.0 %</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113,656</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17.4 %</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References in this Form 10-Q to “organic sales” refer to sales calculated in accordance with GAAP, excluding the impact of foreign currency translation, sales recorded from acquired companies prior to the first anniversary date of their acquisition, and sales recorded from divested companies up to the first anniversary of their divestiture. The Company's organic sales disclosures exclude the effects of foreign currency translation as foreign currency translation is subject to volatility that can obscure underlying business trends. Management believes that the non-GAAP financial measure of organic sales is meaningful to investors as it provides them with useful information to aid in identifying underlying sales trends in our businesses and facilitating comparisons of our sales performance with prior periods.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sales for the three months ended January 31, 2025 increased 10.6% to $356.7 million compared to $322.6 million in the same period in the prior year. The increase consisted of organic sales growth of 2.6% and sales growth from acquisitions of 10.2%, which was partially offset by a decrease from foreign currency translation of 2.2%. Organic sales growth of 4.3% in the Americas &amp; Asia segment was partially offset by an organic sales decline of 0.8% in the Europe &amp; Australia segment during the three months ended January 31, 2025 compared to the same period in the prior year.</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sales for the six months ended January 31, 2025 increased 12.1% to $733.7 million compared to $654.6 million in the same period in the prior year. The increase consisted of organic sales growth of 3.1% and sales growth from acquisitions of 10.0%, partially offset by a decrease from foreign currency translation of 0.5% and a decrease of 0.5% due to a divestiture. Organic sales grew 4.7% in the Americas &amp; Asia segment and were flat in the Europe &amp; Australia segment during the six months ended January 31, 2025 compared to the same period in the prior year.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Gross margin increased 8.5% to $175.8 million in the three months ended January 31, 2025 compared to $162.1 million in the same period in the prior year. As a percentage of net sales, gross margin decreased to 49.3% from 50.2% in the three-month period. Gross margin increased 9.5% to $365.5 million in the six months ended January 31, 2025 compared to $333.8 million in the same period in the prior year. As a percentage of net sales, gross margin decreased to 49.8% from 51.0% in the six-month period. The decrease in gross margin as a percentage of net sales during the three months ended January 31, 2025 was primarily due to facility closure and other reorganization costs of $2.3 million, which were partially offset by organic sales growth in higher gross margin product lines. The facility closure and other reorganization costs primarily relate to headcount reductions associated with the closure of a manufacturing facility in China and the closure of a manufacturing facility in the U.S. The decrease in gross margin as a percentage of net sales during the six months ended January 31, 2025 was primarily due to a non-recurring increase in cost of goods sold of $4.1 million related to the fair value adjustment to inventory from acquisitions as well as the facility closure and other reorganization costs of $2.3 million, which were partially offset by organic sales growth in higher gross margin product lines.</w:t>
      </w:r>
    </w:p>
    <w:p>
      <w:pPr>
        <w:spacing w:after="0" w:line="14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R&amp;D expenses increased 11.2% to $18.7 million in the three months ended January 31, 2025 compared to $16.8 million in the same period in the prior year. As a percentage of net sales, R&amp;D expenses were unchanged at 5.2% in the three-month period compared to the same period in the prior year. R&amp;D expenses increased 15.7% to $37.6 million in the six months ended January 31, 2025 compared to $32.5 million in the same period in the prior year. As a percentage of net sales, R&amp;D expenses increased to 5.1% from 5.0% in the six-month period. The increase in R&amp;D spending was primarily due to the acquisition of Gravotech, and, to a lesser extent, an increase in R&amp;D headcount within the Company's organic business. The Company remains committed to investing in new product development to drive long-term organic sales growth. Investments in new printing systems, materials and new product development within recent acquisitions are the primary focus of R&amp;D expenditures in fiscal 2025.</w:t>
      </w:r>
    </w:p>
    <w:p>
      <w:pPr>
        <w:spacing w:after="0" w:line="13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SG&amp;A expenses include selling and administrative costs directly attributed to the Americas &amp; Asia and Europe &amp; Australia segments, as well as certain other corporate administrative expenses including finance, information technology, human resources and other administrative expenses. SG&amp;A expenses increased 15.9% to $105.9 million in the three months ended January 31, 2025 compared to $91.3 million in the same period in the prior year. As a percentage of sales, SG&amp;A expenses increased to 29.7% from 28.3% in the three-month period. SG&amp;A expenses increased 16.1% to $217.7 million for the six months ended January 31, 2025 compared to $187.6 million in the same period in the prior year. As a percentage of net sales, SG&amp;A expenses increased to 29.7% from 28.7% in the six-month period. The increase in SG&amp;A expenses during the three and six months ended January 31, 2025 was primarily due to increased headcount and other selling-related costs from acquisitions, including incremental amortization expense from the acquired intangible assets. SG&amp;A expenses during the three months ended January 31, 2025 also include facility closure and other reorganization costs of $3.4 million. SG&amp;A expenses during the six months ended January 31, 2025 also include facility closure and other reorganization costs of $3.4 million and non-recurring acquisition-related costs and other expenses of $1.0 million.</w:t>
      </w:r>
    </w:p>
    <w:p>
      <w:pPr>
        <w:spacing w:after="0" w:line="14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Operating income decreased 5.0% to $51.2 million and decreased 3.1% to $110.2 million in the three and six months ended January 31, 2025, respectively, compared to $53.9 million and $113.7 million in the same periods in the prior year. The decrease in operating income in both the three and six-month periods was primarily due to non-recurring acquisition-related costs and incremental amortization expense related to acquired businesses, as well as facility closure and other reorganization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TO NET INCOME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8"/>
          </w:tcPr>
          <w:p>
            <w:pPr>
              <w:ind w:left="60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7"/>
          </w:tcPr>
          <w:p>
            <w:pPr>
              <w:ind w:left="700"/>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c>
          <w:tcPr>
            <w:tcW w:w="840" w:type="dxa"/>
            <w:vAlign w:val="bottom"/>
            <w:tcBorders>
              <w:bottom w:val="single" w:sz="8" w:color="auto"/>
            </w:tcBorders>
          </w:tcPr>
          <w:p>
            <w:pPr>
              <w:spacing w:after="0"/>
              <w:rPr>
                <w:sz w:val="18"/>
                <w:szCs w:val="18"/>
                <w:color w:val="auto"/>
              </w:rPr>
            </w:pPr>
          </w:p>
        </w:tc>
      </w:tr>
      <w:tr>
        <w:trPr>
          <w:trHeight w:val="214"/>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0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22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20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Sales</w:t>
            </w:r>
          </w:p>
        </w:tc>
      </w:tr>
      <w:tr>
        <w:trPr>
          <w:trHeight w:val="211"/>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51,234</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53,926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110,156</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15.0 %</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113,656</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17.4 %</w:t>
            </w: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3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Investment and other income</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3,359</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r>
      <w:tr>
        <w:trPr>
          <w:trHeight w:val="213"/>
        </w:trPr>
        <w:tc>
          <w:tcPr>
            <w:tcW w:w="3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(2,668)</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(1,556)</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2"/>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52,047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110,847</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115,222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17.6 %</w:t>
            </w:r>
          </w:p>
        </w:tc>
      </w:tr>
      <w:tr>
        <w:trPr>
          <w:trHeight w:val="213"/>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11,713</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12,192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23,730</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24,353</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3.7 %</w:t>
            </w:r>
          </w:p>
        </w:tc>
      </w:tr>
      <w:tr>
        <w:trPr>
          <w:trHeight w:val="237"/>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40,334</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43,628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87,117</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90,869</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13.9 %</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Investment and other income was $2.1 million in the three months ended January 31, 2025 compared to $2.7 million in the same period in the prior year. Investment and other income was $3.4 million in the six months ended January 31, 2025 compared to $3.1 million in the same period in the prior year. The change in investment and other income during both the three and six-month periods was primarily due to the change in market value of securities held in deferred compensation plans.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expense increased to $1.3 million and $2.7 million for the three and six months ended January 31, 2025, respectively, compared to $0.8 million and $1.6 million in the same periods in the prior year. The increase in interest expense was primarily due to an increase in outstanding borrowings on the Company's credit agreement to fund acquisitions, which was partially offset by a decrease in the weighted average interest rate compared to the same periods in the prior year.</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income tax rate was 22.5% and 21.8% for the three months ended January 31, 2025 and 2024, respectively, and the income tax rate was 21.4% and 21.1% for the six months ended January 31, 2025 and 2024, respectively. The Company expects its ongoing annual income tax rate to be approximately 21% based on its current global business mix and based on tax laws and statutory rates currently in effect.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Segment Operating Results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evaluates short-term segment performance based on segment profit and customer sales. Interest expense, investment and other income, income tax expense, and certain corporate administrative expenses are excluded when evaluating segment performance.</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segment information for the three and six months ended January 31, 2025 and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320" w:type="dxa"/>
            <w:vAlign w:val="bottom"/>
          </w:tcPr>
          <w:p>
            <w:pPr>
              <w:spacing w:after="0"/>
              <w:rPr>
                <w:sz w:val="18"/>
                <w:szCs w:val="18"/>
                <w:color w:val="auto"/>
              </w:rPr>
            </w:pPr>
          </w:p>
        </w:tc>
        <w:tc>
          <w:tcPr>
            <w:tcW w:w="2820" w:type="dxa"/>
            <w:vAlign w:val="bottom"/>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c>
          <w:tcPr>
            <w:tcW w:w="0" w:type="dxa"/>
            <w:vAlign w:val="bottom"/>
          </w:tcPr>
          <w:p>
            <w:pPr>
              <w:spacing w:after="0"/>
              <w:rPr>
                <w:sz w:val="1"/>
                <w:szCs w:val="1"/>
                <w:color w:val="auto"/>
              </w:rPr>
            </w:pPr>
          </w:p>
        </w:tc>
      </w:tr>
      <w:tr>
        <w:trPr>
          <w:trHeight w:val="211"/>
        </w:trPr>
        <w:tc>
          <w:tcPr>
            <w:tcW w:w="49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SALES GROWTH INFORMATION</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Americas &amp; Asia</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Organic</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Currency</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Divestiture</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35"/>
        </w:trPr>
        <w:tc>
          <w:tcPr>
            <w:tcW w:w="49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Europe &amp; Australia</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Organic</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Currency</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207"/>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15.0 %</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Organic</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Currency</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Divestiture</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7"/>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12.1 %</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PROFIT</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Americas &amp; Asia</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45,986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43,895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100,886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93,792</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Europe &amp; Australia</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11,378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15,054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24,492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31,798</w:t>
            </w:r>
          </w:p>
        </w:tc>
        <w:tc>
          <w:tcPr>
            <w:tcW w:w="0" w:type="dxa"/>
            <w:vAlign w:val="bottom"/>
          </w:tcPr>
          <w:p>
            <w:pPr>
              <w:spacing w:after="0"/>
              <w:rPr>
                <w:sz w:val="1"/>
                <w:szCs w:val="1"/>
                <w:color w:val="auto"/>
              </w:rPr>
            </w:pPr>
          </w:p>
        </w:tc>
      </w:tr>
      <w:tr>
        <w:trPr>
          <w:trHeight w:val="207"/>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57,364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58,949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125,378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125,590</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PROFIT AS A PERCENT OF NET SALES</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Americas &amp; Asia</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21.6 %</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Europe &amp; Australia</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13.6 %</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9.6 %</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14.4 %</w:t>
            </w:r>
          </w:p>
        </w:tc>
        <w:tc>
          <w:tcPr>
            <w:tcW w:w="0" w:type="dxa"/>
            <w:vAlign w:val="bottom"/>
          </w:tcPr>
          <w:p>
            <w:pPr>
              <w:spacing w:after="0"/>
              <w:rPr>
                <w:sz w:val="1"/>
                <w:szCs w:val="1"/>
                <w:color w:val="auto"/>
              </w:rPr>
            </w:pPr>
          </w:p>
        </w:tc>
      </w:tr>
      <w:tr>
        <w:trPr>
          <w:trHeight w:val="207"/>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18.3 %</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17.1 %</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19.2 %</w:t>
            </w: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Americas &amp; Asia</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Americas &amp; Asia net sales increased 10.5% to $233.8 million in the three months ended January 31, 2025 compared to $211.6 million in the same period in the prior year, which consisted of organic sales growth of 4.3% and sales growth from acquisitions of 7.6%, which were partially offset by a decrease from foreign currency translation of 1.4%. Americas &amp; Asia net sales increased 10.6% to $479.3 million in the six months ended January 31, 2025 compared to $433.3 million in the same period in the prior year, which consisted of organic sales growth of 4.7% and sales growth from acquisitions of 7.5%, which were partially offset by a decrease from foreign currency translation of 0.8% and a decrease due to a divestiture of 0.8%.</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Organic sales in the Americas increased in the low-single digits in the three months ended January 31, 2025 and in the mid-single digits in the six months ended January 31, 2025 compared to the same periods in the prior year. Organic sales growth in both the three and six-month periods was driven by growth in the wire identification, safety and facility identification, and product identification product lines, which was partially offset by an organic sales decline in the healthcare identification product line.</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Organic sales in Asia increased approximately 11% in the three months ended January 31, 2025 and increased in the high-single digits in the six months ended January 31, 2025 compared to the same periods in the prior year. The organic sales increase in both the three and six-month periods was primarily driven by organic sales growth in Japan and India, which was partially offset by an organic sales decline in China. Organic sales grew in all major products lines with the strongest growth in the product identification and safety and facility identification product lines.</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Americas &amp; Asia segment profit increased 4.8% to $46.0 million in the three months ended January 31, 2025 compared to $43.9 million in the same period in the prior year. Segment profit increased 7.6% to $100.9 million in the six months ended January 31, 2025 compared to $93.8 million in the same period in the prior year. As a percentage of net sales, segment profit decreased to 19.7% from 20.7% in the three-month period and segment profit decreased to 21.0% from 21.6% in the six-month period ended January 31, 2025 compared to the same periods in the prior year. The decrease in segment profit as a percentage of sales was primarily due to costs associated with the closure of two facilities during the three-month period, and incremental amortization from acquired businesses and purchase accounting adjustments during the six-month period, which was partially offset by increased profit from organic sales growth.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 &amp; Australia</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Europe &amp; Australia net sales increased 10.7% to $122.8 million in the three months ended January 31, 2025 compared to $111.0 million in the same period in the prior year, which consisted of sales growth from acquisitions of 15.1% that was partially offset by an organic sales decline of 0.8% and a decrease from foreign currency translation of 3.6%. Europe &amp; Australia net sales increased 15.0% to $254.5 million in the six months ended January 31, 2025 compared to $221.3 million in the same period in the prior year, which consisted of sales growth from acquisitions of 15.1%, which was partially offset by a decrease from foreign currency translation of 0.1% while organic sales were flat.</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Organic sales in Europe were essentially flat in both the three and six months ended January 31, 2025. Organic sales growth in the product identification and wire identification product lines was offset by an organic sales decline in the safety and facility identification product line during the three-month period. Organic sales growth during the six-month period was primarily driven by growth in the safety and facility identification and wire identification product lines, which was offset by an organic sales decline in the product identification product line.</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Organic sales in Australia declined in the low-single digits in both the three and six months ended January 31, 2025 compared to the same periods in the prior year. The organic sales decline was primarily driven by a decrease in volume in the safety and facility and wire identification product lines.</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Europe &amp; Australia segment profit decreased 24.4% to $11.4 million in the three months ended January 31, 2025 compared to $15.1 million in the same period in the prior year. Segment profit decreased 23.0% to $24.5 million in the six months ended January 31, 2025 compared to $31.8 million in the same period in the prior year. As a percentage of net sales, segment profit decreased to 9.3% from 13.6% for the three-month period and segment profit decreased to 9.6% from 14.4% for the six-month period ended January 31, 2025, compared to the same periods in the prior year. The decrease in segment profit was primarily due to incremental amortization from acquired businesses, purchase accounting adjustments and reorganization costs in order to streamline our operating structure.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cash balances are generated and held in numerous locations throughout the world. At January 31, 2025, 94% of the Company's cash and cash equivalents were held outside the United States. The Company's organic and inorganic growth has historically been funded by a combination of cash provided by operating activities and debt financing. The Company believes that its cash flow from operating activities and its borrowing capacity are sufficient to fund its anticipated requirements for working capital, capital expenditures, research and development, common stock repurchases, and dividend payments for the next 12 months. Although the Company believes these sources of cash are currently sufficient to fund domestic operations, annual cash needs could require repatriation of cash to the U.S. from foreign jurisdictions, which may result in additional tax payments.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7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Cash and cash equivalents were $138.5 million at January 31, 2025, an increase of $111.7 million from July 31, 2024. The significant changes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r>
      <w:tr>
        <w:trPr>
          <w:trHeight w:val="214"/>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flow provided by (used in):</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activities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63,000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98,351</w:t>
            </w: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Investing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(60,832)</w:t>
            </w:r>
          </w:p>
        </w:tc>
      </w:tr>
      <w:tr>
        <w:trPr>
          <w:trHeight w:val="213"/>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Financing activities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(42,964)</w:t>
            </w: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(2,227)</w:t>
            </w:r>
          </w:p>
        </w:tc>
      </w:tr>
      <w:tr>
        <w:trPr>
          <w:trHeight w:val="207"/>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(111,666)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(7,672)</w:t>
            </w:r>
          </w:p>
        </w:tc>
      </w:tr>
      <w:tr>
        <w:trPr>
          <w:trHeight w:val="23"/>
        </w:trPr>
        <w:tc>
          <w:tcPr>
            <w:tcW w:w="8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$63.0 million in the six months ended January 31, 2025, compared to $98.4 million in the same period of the prior year. The decrease in cash provided by operating activities was primarily due to increased vendor payments related to acquired businesses, increased inventory purchases and higher annual incentive compensation payments.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$151.7 million in the six months ended January 31, 2025, which primarily consisted of the acquisition of businesses of $137.3 million and capital expenditures of $14.4 million. Net cash used in investing activities was $60.8 million in the six months ended January 31, 2024, which consisted of capital expenditures including the purchase of a previously leased facility in Mexico and facility construction costs in Belgium.</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$22.3 million in the six months ended January 31, 2025 compared to $43.0 million in the same period in the prior year. The decrease in cash used in financing activities was primarily due to a decline in share repurchases compared to the same period in the prior year.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Cash Requirements</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material cash requirements for known contractual obligations include capital expenditures, borrowings on our credit agreement and lease obligations. We believe that net cash provided by operating activities will continue to be adequate to meet our liquidity and capital needs for these items over the next 12 months and in the long-term beyond the next 12 months. We also have cash requirements for purchase orders and contracts for the purchase of inventory and other goods and services, which are based on current and anticipated customer needs and are fulfilled by our suppliers within short time horizons. We do not have significant agreements for the purchase of inventory or other goods or services specifying minimum order quantities. In addition, we may have liabilities for uncertain tax positions, but we do not believe that the cash requirements to meet any of these liabilities will be material.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August 1, 2019, the Company and certain of its subsidiaries entered into an unsecured $200 million multi-currency credit agreement with a group of five banks.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November 14, 2022, the Company and certain of its subsidiaries entered into a second amendment to the credit agreement to, among other items,</w:t>
      </w:r>
    </w:p>
    <w:p>
      <w:pPr>
        <w:spacing w:after="0" w:line="27" w:lineRule="exact"/>
        <w:rPr>
          <w:sz w:val="20"/>
          <w:szCs w:val="20"/>
          <w:color w:val="auto"/>
        </w:rPr>
      </w:pPr>
    </w:p>
    <w:p>
      <w:pPr>
        <w:jc w:val="both"/>
        <w:ind w:firstLine="8"/>
        <w:spacing w:after="0" w:line="253" w:lineRule="auto"/>
        <w:tabs>
          <w:tab w:leader="none" w:pos="25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lending commitments by $100 million for total lending commitments of $300 million, (b) extend the final maturity date to November 14, 2027, (c) increase the interest rate on certain borrowings by 0.125%, and (d) increase the available amount under the credit agreement, at the Company's option and subject to certain conditions, from $300 million up to (i) an amount equal to the incremental borrowing necessary to bring the Company's consolidated net debt-to-EBITDA ratio as defined in the credit agreement to 2.5 to 1.0 plus (ii) $200 million.</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10, 2024, the Company and certain of its subsidiaries entered into a Third Amendment to Credit Agreement (“Amendment No. 3”) with a group of six banks, which amended the original credit agreement dated August 1, 2019. Amendment No. 3 amended the credit agreement to, among other things, change the applicable benchmark under the credit agreement for borrowings denominated in Canadian Dollars from the Canadian Dollar Offered Rate (“CDOR”) to the adjusted Term Canadian Overnight Repo Rate Average Rate (“CORRA”). Borrowings under Amendment No. 3 are unsecured and are guaranteed by certain of the Company's domestic subsidiaries.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January 31, 2025, the outstanding balance on the Company's credit agreement was $87.7 million. The maximum amount outstanding on the credit agreement during the six months ended January 31, 2025 was $144.8 million. As of January 31, 2025, the U.S. dollar-denominated borrowings of $31.0 million bear interest at 5.3%; the Euro-denominated borrowings of €45.0 million bear interest at 3.8%; and the British Pound-denominated borrowings of £8.0 million bear interest at 5.6%. The Company had letters of credit outstanding under the credit agreement of $2.2 million as of January 31, 2025, and there was $210.1 million available for future borrowing, which can be increased to $1,095.1 million at the Company's option, subject to certain conditions. The credit agreement has a final maturity date of November 14, 2027. As such, borrowings were classified as long-term on the condensed consolidated balance sheets.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 Compliance</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credit agreement requires it to maintain certain financial covenants, including a ratio of debt to the trailing twelve months EBITDA, as defined in the debt agreements, of not more than a 3.5 to 1.0 ratio (leverage ratio) and the trailing twelve months EBITDA to interest expense of not less than a 3.0 to 1.0 ratio (interest expense coverage). As of January 31, 2025, the Company was in compliance with these financial covenants, with a ratio of debt to EBITDA, as defined by the agreements, equal to 0.3 to 1.0 and the interest expense coverage ratio equal to 73.5 to 1.0.</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this quarterly report on Form 10-Q, statements that are not reported financial results or other historic information are “forward-looking statements.” These forward-looking statements relate to, among other things, the Company's future financial position, business strategy, targets, projected sales, costs, income, capital expenditures, debt levels and cash flows, and plans and objectives of management for future operations.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26" w:lineRule="exact"/>
        <w:rPr>
          <w:sz w:val="20"/>
          <w:szCs w:val="20"/>
          <w:color w:val="auto"/>
        </w:rPr>
      </w:pPr>
    </w:p>
    <w:p>
      <w:pPr>
        <w:ind w:left="520" w:hanging="310"/>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 of raw materials and labor as well as material shortages and supply chain disruptions</w:t>
      </w:r>
    </w:p>
    <w:p>
      <w:pPr>
        <w:spacing w:after="0" w:line="27"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the Company's products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compete effectively or to successfully execute the Company's strategy</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develop technologically advanced products that meet customer demands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identify, integrate, and grow acquired companies, and to manage contingent liabilities from divested businesses</w:t>
      </w:r>
    </w:p>
    <w:p>
      <w:pPr>
        <w:spacing w:after="0" w:line="9" w:lineRule="exact"/>
        <w:rPr>
          <w:rFonts w:ascii="Times New Roman" w:cs="Times New Roman" w:eastAsia="Times New Roman" w:hAnsi="Times New Roman"/>
          <w:sz w:val="18"/>
          <w:szCs w:val="18"/>
          <w:color w:val="auto"/>
        </w:rPr>
      </w:pPr>
    </w:p>
    <w:p>
      <w:pPr>
        <w:ind w:left="540" w:hanging="330"/>
        <w:spacing w:after="0" w:line="250" w:lineRule="auto"/>
        <w:tabs>
          <w:tab w:leader="none" w:pos="5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protecting websites, networks, and systems against security breaches and difficulties in preventing phishing attacks, social engineering or malicious break-ins</w:t>
      </w:r>
    </w:p>
    <w:p>
      <w:pPr>
        <w:ind w:left="520" w:hanging="310"/>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loss of key employees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climate change and environmental regulations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including product liability claims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legislation and tax rates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goodwill and other intangible assets</w:t>
      </w:r>
    </w:p>
    <w:p>
      <w:pPr>
        <w:spacing w:after="0" w:line="9" w:lineRule="exact"/>
        <w:rPr>
          <w:rFonts w:ascii="Times New Roman" w:cs="Times New Roman" w:eastAsia="Times New Roman" w:hAnsi="Times New Roman"/>
          <w:sz w:val="18"/>
          <w:szCs w:val="18"/>
          <w:color w:val="auto"/>
        </w:rPr>
      </w:pPr>
    </w:p>
    <w:p>
      <w:pPr>
        <w:ind w:left="540" w:right="20" w:hanging="330"/>
        <w:spacing w:after="0" w:line="250" w:lineRule="auto"/>
        <w:tabs>
          <w:tab w:leader="none" w:pos="5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interests of voting and non-voting shareholders and changes in the regulatory and business environment around dual-class voting structures</w:t>
      </w:r>
    </w:p>
    <w:p>
      <w:pPr>
        <w:jc w:val="both"/>
        <w:ind w:left="540" w:hanging="330"/>
        <w:spacing w:after="0" w:line="253" w:lineRule="auto"/>
        <w:tabs>
          <w:tab w:leader="none" w:pos="5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2024.</w:t>
      </w:r>
    </w:p>
    <w:p>
      <w:pPr>
        <w:spacing w:after="0" w:line="13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Refer to the Company’s annual report on Form 10-K for the year ended July 31, 2024. There has been no material change in this information since the 2024 Form 10-K.</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17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Brady Corporation maintains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(the “Chief Executive Officer”) and its Chief Financial Officer, Chief Accounting Officer and Treasurer (the “Chief Financial Officer”), of the effectiveness of the design and operation of the Company’s disclosure controls and procedures pursuant to Rule 13a-15 of the Exchange Act. Based on that evaluation, the Company’s Chief Executive Officer and Chief Financial Officer concluded that the Company’s disclosure controls and procedures were effective as of the end of the period covered by this report.</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LEGAL PROCEEDINGS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set forth in Note M, "Contingencies" included in this Quarterly Report on Form 10-Q is incorporated herein by reference.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 RISK FACTORS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business, results of operations, financial condition, and cash flows are subject to various risks and uncertainties, including those described in Part I, Item 1A, “Risk Factors” of Company’s Annual Report on Form 10-K for the year ended July 31, 2024. There have been no material changes from the risk factors set forth in the 2024 Form 10-K.</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maintains a share repurchase program for the Company's Class A Nonvoting Common Stock. The program may be implemented by purchasing shares in the open market or in privately negotiated transactions, with repurchased shares available for use in connection with the Company's stock-based plans and for other corporate purposes.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4, 2024, the Company's Board of Directors authorized an increase in the Company's share repurchase program, authorizing the repurchase of an additional $100.0 million of the Company's Class A Nonvoting Common Stock, which expanded upon the Company's prior authorization for a total authorized amount of $137.8 million. The share repurchase program may be implemented from time to time on the open market or in privately negotiated transactions and has no expiration date. As of January 31, 2025, there was $137.8 million worth of repurchase authority remaining pursuant to the existing share repurchase program.</w:t>
      </w:r>
    </w:p>
    <w:p>
      <w:pPr>
        <w:spacing w:after="0" w:line="1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the purchases by the Company of Class A Nonvoting Common Stock during the three months ended January 31, 2025:</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6"/>
                <w:szCs w:val="16"/>
                <w:color w:val="auto"/>
              </w:rPr>
            </w:pPr>
          </w:p>
        </w:tc>
        <w:tc>
          <w:tcPr>
            <w:tcW w:w="17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that May</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4"/>
                <w:szCs w:val="14"/>
                <w:color w:val="auto"/>
              </w:rPr>
            </w:pPr>
          </w:p>
        </w:tc>
        <w:tc>
          <w:tcPr>
            <w:tcW w:w="1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9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8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Yet Be Purchased Under</w:t>
            </w:r>
          </w:p>
        </w:tc>
        <w:tc>
          <w:tcPr>
            <w:tcW w:w="0" w:type="dxa"/>
            <w:vAlign w:val="bottom"/>
          </w:tcPr>
          <w:p>
            <w:pPr>
              <w:spacing w:after="0"/>
              <w:rPr>
                <w:sz w:val="1"/>
                <w:szCs w:val="1"/>
                <w:color w:val="auto"/>
              </w:rPr>
            </w:pPr>
          </w:p>
        </w:tc>
      </w:tr>
      <w:tr>
        <w:trPr>
          <w:trHeight w:val="162"/>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9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00" w:type="dxa"/>
            <w:vAlign w:val="bottom"/>
          </w:tcPr>
          <w:p>
            <w:pPr>
              <w:spacing w:after="0"/>
              <w:rPr>
                <w:sz w:val="14"/>
                <w:szCs w:val="14"/>
                <w:color w:val="auto"/>
              </w:rPr>
            </w:pPr>
          </w:p>
        </w:tc>
        <w:tc>
          <w:tcPr>
            <w:tcW w:w="174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the Plans or Programs</w:t>
            </w:r>
          </w:p>
        </w:tc>
        <w:tc>
          <w:tcPr>
            <w:tcW w:w="0" w:type="dxa"/>
            <w:vAlign w:val="bottom"/>
          </w:tcPr>
          <w:p>
            <w:pPr>
              <w:spacing w:after="0"/>
              <w:rPr>
                <w:sz w:val="1"/>
                <w:szCs w:val="1"/>
                <w:color w:val="auto"/>
              </w:rPr>
            </w:pPr>
          </w:p>
        </w:tc>
      </w:tr>
      <w:tr>
        <w:trPr>
          <w:trHeight w:val="214"/>
        </w:trPr>
        <w:tc>
          <w:tcPr>
            <w:tcW w:w="3580" w:type="dxa"/>
            <w:vAlign w:val="bottom"/>
            <w:gridSpan w:val="2"/>
            <w:vMerge w:val="continue"/>
          </w:tcPr>
          <w:p>
            <w:pPr>
              <w:spacing w:after="0"/>
              <w:rPr>
                <w:sz w:val="18"/>
                <w:szCs w:val="18"/>
                <w:color w:val="auto"/>
              </w:rPr>
            </w:pPr>
          </w:p>
        </w:tc>
        <w:tc>
          <w:tcPr>
            <w:tcW w:w="1940" w:type="dxa"/>
            <w:vAlign w:val="bottom"/>
            <w:gridSpan w:val="2"/>
          </w:tcPr>
          <w:p>
            <w:pPr>
              <w:ind w:left="560"/>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100" w:type="dxa"/>
            <w:vAlign w:val="bottom"/>
          </w:tcPr>
          <w:p>
            <w:pPr>
              <w:spacing w:after="0"/>
              <w:rPr>
                <w:sz w:val="18"/>
                <w:szCs w:val="18"/>
                <w:color w:val="auto"/>
              </w:rPr>
            </w:pPr>
          </w:p>
        </w:tc>
        <w:tc>
          <w:tcPr>
            <w:tcW w:w="1820" w:type="dxa"/>
            <w:vAlign w:val="bottom"/>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Plans or Programs</w:t>
            </w:r>
          </w:p>
        </w:tc>
        <w:tc>
          <w:tcPr>
            <w:tcW w:w="100" w:type="dxa"/>
            <w:vAlign w:val="bottom"/>
          </w:tcPr>
          <w:p>
            <w:pPr>
              <w:spacing w:after="0"/>
              <w:rPr>
                <w:sz w:val="18"/>
                <w:szCs w:val="18"/>
                <w:color w:val="auto"/>
              </w:rPr>
            </w:pPr>
          </w:p>
        </w:tc>
        <w:tc>
          <w:tcPr>
            <w:tcW w:w="17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0" w:type="dxa"/>
            <w:vAlign w:val="bottom"/>
          </w:tcPr>
          <w:p>
            <w:pPr>
              <w:spacing w:after="0"/>
              <w:rPr>
                <w:sz w:val="1"/>
                <w:szCs w:val="1"/>
                <w:color w:val="auto"/>
              </w:rPr>
            </w:pPr>
          </w:p>
        </w:tc>
      </w:tr>
      <w:tr>
        <w:trPr>
          <w:trHeight w:val="211"/>
        </w:trPr>
        <w:tc>
          <w:tcPr>
            <w:tcW w:w="3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November 1, 2024 - November 30, 2024</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137,788</w:t>
            </w:r>
          </w:p>
        </w:tc>
        <w:tc>
          <w:tcPr>
            <w:tcW w:w="0" w:type="dxa"/>
            <w:vAlign w:val="bottom"/>
          </w:tcPr>
          <w:p>
            <w:pPr>
              <w:spacing w:after="0"/>
              <w:rPr>
                <w:sz w:val="1"/>
                <w:szCs w:val="1"/>
                <w:color w:val="auto"/>
              </w:rPr>
            </w:pPr>
          </w:p>
        </w:tc>
      </w:tr>
      <w:tr>
        <w:trPr>
          <w:trHeight w:val="21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December 1, 2024 - December 31, 2024</w:t>
            </w:r>
          </w:p>
        </w:tc>
        <w:tc>
          <w:tcPr>
            <w:tcW w:w="194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20" w:type="dxa"/>
            <w:vAlign w:val="bottom"/>
            <w:gridSpan w:val="2"/>
          </w:tcPr>
          <w:p>
            <w:pPr>
              <w:ind w:left="1500"/>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137,788</w:t>
            </w:r>
          </w:p>
        </w:tc>
        <w:tc>
          <w:tcPr>
            <w:tcW w:w="0" w:type="dxa"/>
            <w:vAlign w:val="bottom"/>
          </w:tcPr>
          <w:p>
            <w:pPr>
              <w:spacing w:after="0"/>
              <w:rPr>
                <w:sz w:val="1"/>
                <w:szCs w:val="1"/>
                <w:color w:val="auto"/>
              </w:rPr>
            </w:pPr>
          </w:p>
        </w:tc>
      </w:tr>
      <w:tr>
        <w:trPr>
          <w:trHeight w:val="21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 2025 - January 31, 2025</w:t>
            </w:r>
          </w:p>
        </w:tc>
        <w:tc>
          <w:tcPr>
            <w:tcW w:w="194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137,788</w:t>
            </w:r>
          </w:p>
        </w:tc>
        <w:tc>
          <w:tcPr>
            <w:tcW w:w="0" w:type="dxa"/>
            <w:vAlign w:val="bottom"/>
          </w:tcPr>
          <w:p>
            <w:pPr>
              <w:spacing w:after="0"/>
              <w:rPr>
                <w:sz w:val="1"/>
                <w:szCs w:val="1"/>
                <w:color w:val="auto"/>
              </w:rPr>
            </w:pPr>
          </w:p>
        </w:tc>
      </w:tr>
      <w:tr>
        <w:trPr>
          <w:trHeight w:val="207"/>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40" w:type="dxa"/>
            <w:vAlign w:val="bottom"/>
            <w:tcBorders>
              <w:top w:val="single" w:sz="8" w:color="auto"/>
              <w:bottom w:val="single" w:sz="8" w:color="auto"/>
            </w:tcBorders>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bottom w:val="single" w:sz="8" w:color="auto"/>
            </w:tcBorders>
          </w:tcPr>
          <w:p>
            <w:pPr>
              <w:ind w:left="15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60" w:type="dxa"/>
            <w:vAlign w:val="bottom"/>
            <w:tcBorders>
              <w:top w:val="single" w:sz="8" w:color="auto"/>
              <w:bottom w:val="single" w:sz="8" w:color="auto"/>
            </w:tcBorders>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137,788</w:t>
            </w: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OTHER INFORMATION</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January 31, 2025, no director or Section 16 officer of the Company adopted or terminated a “Rule 10b5-1 trading arrangement” or “non-Rule 10b5-1 trading arrangement,” as each term is identified in Item 408(a) of Regulation S-K.</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 EXHIBITS</w:t>
            </w:r>
          </w:p>
        </w:tc>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50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439"/>
        </w:trPr>
        <w:tc>
          <w:tcPr>
            <w:tcW w:w="2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340" w:type="dxa"/>
            <w:vAlign w:val="bottom"/>
            <w:tcBorders>
              <w:top w:val="single" w:sz="8" w:color="auto"/>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Russell R. Shaller</w:t>
            </w:r>
          </w:p>
        </w:tc>
        <w:tc>
          <w:tcPr>
            <w:tcW w:w="4620" w:type="dxa"/>
            <w:vAlign w:val="bottom"/>
            <w:tcBorders>
              <w:top w:val="single" w:sz="8" w:color="auto"/>
            </w:tcBorders>
          </w:tcPr>
          <w:p>
            <w:pPr>
              <w:spacing w:after="0"/>
              <w:rPr>
                <w:sz w:val="24"/>
                <w:szCs w:val="24"/>
                <w:color w:val="auto"/>
              </w:rPr>
            </w:pPr>
          </w:p>
        </w:tc>
      </w:tr>
      <w:tr>
        <w:trPr>
          <w:trHeight w:val="47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Rule 13a-14(a)/15d-14(a) Certification of Ann E. Thornton</w:t>
            </w:r>
          </w:p>
        </w:tc>
      </w:tr>
      <w:tr>
        <w:trPr>
          <w:trHeight w:val="480"/>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Russell R. Shaller</w:t>
            </w:r>
          </w:p>
        </w:tc>
        <w:tc>
          <w:tcPr>
            <w:tcW w:w="820" w:type="dxa"/>
            <w:vAlign w:val="bottom"/>
            <w:tcBorders>
              <w:top w:val="single" w:sz="8" w:color="0000FF"/>
            </w:tcBorders>
          </w:tcPr>
          <w:p>
            <w:pPr>
              <w:spacing w:after="0"/>
              <w:rPr>
                <w:sz w:val="24"/>
                <w:szCs w:val="24"/>
                <w:color w:val="auto"/>
              </w:rPr>
            </w:pPr>
          </w:p>
        </w:tc>
        <w:tc>
          <w:tcPr>
            <w:tcW w:w="4700" w:type="dxa"/>
            <w:vAlign w:val="bottom"/>
            <w:gridSpan w:val="2"/>
          </w:tcPr>
          <w:p>
            <w:pPr>
              <w:spacing w:after="0"/>
              <w:rPr>
                <w:sz w:val="24"/>
                <w:szCs w:val="24"/>
                <w:color w:val="auto"/>
              </w:rPr>
            </w:pPr>
          </w:p>
        </w:tc>
      </w:tr>
      <w:tr>
        <w:trPr>
          <w:trHeight w:val="47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Ann E. Thornton</w:t>
            </w:r>
          </w:p>
        </w:tc>
        <w:tc>
          <w:tcPr>
            <w:tcW w:w="5580" w:type="dxa"/>
            <w:vAlign w:val="bottom"/>
            <w:gridSpan w:val="4"/>
          </w:tcPr>
          <w:p>
            <w:pPr>
              <w:spacing w:after="0"/>
              <w:rPr>
                <w:sz w:val="24"/>
                <w:szCs w:val="24"/>
                <w:color w:val="auto"/>
              </w:rPr>
            </w:pPr>
          </w:p>
        </w:tc>
      </w:tr>
      <w:tr>
        <w:trPr>
          <w:trHeight w:val="475"/>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w:t>
            </w:r>
          </w:p>
        </w:tc>
      </w:tr>
      <w:tr>
        <w:trPr>
          <w:trHeight w:val="234"/>
        </w:trPr>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r>
      <w:tr>
        <w:trPr>
          <w:trHeight w:val="50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9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9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50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9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Label Linkbase Document</w:t>
            </w:r>
          </w:p>
        </w:tc>
      </w:tr>
      <w:tr>
        <w:trPr>
          <w:trHeight w:val="500"/>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SIGNATURES</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BRADY CORPORATION</w:t>
            </w:r>
          </w:p>
        </w:tc>
      </w:tr>
      <w:tr>
        <w:trPr>
          <w:trHeight w:val="499"/>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21, 2025</w:t>
            </w:r>
          </w:p>
        </w:tc>
        <w:tc>
          <w:tcPr>
            <w:tcW w:w="4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 RUSSELL R. SHALLER</w:t>
            </w:r>
          </w:p>
        </w:tc>
      </w:tr>
      <w:tr>
        <w:trPr>
          <w:trHeight w:val="218"/>
        </w:trPr>
        <w:tc>
          <w:tcPr>
            <w:tcW w:w="7160" w:type="dxa"/>
            <w:vAlign w:val="bottom"/>
          </w:tcPr>
          <w:p>
            <w:pPr>
              <w:spacing w:after="0"/>
              <w:rPr>
                <w:sz w:val="18"/>
                <w:szCs w:val="18"/>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Russell R. Shaller</w:t>
            </w:r>
          </w:p>
        </w:tc>
      </w:tr>
      <w:tr>
        <w:trPr>
          <w:trHeight w:val="230"/>
        </w:trPr>
        <w:tc>
          <w:tcPr>
            <w:tcW w:w="716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716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43"/>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21, 2025</w:t>
            </w:r>
          </w:p>
        </w:tc>
        <w:tc>
          <w:tcPr>
            <w:tcW w:w="4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 ANN E. THORNTON</w:t>
            </w:r>
          </w:p>
        </w:tc>
      </w:tr>
      <w:tr>
        <w:trPr>
          <w:trHeight w:val="218"/>
        </w:trPr>
        <w:tc>
          <w:tcPr>
            <w:tcW w:w="7160" w:type="dxa"/>
            <w:vAlign w:val="bottom"/>
          </w:tcPr>
          <w:p>
            <w:pPr>
              <w:spacing w:after="0"/>
              <w:rPr>
                <w:sz w:val="18"/>
                <w:szCs w:val="18"/>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Ann E. Thornton</w:t>
            </w:r>
          </w:p>
        </w:tc>
      </w:tr>
      <w:tr>
        <w:trPr>
          <w:trHeight w:val="189"/>
        </w:trPr>
        <w:tc>
          <w:tcPr>
            <w:tcW w:w="7160" w:type="dxa"/>
            <w:vAlign w:val="bottom"/>
          </w:tcPr>
          <w:p>
            <w:pPr>
              <w:spacing w:after="0"/>
              <w:rPr>
                <w:sz w:val="16"/>
                <w:szCs w:val="16"/>
                <w:color w:val="auto"/>
              </w:rPr>
            </w:pPr>
          </w:p>
        </w:tc>
        <w:tc>
          <w:tcPr>
            <w:tcW w:w="4060" w:type="dxa"/>
            <w:vAlign w:val="bottom"/>
          </w:tcPr>
          <w:p>
            <w:pPr>
              <w:ind w:left="300"/>
              <w:spacing w:after="0" w:line="189" w:lineRule="exact"/>
              <w:rPr>
                <w:sz w:val="20"/>
                <w:szCs w:val="20"/>
                <w:color w:val="auto"/>
              </w:rPr>
            </w:pPr>
            <w:r>
              <w:rPr>
                <w:rFonts w:ascii="Times New Roman" w:cs="Times New Roman" w:eastAsia="Times New Roman" w:hAnsi="Times New Roman"/>
                <w:sz w:val="18"/>
                <w:szCs w:val="18"/>
                <w:color w:val="auto"/>
              </w:rPr>
              <w:t>Chief Financial Officer, Chief Accounting Officer</w:t>
            </w:r>
          </w:p>
        </w:tc>
      </w:tr>
      <w:tr>
        <w:trPr>
          <w:trHeight w:val="230"/>
        </w:trPr>
        <w:tc>
          <w:tcPr>
            <w:tcW w:w="716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 Treasurer</w:t>
            </w:r>
          </w:p>
        </w:tc>
      </w:tr>
      <w:tr>
        <w:trPr>
          <w:trHeight w:val="189"/>
        </w:trPr>
        <w:tc>
          <w:tcPr>
            <w:tcW w:w="7160" w:type="dxa"/>
            <w:vAlign w:val="bottom"/>
          </w:tcPr>
          <w:p>
            <w:pPr>
              <w:spacing w:after="0"/>
              <w:rPr>
                <w:sz w:val="16"/>
                <w:szCs w:val="16"/>
                <w:color w:val="auto"/>
              </w:rPr>
            </w:pPr>
          </w:p>
        </w:tc>
        <w:tc>
          <w:tcPr>
            <w:tcW w:w="4060" w:type="dxa"/>
            <w:vAlign w:val="bottom"/>
          </w:tcPr>
          <w:p>
            <w:pPr>
              <w:ind w:left="300"/>
              <w:spacing w:after="0" w:line="189" w:lineRule="exact"/>
              <w:rPr>
                <w:sz w:val="20"/>
                <w:szCs w:val="20"/>
                <w:color w:val="auto"/>
              </w:rPr>
            </w:pPr>
            <w:r>
              <w:rPr>
                <w:rFonts w:ascii="Times New Roman" w:cs="Times New Roman" w:eastAsia="Times New Roman" w:hAnsi="Times New Roman"/>
                <w:sz w:val="18"/>
                <w:szCs w:val="18"/>
                <w:color w:val="auto"/>
              </w:rPr>
              <w:t>(Principal Financial Officer and Principal</w:t>
            </w:r>
          </w:p>
        </w:tc>
      </w:tr>
      <w:tr>
        <w:trPr>
          <w:trHeight w:val="234"/>
        </w:trPr>
        <w:tc>
          <w:tcPr>
            <w:tcW w:w="716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18"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Russell R. Shaller, certify that:</w:t>
      </w:r>
    </w:p>
    <w:p>
      <w:pPr>
        <w:spacing w:after="0" w:line="104" w:lineRule="exact"/>
        <w:rPr>
          <w:sz w:val="20"/>
          <w:szCs w:val="20"/>
          <w:color w:val="auto"/>
        </w:rPr>
      </w:pPr>
    </w:p>
    <w:p>
      <w:pPr>
        <w:ind w:left="700" w:hanging="247"/>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Brady Corporation;</w:t>
      </w:r>
    </w:p>
    <w:p>
      <w:pPr>
        <w:spacing w:after="0" w:line="171" w:lineRule="exact"/>
        <w:rPr>
          <w:rFonts w:ascii="Times New Roman" w:cs="Times New Roman" w:eastAsia="Times New Roman" w:hAnsi="Times New Roman"/>
          <w:sz w:val="18"/>
          <w:szCs w:val="18"/>
          <w:color w:val="auto"/>
        </w:rPr>
      </w:pPr>
    </w:p>
    <w:p>
      <w:pPr>
        <w:ind w:firstLine="453"/>
        <w:spacing w:after="0" w:line="282" w:lineRule="auto"/>
        <w:tabs>
          <w:tab w:leader="none" w:pos="70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sz w:val="20"/>
          <w:szCs w:val="20"/>
          <w:color w:val="auto"/>
        </w:rPr>
      </w:pPr>
    </w:p>
    <w:p>
      <w:pPr>
        <w:jc w:val="both"/>
        <w:ind w:firstLine="453"/>
        <w:spacing w:after="0" w:line="266" w:lineRule="auto"/>
        <w:tabs>
          <w:tab w:leader="none" w:pos="65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firstLine="453"/>
        <w:spacing w:after="0" w:line="266" w:lineRule="auto"/>
        <w:tabs>
          <w:tab w:leader="none" w:pos="67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20" w:firstLine="453"/>
        <w:spacing w:after="0" w:line="282" w:lineRule="auto"/>
        <w:tabs>
          <w:tab w:leader="none" w:pos="67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firstLine="453"/>
        <w:spacing w:after="0" w:line="266" w:lineRule="auto"/>
        <w:tabs>
          <w:tab w:leader="none" w:pos="65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firstLine="453"/>
        <w:spacing w:after="0" w:line="282" w:lineRule="auto"/>
        <w:tabs>
          <w:tab w:leader="none" w:pos="73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sz w:val="20"/>
          <w:szCs w:val="20"/>
          <w:color w:val="auto"/>
        </w:rPr>
      </w:pPr>
    </w:p>
    <w:p>
      <w:pPr>
        <w:ind w:right="20" w:firstLine="453"/>
        <w:spacing w:after="0" w:line="282" w:lineRule="auto"/>
        <w:tabs>
          <w:tab w:leader="none" w:pos="6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65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21, 2025</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Ann E. Thornton, certify that:</w:t>
      </w:r>
    </w:p>
    <w:p>
      <w:pPr>
        <w:spacing w:after="0" w:line="104" w:lineRule="exact"/>
        <w:rPr>
          <w:sz w:val="20"/>
          <w:szCs w:val="20"/>
          <w:color w:val="auto"/>
        </w:rPr>
      </w:pPr>
    </w:p>
    <w:p>
      <w:pPr>
        <w:ind w:left="700" w:hanging="247"/>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Brady Corporation;</w:t>
      </w:r>
    </w:p>
    <w:p>
      <w:pPr>
        <w:spacing w:after="0" w:line="171" w:lineRule="exact"/>
        <w:rPr>
          <w:rFonts w:ascii="Times New Roman" w:cs="Times New Roman" w:eastAsia="Times New Roman" w:hAnsi="Times New Roman"/>
          <w:sz w:val="18"/>
          <w:szCs w:val="18"/>
          <w:color w:val="auto"/>
        </w:rPr>
      </w:pPr>
    </w:p>
    <w:p>
      <w:pPr>
        <w:ind w:firstLine="453"/>
        <w:spacing w:after="0" w:line="282" w:lineRule="auto"/>
        <w:tabs>
          <w:tab w:leader="none" w:pos="70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sz w:val="20"/>
          <w:szCs w:val="20"/>
          <w:color w:val="auto"/>
        </w:rPr>
      </w:pPr>
    </w:p>
    <w:p>
      <w:pPr>
        <w:jc w:val="both"/>
        <w:ind w:firstLine="453"/>
        <w:spacing w:after="0" w:line="266" w:lineRule="auto"/>
        <w:tabs>
          <w:tab w:leader="none" w:pos="65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firstLine="453"/>
        <w:spacing w:after="0" w:line="266" w:lineRule="auto"/>
        <w:tabs>
          <w:tab w:leader="none" w:pos="67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20" w:firstLine="453"/>
        <w:spacing w:after="0" w:line="282" w:lineRule="auto"/>
        <w:tabs>
          <w:tab w:leader="none" w:pos="67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firstLine="453"/>
        <w:spacing w:after="0" w:line="266" w:lineRule="auto"/>
        <w:tabs>
          <w:tab w:leader="none" w:pos="65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firstLine="453"/>
        <w:spacing w:after="0" w:line="282" w:lineRule="auto"/>
        <w:tabs>
          <w:tab w:leader="none" w:pos="73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sz w:val="20"/>
          <w:szCs w:val="20"/>
          <w:color w:val="auto"/>
        </w:rPr>
      </w:pPr>
    </w:p>
    <w:p>
      <w:pPr>
        <w:ind w:right="20" w:firstLine="453"/>
        <w:spacing w:after="0" w:line="282" w:lineRule="auto"/>
        <w:tabs>
          <w:tab w:leader="none" w:pos="6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65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21, 2025</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Chief Accounting Officer and Treasurer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ectPr>
          <w:pgSz w:w="11900" w:h="16838" w:orient="portrait"/>
          <w:cols w:equalWidth="0" w:num="1">
            <w:col w:w="11240"/>
          </w:cols>
          <w:pgMar w:left="320" w:top="88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Brady Corporation (the “Company”) certifies to his knowledge that:</w:t>
      </w:r>
    </w:p>
    <w:p>
      <w:pPr>
        <w:spacing w:after="0" w:line="40" w:lineRule="exact"/>
        <w:rPr>
          <w:sz w:val="20"/>
          <w:szCs w:val="20"/>
          <w:color w:val="auto"/>
        </w:rPr>
      </w:pPr>
    </w:p>
    <w:p>
      <w:pPr>
        <w:ind w:firstLine="453"/>
        <w:spacing w:after="0" w:line="282" w:lineRule="auto"/>
        <w:tabs>
          <w:tab w:leader="none" w:pos="7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January 31, 2025 fully complies with the requirements of Section 13(a) or 15(d) of the Securities Exchange Act of 1934;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21, 2025</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240"/>
          </w:cols>
          <w:pgMar w:left="320" w:top="88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Brady Corporation (the “Company”) certifies to her knowledge that:</w:t>
      </w:r>
    </w:p>
    <w:p>
      <w:pPr>
        <w:spacing w:after="0" w:line="40" w:lineRule="exact"/>
        <w:rPr>
          <w:sz w:val="20"/>
          <w:szCs w:val="20"/>
          <w:color w:val="auto"/>
        </w:rPr>
      </w:pPr>
    </w:p>
    <w:p>
      <w:pPr>
        <w:ind w:firstLine="453"/>
        <w:spacing w:after="0" w:line="282" w:lineRule="auto"/>
        <w:tabs>
          <w:tab w:leader="none" w:pos="7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January 31, 2025 fully complies with the requirements of Section 13(a) or 15(d) of the Securities Exchange Act of 1934;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21, 2025</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Chief Accounting Officer and Treasurer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1)"/>
      <w:numFmt w:val="decimal"/>
      <w:start w:val="5"/>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5"/>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2025-02-21T06:28:52Z</dcterms:created>
  <dcterms:modified xsi:type="dcterms:W3CDTF">2025-02-21T06:28:52Z</dcterms:modified>
</cp:coreProperties>
</file>