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6001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0138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09/24/2012</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3"/>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9A9A9A"/>
          </w:tcPr>
          <w:p>
            <w:pPr>
              <w:spacing w:after="0"/>
              <w:rPr>
                <w:sz w:val="2"/>
                <w:szCs w:val="2"/>
                <w:color w:val="auto"/>
              </w:rPr>
            </w:pPr>
          </w:p>
        </w:tc>
        <w:tc>
          <w:tcPr>
            <w:tcW w:w="44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00" w:type="dxa"/>
            <w:vAlign w:val="bottom"/>
            <w:shd w:val="clear" w:color="auto" w:fill="9A9A9A"/>
          </w:tcPr>
          <w:p>
            <w:pPr>
              <w:spacing w:after="0"/>
              <w:rPr>
                <w:sz w:val="2"/>
                <w:szCs w:val="2"/>
                <w:color w:val="auto"/>
              </w:rPr>
            </w:pPr>
          </w:p>
        </w:tc>
        <w:tc>
          <w:tcPr>
            <w:tcW w:w="388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37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0000FF"/>
              </w:rPr>
              <w:t>53223</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gridSpan w:val="9"/>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13"/>
                <w:szCs w:val="13"/>
                <w:color w:val="auto"/>
              </w:rPr>
            </w:pP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2"/>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62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20" w:type="dxa"/>
            <w:vAlign w:val="bottom"/>
            <w:gridSpan w:val="2"/>
            <w:vMerge w:val="continue"/>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760" w:type="dxa"/>
            <w:vAlign w:val="bottom"/>
            <w:gridSpan w:val="4"/>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0000FF"/>
                <w:w w:val="88"/>
              </w:rPr>
              <w:t>5,446.3248</w:t>
            </w:r>
            <w:r>
              <w:rPr>
                <w:rFonts w:ascii="Arial" w:cs="Arial" w:eastAsia="Arial" w:hAnsi="Arial"/>
                <w:sz w:val="21"/>
                <w:szCs w:val="21"/>
                <w:color w:val="008000"/>
                <w:w w:val="88"/>
                <w:vertAlign w:val="superscript"/>
              </w:rPr>
              <w:t>(1)</w:t>
            </w:r>
          </w:p>
        </w:tc>
        <w:tc>
          <w:tcPr>
            <w:tcW w:w="30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37,754</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60" w:type="dxa"/>
            <w:vAlign w:val="bottom"/>
            <w:tcBorders>
              <w:bottom w:val="single" w:sz="8" w:color="2C2C2C"/>
            </w:tcBorders>
            <w:gridSpan w:val="4"/>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18,302.7479</w:t>
            </w:r>
            <w:r>
              <w:rPr>
                <w:rFonts w:ascii="Arial" w:cs="Arial" w:eastAsia="Arial" w:hAnsi="Arial"/>
                <w:sz w:val="21"/>
                <w:szCs w:val="21"/>
                <w:color w:val="008000"/>
                <w:w w:val="87"/>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0" w:type="dxa"/>
            <w:vAlign w:val="bottom"/>
            <w:gridSpan w:val="11"/>
          </w:tcPr>
          <w:p>
            <w:pPr>
              <w:jc w:val="right"/>
              <w:ind w:right="2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90,541.1399</w:t>
            </w:r>
            <w:r>
              <w:rPr>
                <w:rFonts w:ascii="Arial" w:cs="Arial" w:eastAsia="Arial" w:hAnsi="Arial"/>
                <w:sz w:val="21"/>
                <w:szCs w:val="21"/>
                <w:color w:val="008000"/>
                <w:w w:val="87"/>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3"/>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0000FF"/>
              </w:rPr>
              <w:t>Unit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Option</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vMerge w:val="restart"/>
          </w:tcPr>
          <w:p>
            <w:pPr>
              <w:ind w:left="68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(4)</w:t>
            </w:r>
          </w:p>
        </w:tc>
        <w:tc>
          <w:tcPr>
            <w:tcW w:w="7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33,333</w:t>
            </w:r>
          </w:p>
        </w:tc>
        <w:tc>
          <w:tcPr>
            <w:tcW w:w="80" w:type="dxa"/>
            <w:vAlign w:val="bottom"/>
          </w:tcPr>
          <w:p>
            <w:pPr>
              <w:spacing w:after="0"/>
              <w:rPr>
                <w:sz w:val="16"/>
                <w:szCs w:val="16"/>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color w:val="008000"/>
              </w:rPr>
              <w:t>(4)</w:t>
            </w: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33,333</w:t>
            </w:r>
            <w:r>
              <w:rPr>
                <w:rFonts w:ascii="Arial" w:cs="Arial" w:eastAsia="Arial" w:hAnsi="Arial"/>
                <w:sz w:val="21"/>
                <w:szCs w:val="21"/>
                <w:color w:val="008000"/>
                <w:w w:val="87"/>
                <w:vertAlign w:val="superscript"/>
              </w:rPr>
              <w:t>(4)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860" w:type="dxa"/>
            <w:vAlign w:val="bottom"/>
            <w:vMerge w:val="restart"/>
          </w:tcPr>
          <w:p>
            <w:pPr>
              <w:jc w:val="center"/>
              <w:ind w:right="20"/>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29.1</w:t>
            </w:r>
          </w:p>
        </w:tc>
        <w:tc>
          <w:tcPr>
            <w:tcW w:w="840" w:type="dxa"/>
            <w:vAlign w:val="bottom"/>
            <w:vMerge w:val="restart"/>
          </w:tcPr>
          <w:p>
            <w:pPr>
              <w:jc w:val="right"/>
              <w:spacing w:after="0" w:line="146" w:lineRule="exact"/>
              <w:rPr>
                <w:sz w:val="20"/>
                <w:szCs w:val="20"/>
                <w:color w:val="auto"/>
              </w:rPr>
            </w:pPr>
            <w:r>
              <w:rPr>
                <w:rFonts w:ascii="Arial" w:cs="Arial" w:eastAsia="Arial" w:hAnsi="Arial"/>
                <w:sz w:val="13"/>
                <w:szCs w:val="13"/>
                <w:color w:val="0000FF"/>
              </w:rPr>
              <w:t>09/24/2012</w:t>
            </w:r>
          </w:p>
        </w:tc>
        <w:tc>
          <w:tcPr>
            <w:tcW w:w="1300" w:type="dxa"/>
            <w:vAlign w:val="bottom"/>
            <w:vMerge w:val="continue"/>
          </w:tcPr>
          <w:p>
            <w:pPr>
              <w:spacing w:after="0"/>
              <w:rPr>
                <w:sz w:val="4"/>
                <w:szCs w:val="4"/>
                <w:color w:val="auto"/>
              </w:rPr>
            </w:pPr>
          </w:p>
        </w:tc>
        <w:tc>
          <w:tcPr>
            <w:tcW w:w="62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4"/>
                <w:szCs w:val="4"/>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33,333</w:t>
            </w:r>
          </w:p>
        </w:tc>
        <w:tc>
          <w:tcPr>
            <w:tcW w:w="3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09/24/2020</w:t>
            </w: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0000FF"/>
                <w:w w:val="87"/>
              </w:rPr>
              <w:t>Vesting</w:t>
            </w:r>
          </w:p>
        </w:tc>
        <w:tc>
          <w:tcPr>
            <w:tcW w:w="440" w:type="dxa"/>
            <w:vAlign w:val="bottom"/>
          </w:tcPr>
          <w:p>
            <w:pPr>
              <w:jc w:val="right"/>
              <w:ind w:right="265"/>
              <w:spacing w:after="0" w:line="97" w:lineRule="exact"/>
              <w:rPr>
                <w:sz w:val="20"/>
                <w:szCs w:val="20"/>
                <w:color w:val="auto"/>
              </w:rPr>
            </w:pPr>
            <w:r>
              <w:rPr>
                <w:rFonts w:ascii="Arial" w:cs="Arial" w:eastAsia="Arial" w:hAnsi="Arial"/>
                <w:sz w:val="11"/>
                <w:szCs w:val="11"/>
                <w:color w:val="008000"/>
                <w:w w:val="74"/>
              </w:rPr>
              <w:t>(4)</w:t>
            </w:r>
          </w:p>
        </w:tc>
        <w:tc>
          <w:tcPr>
            <w:tcW w:w="8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Option</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vMerge w:val="restart"/>
          </w:tcPr>
          <w:p>
            <w:pPr>
              <w:ind w:left="680"/>
              <w:spacing w:after="0"/>
              <w:rPr>
                <w:sz w:val="20"/>
                <w:szCs w:val="20"/>
                <w:color w:val="auto"/>
              </w:rPr>
            </w:pPr>
            <w:r>
              <w:rPr>
                <w:rFonts w:ascii="Arial" w:cs="Arial" w:eastAsia="Arial" w:hAnsi="Arial"/>
                <w:sz w:val="11"/>
                <w:szCs w:val="11"/>
                <w:color w:val="008000"/>
              </w:rPr>
              <w:t>(5)</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23,333</w:t>
            </w:r>
          </w:p>
        </w:tc>
        <w:tc>
          <w:tcPr>
            <w:tcW w:w="80" w:type="dxa"/>
            <w:vAlign w:val="bottom"/>
          </w:tcPr>
          <w:p>
            <w:pPr>
              <w:spacing w:after="0"/>
              <w:rPr>
                <w:sz w:val="16"/>
                <w:szCs w:val="16"/>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color w:val="008000"/>
              </w:rPr>
              <w:t>(5)</w:t>
            </w: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23,333</w:t>
            </w:r>
            <w:r>
              <w:rPr>
                <w:rFonts w:ascii="Arial" w:cs="Arial" w:eastAsia="Arial" w:hAnsi="Arial"/>
                <w:sz w:val="21"/>
                <w:szCs w:val="21"/>
                <w:color w:val="008000"/>
                <w:w w:val="87"/>
                <w:vertAlign w:val="superscript"/>
              </w:rPr>
              <w:t>(5)</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86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28.73</w:t>
            </w:r>
          </w:p>
        </w:tc>
        <w:tc>
          <w:tcPr>
            <w:tcW w:w="840" w:type="dxa"/>
            <w:vAlign w:val="bottom"/>
            <w:vMerge w:val="restart"/>
          </w:tcPr>
          <w:p>
            <w:pPr>
              <w:jc w:val="right"/>
              <w:spacing w:after="0" w:line="146" w:lineRule="exact"/>
              <w:rPr>
                <w:sz w:val="20"/>
                <w:szCs w:val="20"/>
                <w:color w:val="auto"/>
              </w:rPr>
            </w:pPr>
            <w:r>
              <w:rPr>
                <w:rFonts w:ascii="Arial" w:cs="Arial" w:eastAsia="Arial" w:hAnsi="Arial"/>
                <w:sz w:val="13"/>
                <w:szCs w:val="13"/>
                <w:color w:val="0000FF"/>
              </w:rPr>
              <w:t>09/25/2012</w:t>
            </w:r>
          </w:p>
        </w:tc>
        <w:tc>
          <w:tcPr>
            <w:tcW w:w="1300" w:type="dxa"/>
            <w:vAlign w:val="bottom"/>
            <w:vMerge w:val="continue"/>
          </w:tcPr>
          <w:p>
            <w:pPr>
              <w:spacing w:after="0"/>
              <w:rPr>
                <w:sz w:val="4"/>
                <w:szCs w:val="4"/>
                <w:color w:val="auto"/>
              </w:rPr>
            </w:pPr>
          </w:p>
        </w:tc>
        <w:tc>
          <w:tcPr>
            <w:tcW w:w="620" w:type="dxa"/>
            <w:vAlign w:val="bottom"/>
            <w:vMerge w:val="restart"/>
          </w:tcPr>
          <w:p>
            <w:pPr>
              <w:ind w:left="180"/>
              <w:spacing w:after="0" w:line="146"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4"/>
                <w:szCs w:val="4"/>
                <w:color w:val="auto"/>
              </w:rPr>
            </w:pPr>
          </w:p>
        </w:tc>
        <w:tc>
          <w:tcPr>
            <w:tcW w:w="56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23,333</w:t>
            </w:r>
          </w:p>
        </w:tc>
        <w:tc>
          <w:tcPr>
            <w:tcW w:w="3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09/25/2019</w:t>
            </w: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0000FF"/>
                <w:w w:val="87"/>
              </w:rPr>
              <w:t>Vesting</w:t>
            </w:r>
          </w:p>
        </w:tc>
        <w:tc>
          <w:tcPr>
            <w:tcW w:w="440" w:type="dxa"/>
            <w:vAlign w:val="bottom"/>
          </w:tcPr>
          <w:p>
            <w:pPr>
              <w:jc w:val="right"/>
              <w:ind w:right="265"/>
              <w:spacing w:after="0" w:line="97" w:lineRule="exact"/>
              <w:rPr>
                <w:sz w:val="20"/>
                <w:szCs w:val="20"/>
                <w:color w:val="auto"/>
              </w:rPr>
            </w:pPr>
            <w:r>
              <w:rPr>
                <w:rFonts w:ascii="Arial" w:cs="Arial" w:eastAsia="Arial" w:hAnsi="Arial"/>
                <w:sz w:val="11"/>
                <w:szCs w:val="11"/>
                <w:color w:val="008000"/>
                <w:w w:val="74"/>
              </w:rPr>
              <w:t>(5)</w:t>
            </w:r>
          </w:p>
        </w:tc>
        <w:tc>
          <w:tcPr>
            <w:tcW w:w="8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of these securities for Section 16 purposes or any other purpose.</w:t>
      </w:r>
    </w:p>
    <w:p>
      <w:pPr>
        <w:spacing w:after="0" w:line="21" w:lineRule="exact"/>
        <w:rPr>
          <w:rFonts w:ascii="Arial" w:cs="Arial" w:eastAsia="Arial" w:hAnsi="Arial"/>
          <w:sz w:val="13"/>
          <w:szCs w:val="13"/>
          <w:color w:val="008000"/>
        </w:rPr>
      </w:pPr>
    </w:p>
    <w:p>
      <w:pPr>
        <w:ind w:left="40" w:right="4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Brady's Class A Common Stock upon the reporting person's cessation of service as a director.</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vested options derived from initial stock option award September 24, 2010.</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vested options derived from initial stock option award September 25, 2009.</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Sherilyn Whitmoyer, Attorney</w:t>
            </w: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09/26/2012</w:t>
            </w:r>
          </w:p>
        </w:tc>
        <w:tc>
          <w:tcPr>
            <w:tcW w:w="0" w:type="dxa"/>
            <w:vAlign w:val="bottom"/>
          </w:tcPr>
          <w:p>
            <w:pPr>
              <w:spacing w:after="0"/>
              <w:rPr>
                <w:sz w:val="1"/>
                <w:szCs w:val="1"/>
                <w:color w:val="auto"/>
              </w:rPr>
            </w:pPr>
          </w:p>
        </w:tc>
      </w:tr>
      <w:tr>
        <w:trPr>
          <w:trHeight w:val="86"/>
        </w:trPr>
        <w:tc>
          <w:tcPr>
            <w:tcW w:w="2100" w:type="dxa"/>
            <w:vAlign w:val="bottom"/>
            <w:tcBorders>
              <w:top w:val="single" w:sz="8" w:color="auto"/>
            </w:tcBorders>
            <w:gridSpan w:val="2"/>
            <w:vMerge w:val="restart"/>
          </w:tcPr>
          <w:p>
            <w:pPr>
              <w:spacing w:after="0" w:line="191" w:lineRule="exact"/>
              <w:rPr>
                <w:sz w:val="20"/>
                <w:szCs w:val="20"/>
                <w:color w:val="auto"/>
              </w:rPr>
            </w:pPr>
            <w:r>
              <w:rPr>
                <w:rFonts w:ascii="Arial" w:cs="Arial" w:eastAsia="Arial" w:hAnsi="Arial"/>
                <w:sz w:val="17"/>
                <w:szCs w:val="17"/>
                <w:color w:val="0000FF"/>
              </w:rPr>
              <w:t>in 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2019-12-16T04:15:35Z</dcterms:created>
  <dcterms:modified xsi:type="dcterms:W3CDTF">2019-12-16T04:15:35Z</dcterms:modified>
</cp:coreProperties>
</file>