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September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firstLine="579"/>
        <w:spacing w:after="0" w:line="265" w:lineRule="auto"/>
        <w:rPr>
          <w:sz w:val="20"/>
          <w:szCs w:val="20"/>
          <w:color w:val="auto"/>
        </w:rPr>
      </w:pPr>
      <w:r>
        <w:rPr>
          <w:rFonts w:ascii="Arial" w:cs="Arial" w:eastAsia="Arial" w:hAnsi="Arial"/>
          <w:sz w:val="16"/>
          <w:szCs w:val="16"/>
          <w:color w:val="auto"/>
        </w:rPr>
        <w:t>On September 9, 2016, Brady Corporation (the "Company") issued a press release announcing its fiscal 2016 fourth quarter financial results. A copy of the press release announcing the fourth quarter financial results is being furnished to the Securities and Exchange Commission as Exhibit 99.1 attached hereto and is incorporated herein by reference.</w:t>
      </w:r>
    </w:p>
    <w:p>
      <w:pPr>
        <w:spacing w:after="0" w:line="30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9, 2016, the Company hosted a conference call related to its fiscal 2016 fourth quarter financial results. A copy of the slides referenced in the conference call, which is also posted on the Corporation’s website, is being furnished to the Securities and Exchange Commission as Exhibit 99.3 attached hereto and is incorporated herein by reference.</w:t>
      </w:r>
    </w:p>
    <w:p>
      <w:pPr>
        <w:spacing w:after="0" w:line="31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Increase in Annual Dividend</w:t>
      </w:r>
    </w:p>
    <w:p>
      <w:pPr>
        <w:spacing w:after="0" w:line="202"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September 7, 2016, the Company announced that its Board of Directors had increased the annual cash dividend on its Class A Common Stock from $0.81 to $0.82 per share. A quarterly dividend in the amount of $0.205 per share will be paid on October 31, 2016, to shareholders of record as of the close of business on October 11, 2016. A copy of the press release regarding the dividend is attached hereto as Exhibit 99.2 and is incorporated herein by reference.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ind w:left="20"/>
              <w:spacing w:after="0"/>
              <w:rPr>
                <w:sz w:val="20"/>
                <w:szCs w:val="20"/>
                <w:color w:val="auto"/>
              </w:rPr>
            </w:pPr>
            <w:r>
              <w:rPr>
                <w:rFonts w:ascii="Arial" w:cs="Arial" w:eastAsia="Arial" w:hAnsi="Arial"/>
                <w:sz w:val="16"/>
                <w:szCs w:val="16"/>
                <w:color w:val="auto"/>
              </w:rPr>
              <w:t>Item 9.01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AND EXHIBITS</w:t>
            </w:r>
          </w:p>
        </w:tc>
      </w:tr>
      <w:tr>
        <w:trPr>
          <w:trHeight w:val="410"/>
        </w:trPr>
        <w:tc>
          <w:tcPr>
            <w:tcW w:w="860" w:type="dxa"/>
            <w:vAlign w:val="bottom"/>
          </w:tcPr>
          <w:p>
            <w:pPr>
              <w:spacing w:after="0"/>
              <w:rPr>
                <w:sz w:val="20"/>
                <w:szCs w:val="20"/>
                <w:color w:val="auto"/>
              </w:rPr>
            </w:pPr>
            <w:r>
              <w:rPr>
                <w:rFonts w:ascii="Arial" w:cs="Arial" w:eastAsia="Arial" w:hAnsi="Arial"/>
                <w:sz w:val="16"/>
                <w:szCs w:val="16"/>
                <w:color w:val="auto"/>
              </w:rPr>
              <w:t>(d) Exhibits</w:t>
            </w:r>
          </w:p>
        </w:tc>
        <w:tc>
          <w:tcPr>
            <w:tcW w:w="7820" w:type="dxa"/>
            <w:vAlign w:val="bottom"/>
          </w:tcPr>
          <w:p>
            <w:pPr>
              <w:spacing w:after="0"/>
              <w:rPr>
                <w:sz w:val="24"/>
                <w:szCs w:val="24"/>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4"/>
                <w:szCs w:val="14"/>
                <w:color w:val="auto"/>
              </w:rPr>
              <w:t>EXHIBIT</w:t>
            </w:r>
          </w:p>
        </w:tc>
        <w:tc>
          <w:tcPr>
            <w:tcW w:w="7820" w:type="dxa"/>
            <w:vAlign w:val="bottom"/>
          </w:tcPr>
          <w:p>
            <w:pPr>
              <w:ind w:left="280"/>
              <w:spacing w:after="0"/>
              <w:rPr>
                <w:sz w:val="20"/>
                <w:szCs w:val="20"/>
                <w:color w:val="auto"/>
              </w:rPr>
            </w:pPr>
            <w:r>
              <w:rPr>
                <w:rFonts w:ascii="Arial" w:cs="Arial" w:eastAsia="Arial" w:hAnsi="Arial"/>
                <w:sz w:val="16"/>
                <w:szCs w:val="16"/>
                <w:color w:val="auto"/>
              </w:rPr>
              <w:t>DESCRIPTION</w:t>
            </w: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NUMBER</w:t>
            </w:r>
          </w:p>
        </w:tc>
        <w:tc>
          <w:tcPr>
            <w:tcW w:w="7820" w:type="dxa"/>
            <w:vAlign w:val="bottom"/>
          </w:tcPr>
          <w:p>
            <w:pPr>
              <w:spacing w:after="0"/>
              <w:rPr>
                <w:sz w:val="15"/>
                <w:szCs w:val="15"/>
                <w:color w:val="auto"/>
              </w:rPr>
            </w:pPr>
          </w:p>
        </w:tc>
      </w:tr>
      <w:tr>
        <w:trPr>
          <w:trHeight w:val="30"/>
        </w:trPr>
        <w:tc>
          <w:tcPr>
            <w:tcW w:w="86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81"/>
        </w:trPr>
        <w:tc>
          <w:tcPr>
            <w:tcW w:w="860" w:type="dxa"/>
            <w:vAlign w:val="bottom"/>
          </w:tcPr>
          <w:p>
            <w:pPr>
              <w:ind w:left="20"/>
              <w:spacing w:after="0"/>
              <w:rPr>
                <w:sz w:val="20"/>
                <w:szCs w:val="20"/>
                <w:color w:val="auto"/>
              </w:rPr>
            </w:pPr>
            <w:r>
              <w:rPr>
                <w:rFonts w:ascii="Arial" w:cs="Arial" w:eastAsia="Arial" w:hAnsi="Arial"/>
                <w:sz w:val="16"/>
                <w:szCs w:val="16"/>
                <w:color w:val="auto"/>
              </w:rPr>
              <w:t>99.1</w:t>
            </w:r>
          </w:p>
        </w:tc>
        <w:tc>
          <w:tcPr>
            <w:tcW w:w="7820" w:type="dxa"/>
            <w:vAlign w:val="bottom"/>
          </w:tcPr>
          <w:p>
            <w:pPr>
              <w:ind w:left="280"/>
              <w:spacing w:after="0"/>
              <w:rPr>
                <w:sz w:val="20"/>
                <w:szCs w:val="20"/>
                <w:color w:val="auto"/>
              </w:rPr>
            </w:pPr>
            <w:r>
              <w:rPr>
                <w:rFonts w:ascii="Arial" w:cs="Arial" w:eastAsia="Arial" w:hAnsi="Arial"/>
                <w:sz w:val="16"/>
                <w:szCs w:val="16"/>
                <w:color w:val="auto"/>
                <w:w w:val="91"/>
              </w:rPr>
              <w:t>Press Release of Brady Corporation, dated September 9, 2016, relating to fourth quarter fiscal 2016 financial results.</w:t>
            </w:r>
          </w:p>
        </w:tc>
      </w:tr>
      <w:tr>
        <w:trPr>
          <w:trHeight w:val="386"/>
        </w:trPr>
        <w:tc>
          <w:tcPr>
            <w:tcW w:w="860" w:type="dxa"/>
            <w:vAlign w:val="bottom"/>
          </w:tcPr>
          <w:p>
            <w:pPr>
              <w:ind w:left="20"/>
              <w:spacing w:after="0"/>
              <w:rPr>
                <w:sz w:val="20"/>
                <w:szCs w:val="20"/>
                <w:color w:val="auto"/>
              </w:rPr>
            </w:pPr>
            <w:r>
              <w:rPr>
                <w:rFonts w:ascii="Arial" w:cs="Arial" w:eastAsia="Arial" w:hAnsi="Arial"/>
                <w:sz w:val="16"/>
                <w:szCs w:val="16"/>
                <w:color w:val="auto"/>
              </w:rPr>
              <w:t>99.2</w:t>
            </w:r>
          </w:p>
        </w:tc>
        <w:tc>
          <w:tcPr>
            <w:tcW w:w="7820" w:type="dxa"/>
            <w:vAlign w:val="bottom"/>
          </w:tcPr>
          <w:p>
            <w:pPr>
              <w:ind w:left="280"/>
              <w:spacing w:after="0"/>
              <w:rPr>
                <w:sz w:val="20"/>
                <w:szCs w:val="20"/>
                <w:color w:val="auto"/>
              </w:rPr>
            </w:pPr>
            <w:r>
              <w:rPr>
                <w:rFonts w:ascii="Arial" w:cs="Arial" w:eastAsia="Arial" w:hAnsi="Arial"/>
                <w:sz w:val="16"/>
                <w:szCs w:val="16"/>
                <w:color w:val="auto"/>
              </w:rPr>
              <w:t>Press Release of Brady Corporation, dated September 8, 2016, relating to increase in annual dividend.</w:t>
            </w:r>
          </w:p>
        </w:tc>
      </w:tr>
      <w:tr>
        <w:trPr>
          <w:trHeight w:val="374"/>
        </w:trPr>
        <w:tc>
          <w:tcPr>
            <w:tcW w:w="860" w:type="dxa"/>
            <w:vAlign w:val="bottom"/>
          </w:tcPr>
          <w:p>
            <w:pPr>
              <w:ind w:left="20"/>
              <w:spacing w:after="0"/>
              <w:rPr>
                <w:sz w:val="20"/>
                <w:szCs w:val="20"/>
                <w:color w:val="auto"/>
              </w:rPr>
            </w:pPr>
            <w:r>
              <w:rPr>
                <w:rFonts w:ascii="Arial" w:cs="Arial" w:eastAsia="Arial" w:hAnsi="Arial"/>
                <w:sz w:val="16"/>
                <w:szCs w:val="16"/>
                <w:color w:val="auto"/>
              </w:rPr>
              <w:t>99.3</w:t>
            </w:r>
          </w:p>
        </w:tc>
        <w:tc>
          <w:tcPr>
            <w:tcW w:w="7820" w:type="dxa"/>
            <w:vAlign w:val="bottom"/>
          </w:tcPr>
          <w:p>
            <w:pPr>
              <w:ind w:left="280"/>
              <w:spacing w:after="0"/>
              <w:rPr>
                <w:sz w:val="20"/>
                <w:szCs w:val="20"/>
                <w:color w:val="auto"/>
              </w:rPr>
            </w:pPr>
            <w:r>
              <w:rPr>
                <w:rFonts w:ascii="Arial" w:cs="Arial" w:eastAsia="Arial" w:hAnsi="Arial"/>
                <w:sz w:val="16"/>
                <w:szCs w:val="16"/>
                <w:color w:val="auto"/>
                <w:w w:val="92"/>
              </w:rPr>
              <w:t>Informational slides provided by Brady Corporation, dated September 9, 2016, relating to fourth quarter fiscal 2016</w:t>
            </w:r>
          </w:p>
        </w:tc>
      </w:tr>
      <w:tr>
        <w:trPr>
          <w:trHeight w:val="205"/>
        </w:trPr>
        <w:tc>
          <w:tcPr>
            <w:tcW w:w="860" w:type="dxa"/>
            <w:vAlign w:val="bottom"/>
          </w:tcPr>
          <w:p>
            <w:pPr>
              <w:spacing w:after="0"/>
              <w:rPr>
                <w:sz w:val="17"/>
                <w:szCs w:val="17"/>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financial results.</w:t>
            </w: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September 9, 2016</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Chief Financial Officer and Chief Accounting Officer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tcPr>
          <w:p>
            <w:pPr>
              <w:ind w:left="240"/>
              <w:spacing w:after="0"/>
              <w:rPr>
                <w:sz w:val="20"/>
                <w:szCs w:val="20"/>
                <w:color w:val="auto"/>
              </w:rPr>
            </w:pPr>
            <w:r>
              <w:rPr>
                <w:rFonts w:ascii="Arial" w:cs="Arial" w:eastAsia="Arial" w:hAnsi="Arial"/>
                <w:sz w:val="16"/>
                <w:szCs w:val="16"/>
                <w:color w:val="auto"/>
              </w:rPr>
              <w:t>DESCRIPTION</w:t>
            </w:r>
          </w:p>
        </w:tc>
      </w:tr>
      <w:tr>
        <w:trPr>
          <w:trHeight w:val="183"/>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tcPr>
          <w:p>
            <w:pPr>
              <w:spacing w:after="0"/>
              <w:rPr>
                <w:sz w:val="15"/>
                <w:szCs w:val="15"/>
                <w:color w:val="auto"/>
              </w:rPr>
            </w:pPr>
          </w:p>
        </w:tc>
      </w:tr>
      <w:tr>
        <w:trPr>
          <w:trHeight w:val="30"/>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r>
      <w:tr>
        <w:trPr>
          <w:trHeight w:val="281"/>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tcPr>
          <w:p>
            <w:pPr>
              <w:ind w:left="240"/>
              <w:spacing w:after="0"/>
              <w:rPr>
                <w:sz w:val="20"/>
                <w:szCs w:val="20"/>
                <w:color w:val="auto"/>
              </w:rPr>
            </w:pPr>
            <w:r>
              <w:rPr>
                <w:rFonts w:ascii="Arial" w:cs="Arial" w:eastAsia="Arial" w:hAnsi="Arial"/>
                <w:sz w:val="16"/>
                <w:szCs w:val="16"/>
                <w:color w:val="auto"/>
                <w:w w:val="91"/>
              </w:rPr>
              <w:t>Press Release of Brady Corporation, dated September 9, 2016, relating to fourth quarter fiscal 2016 financial results</w:t>
            </w:r>
          </w:p>
        </w:tc>
      </w:tr>
      <w:tr>
        <w:trPr>
          <w:trHeight w:val="386"/>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40"/>
              <w:spacing w:after="0"/>
              <w:rPr>
                <w:sz w:val="20"/>
                <w:szCs w:val="20"/>
                <w:color w:val="auto"/>
              </w:rPr>
            </w:pPr>
            <w:r>
              <w:rPr>
                <w:rFonts w:ascii="Arial" w:cs="Arial" w:eastAsia="Arial" w:hAnsi="Arial"/>
                <w:sz w:val="16"/>
                <w:szCs w:val="16"/>
                <w:color w:val="auto"/>
              </w:rPr>
              <w:t>Press Release of Brady Corporation, dated September 8, 2016, relating to increase in annual dividend.</w:t>
            </w:r>
          </w:p>
        </w:tc>
      </w:tr>
      <w:tr>
        <w:trPr>
          <w:trHeight w:val="301"/>
        </w:trPr>
        <w:tc>
          <w:tcPr>
            <w:tcW w:w="900" w:type="dxa"/>
            <w:vAlign w:val="bottom"/>
          </w:tcPr>
          <w:p>
            <w:pPr>
              <w:ind w:left="20"/>
              <w:spacing w:after="0"/>
              <w:rPr>
                <w:sz w:val="20"/>
                <w:szCs w:val="20"/>
                <w:color w:val="auto"/>
              </w:rPr>
            </w:pPr>
            <w:r>
              <w:rPr>
                <w:rFonts w:ascii="Arial" w:cs="Arial" w:eastAsia="Arial" w:hAnsi="Arial"/>
                <w:sz w:val="16"/>
                <w:szCs w:val="16"/>
                <w:color w:val="auto"/>
              </w:rPr>
              <w:t>99.3</w:t>
            </w:r>
          </w:p>
        </w:tc>
        <w:tc>
          <w:tcPr>
            <w:tcW w:w="7780" w:type="dxa"/>
            <w:vAlign w:val="bottom"/>
          </w:tcPr>
          <w:p>
            <w:pPr>
              <w:ind w:left="240"/>
              <w:spacing w:after="0"/>
              <w:rPr>
                <w:sz w:val="20"/>
                <w:szCs w:val="20"/>
                <w:color w:val="auto"/>
              </w:rPr>
            </w:pPr>
            <w:r>
              <w:rPr>
                <w:rFonts w:ascii="Arial" w:cs="Arial" w:eastAsia="Arial" w:hAnsi="Arial"/>
                <w:sz w:val="16"/>
                <w:szCs w:val="16"/>
                <w:color w:val="auto"/>
                <w:w w:val="92"/>
              </w:rPr>
              <w:t>Informational slides provided by Brady Corporation, dated September 9, 2016, relating to fourth quarter fiscal 2016</w:t>
            </w: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financial results.</w:t>
            </w: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Kate Venne 414-358-5176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2016 Fourth Quarter Results and Announces its Fiscal 2017 EPS Guidance</w:t>
      </w:r>
    </w:p>
    <w:p>
      <w:pPr>
        <w:spacing w:after="0" w:line="330" w:lineRule="exact"/>
        <w:rPr>
          <w:sz w:val="20"/>
          <w:szCs w:val="20"/>
          <w:color w:val="auto"/>
        </w:rPr>
      </w:pPr>
    </w:p>
    <w:p>
      <w:pPr>
        <w:ind w:left="580" w:right="540" w:hanging="294"/>
        <w:spacing w:after="0" w:line="419"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5"/>
          <w:szCs w:val="15"/>
          <w:color w:val="auto"/>
        </w:rPr>
        <w:t>Earnings per diluted Class A Nonvoting Common Share were $0.49 in the fourth quarter of fiscal 2016 compared to GAAP and non-GAAP (loss) earnings per diluted Class A Nonvoting Common Share* of $(0.77) and $0.28, respectively, in the same quarter of the prior year.</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Organic revenues declined 0.9 percent for the quarter ended July 31, 2016.</w:t>
      </w:r>
    </w:p>
    <w:p>
      <w:pPr>
        <w:spacing w:after="0" w:line="94"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Net cash provided by operating activities was $139.0 million during the year ended July 31, 2016, compared to $93.3 million in the prior year.</w:t>
      </w:r>
    </w:p>
    <w:p>
      <w:pPr>
        <w:spacing w:after="0" w:line="106" w:lineRule="exact"/>
        <w:rPr>
          <w:rFonts w:ascii="Arial" w:cs="Arial" w:eastAsia="Arial" w:hAnsi="Arial"/>
          <w:sz w:val="15"/>
          <w:szCs w:val="15"/>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Common Share guidance for the full year ending July 31, 2017 announced at a range of $1.55 - $1.70.</w:t>
      </w:r>
    </w:p>
    <w:p>
      <w:pPr>
        <w:spacing w:after="0" w:line="372" w:lineRule="exact"/>
        <w:rPr>
          <w:sz w:val="20"/>
          <w:szCs w:val="20"/>
          <w:color w:val="auto"/>
        </w:rPr>
      </w:pPr>
    </w:p>
    <w:p>
      <w:pPr>
        <w:ind w:right="260"/>
        <w:spacing w:after="0" w:line="368" w:lineRule="auto"/>
        <w:rPr>
          <w:sz w:val="20"/>
          <w:szCs w:val="20"/>
          <w:color w:val="auto"/>
        </w:rPr>
      </w:pPr>
      <w:r>
        <w:rPr>
          <w:rFonts w:ascii="Arial" w:cs="Arial" w:eastAsia="Arial" w:hAnsi="Arial"/>
          <w:sz w:val="18"/>
          <w:szCs w:val="18"/>
          <w:color w:val="auto"/>
        </w:rPr>
        <w:t>MILWAUKEE (September 9, 2016)--Brady Corporation (NYSE: BRC) (“Brady” or “Company”), a world leader in identification solutions, today reported its financial results for its fiscal 2016 fourth quarter and year ended July 31, 2016.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July 31, 2016 Financial Results:</w:t>
      </w:r>
    </w:p>
    <w:p>
      <w:pPr>
        <w:spacing w:after="0" w:line="101" w:lineRule="exact"/>
        <w:rPr>
          <w:sz w:val="20"/>
          <w:szCs w:val="20"/>
          <w:color w:val="auto"/>
        </w:rPr>
      </w:pPr>
    </w:p>
    <w:p>
      <w:pPr>
        <w:ind w:right="60" w:firstLine="579"/>
        <w:spacing w:after="0" w:line="349" w:lineRule="auto"/>
        <w:rPr>
          <w:sz w:val="20"/>
          <w:szCs w:val="20"/>
          <w:color w:val="auto"/>
        </w:rPr>
      </w:pPr>
      <w:r>
        <w:rPr>
          <w:rFonts w:ascii="Arial" w:cs="Arial" w:eastAsia="Arial" w:hAnsi="Arial"/>
          <w:sz w:val="18"/>
          <w:szCs w:val="18"/>
          <w:color w:val="auto"/>
        </w:rPr>
        <w:t>Net earnings for the quarter ended July 31, 2016, were $25.1 million compared to a loss of $(39.4) million for the same quarter last year. Non-GAAP net earnings* were $14.4 million for the quarter ended July 31, 2015.</w:t>
      </w:r>
    </w:p>
    <w:p>
      <w:pPr>
        <w:spacing w:after="0" w:line="1" w:lineRule="exact"/>
        <w:rPr>
          <w:sz w:val="20"/>
          <w:szCs w:val="20"/>
          <w:color w:val="auto"/>
        </w:rPr>
      </w:pPr>
    </w:p>
    <w:p>
      <w:pPr>
        <w:ind w:right="240" w:firstLine="579"/>
        <w:spacing w:after="0" w:line="349" w:lineRule="auto"/>
        <w:rPr>
          <w:sz w:val="20"/>
          <w:szCs w:val="20"/>
          <w:color w:val="auto"/>
        </w:rPr>
      </w:pPr>
      <w:r>
        <w:rPr>
          <w:rFonts w:ascii="Arial" w:cs="Arial" w:eastAsia="Arial" w:hAnsi="Arial"/>
          <w:sz w:val="18"/>
          <w:szCs w:val="18"/>
          <w:color w:val="auto"/>
        </w:rPr>
        <w:t>Earnings per diluted Class A Nonvoting Common Share were $0.49 for the fourth quarter ended July 31, 2016, compared to a loss per diluted Class A Nonvoting Common Share of $(0.77) in the same quarter last year. Non-GAAP earnings per diluted Class A Nonvoting Common Share* were $0.28 for the quarter ended July 31, 2015.</w:t>
      </w:r>
    </w:p>
    <w:p>
      <w:pPr>
        <w:spacing w:after="0" w:line="2" w:lineRule="exact"/>
        <w:rPr>
          <w:sz w:val="20"/>
          <w:szCs w:val="20"/>
          <w:color w:val="auto"/>
        </w:rPr>
      </w:pPr>
    </w:p>
    <w:p>
      <w:pPr>
        <w:jc w:val="both"/>
        <w:ind w:right="100" w:firstLine="579"/>
        <w:spacing w:after="0" w:line="349" w:lineRule="auto"/>
        <w:rPr>
          <w:sz w:val="20"/>
          <w:szCs w:val="20"/>
          <w:color w:val="auto"/>
        </w:rPr>
      </w:pPr>
      <w:r>
        <w:rPr>
          <w:rFonts w:ascii="Arial" w:cs="Arial" w:eastAsia="Arial" w:hAnsi="Arial"/>
          <w:sz w:val="18"/>
          <w:szCs w:val="18"/>
          <w:color w:val="auto"/>
        </w:rPr>
        <w:t>During the quarter ended July 31, 2016, the Company benefited from a lower income tax rate primarily due to the settlement of certain tax audits. If the tax rate for the quarter ended July 31, 2016 would have been at the historical average of approximately 28%, it would have reduced earnings per diluted Class A Nonvoting Common Share by approximately $0.04 during the quarter ended July 31, 2016.</w:t>
      </w:r>
    </w:p>
    <w:p>
      <w:pPr>
        <w:spacing w:after="0" w:line="2" w:lineRule="exact"/>
        <w:rPr>
          <w:sz w:val="20"/>
          <w:szCs w:val="20"/>
          <w:color w:val="auto"/>
        </w:rPr>
      </w:pPr>
    </w:p>
    <w:p>
      <w:pPr>
        <w:ind w:right="140" w:firstLine="579"/>
        <w:spacing w:after="0" w:line="359" w:lineRule="auto"/>
        <w:rPr>
          <w:sz w:val="20"/>
          <w:szCs w:val="20"/>
          <w:color w:val="auto"/>
        </w:rPr>
      </w:pPr>
      <w:r>
        <w:rPr>
          <w:rFonts w:ascii="Arial" w:cs="Arial" w:eastAsia="Arial" w:hAnsi="Arial"/>
          <w:sz w:val="18"/>
          <w:szCs w:val="18"/>
          <w:color w:val="auto"/>
        </w:rPr>
        <w:t>Sales for the quarter ended July 31, 2016, decreased 2.3 percent to $282.1 million compared to $288.6 million in the fourth quarter of fiscal 2015. Total organic sales decreased 0.9 percent and foreign currency translation decreased sales by 1.4 percent. By segment, organic sales decreased 0.2 percent in Identification Solutions and decreased 2.7 percent in Workplace Safety.</w:t>
      </w:r>
    </w:p>
    <w:p>
      <w:pPr>
        <w:sectPr>
          <w:pgSz w:w="11900" w:h="16838" w:orient="portrait"/>
          <w:cols w:equalWidth="0" w:num="1">
            <w:col w:w="11440"/>
          </w:cols>
          <w:pgMar w:left="240" w:top="73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Year Ended July 31, 2016 Financial Results:</w:t>
      </w:r>
    </w:p>
    <w:p>
      <w:pPr>
        <w:spacing w:after="0" w:line="101" w:lineRule="exact"/>
        <w:rPr>
          <w:sz w:val="20"/>
          <w:szCs w:val="20"/>
          <w:color w:val="auto"/>
        </w:rPr>
      </w:pPr>
    </w:p>
    <w:p>
      <w:pPr>
        <w:ind w:right="220" w:firstLine="579"/>
        <w:spacing w:after="0" w:line="349" w:lineRule="auto"/>
        <w:rPr>
          <w:sz w:val="20"/>
          <w:szCs w:val="20"/>
          <w:color w:val="auto"/>
        </w:rPr>
      </w:pPr>
      <w:r>
        <w:rPr>
          <w:rFonts w:ascii="Arial" w:cs="Arial" w:eastAsia="Arial" w:hAnsi="Arial"/>
          <w:sz w:val="18"/>
          <w:szCs w:val="18"/>
          <w:color w:val="auto"/>
        </w:rPr>
        <w:t>Net earnings for the year ended July 31, 2016, were $80.1 million compared to net earnings from continuing operations of $4.9 million last year. Non-GAAP net earnings from continuing operations* were $65.5 million for the year ended July 31, 2015.</w:t>
      </w:r>
    </w:p>
    <w:p>
      <w:pPr>
        <w:spacing w:after="0" w:line="1" w:lineRule="exact"/>
        <w:rPr>
          <w:sz w:val="20"/>
          <w:szCs w:val="20"/>
          <w:color w:val="auto"/>
        </w:rPr>
      </w:pPr>
    </w:p>
    <w:p>
      <w:pPr>
        <w:ind w:right="120" w:firstLine="579"/>
        <w:spacing w:after="0" w:line="349" w:lineRule="auto"/>
        <w:rPr>
          <w:sz w:val="20"/>
          <w:szCs w:val="20"/>
          <w:color w:val="auto"/>
        </w:rPr>
      </w:pPr>
      <w:r>
        <w:rPr>
          <w:rFonts w:ascii="Arial" w:cs="Arial" w:eastAsia="Arial" w:hAnsi="Arial"/>
          <w:sz w:val="18"/>
          <w:szCs w:val="18"/>
          <w:color w:val="auto"/>
        </w:rPr>
        <w:t>Earnings per diluted Class A Nonvoting Common Share were $1.58 for the year ended July 31, 2016, compared to earnings from continuing operations per diluted Class A Nonvoting Common Share of $0.10 last year. Non-GAAP earnings from continuing operations per diluted Class A Nonvoting Common Share* were $1.27 for the year ended July 31, 2015.</w:t>
      </w:r>
    </w:p>
    <w:p>
      <w:pPr>
        <w:spacing w:after="0" w:line="2" w:lineRule="exact"/>
        <w:rPr>
          <w:sz w:val="20"/>
          <w:szCs w:val="20"/>
          <w:color w:val="auto"/>
        </w:rPr>
      </w:pPr>
    </w:p>
    <w:p>
      <w:pPr>
        <w:ind w:right="40" w:firstLine="579"/>
        <w:spacing w:after="0" w:line="359" w:lineRule="auto"/>
        <w:rPr>
          <w:sz w:val="20"/>
          <w:szCs w:val="20"/>
          <w:color w:val="auto"/>
        </w:rPr>
      </w:pPr>
      <w:r>
        <w:rPr>
          <w:rFonts w:ascii="Arial" w:cs="Arial" w:eastAsia="Arial" w:hAnsi="Arial"/>
          <w:sz w:val="18"/>
          <w:szCs w:val="18"/>
          <w:color w:val="auto"/>
        </w:rPr>
        <w:t>Sales for the year ended July 31, 2016, decreased 4.4 percent to $1.12 billion compared to $1.17 billion last year. Total organic sales decreased 0.7 percent and the impact of foreign currency translation decreased sales by 3.7 percent. By segment, organic sales decreased 0.7 percent in Identification Solutions and decreased 0.8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ind w:firstLine="579"/>
        <w:spacing w:after="0" w:line="419" w:lineRule="auto"/>
        <w:rPr>
          <w:sz w:val="20"/>
          <w:szCs w:val="20"/>
          <w:color w:val="auto"/>
        </w:rPr>
      </w:pPr>
      <w:r>
        <w:rPr>
          <w:rFonts w:ascii="Arial" w:cs="Arial" w:eastAsia="Arial" w:hAnsi="Arial"/>
          <w:sz w:val="15"/>
          <w:szCs w:val="15"/>
          <w:color w:val="auto"/>
        </w:rPr>
        <w:t>“We finished fiscal 2016 with GAAP diluted EPS of $1.58, which is a 24 percent increase compared to non-GAAP diluted EPS of $1.27 in the prior year. Our consistent focus on producing high-quality products, providing excellent customer service, developing efficient and effective manufacturing processes, and pushing for efficiencies in our SG&amp;A structure are the primary drivers of our improved financial results. Our gross profit margin, segment profit margins and net earnings have all improved on a year-over-year basis for the fourth consecutive quarter,” said Brady’s President and Chief Executive Officer, J. Michael Nauman. “As we look forward, our top priorities remain unchanged, which are to grow our pipeline of innovative new products, deliver operational efficiencies, and serve our customers exceptionally well. I am pleased with our ability to improve our financial performance while simultaneously investing in our capabilities to create innovative solutions for our customers. We have an improving pipeline of new products and we anticipate increasing our investments in new products in fiscal 2017. Our consistent focus on our long-term strategy has positioned Brady to compete effectively and deliver improved results to our shareholders.”</w:t>
      </w:r>
    </w:p>
    <w:p>
      <w:pPr>
        <w:spacing w:after="0" w:line="3" w:lineRule="exact"/>
        <w:rPr>
          <w:sz w:val="20"/>
          <w:szCs w:val="20"/>
          <w:color w:val="auto"/>
        </w:rPr>
      </w:pPr>
    </w:p>
    <w:p>
      <w:pPr>
        <w:ind w:right="20" w:firstLine="579"/>
        <w:spacing w:after="0" w:line="352" w:lineRule="auto"/>
        <w:rPr>
          <w:sz w:val="20"/>
          <w:szCs w:val="20"/>
          <w:color w:val="auto"/>
        </w:rPr>
      </w:pPr>
      <w:r>
        <w:rPr>
          <w:rFonts w:ascii="Arial" w:cs="Arial" w:eastAsia="Arial" w:hAnsi="Arial"/>
          <w:sz w:val="18"/>
          <w:szCs w:val="18"/>
          <w:color w:val="auto"/>
        </w:rPr>
        <w:t>“Our fourth quarter revenues were approximately in line with our expectations coming into the quarter; finishing with an organic sales decline of 0.9 percent. Demand has been choppy and we lack a clear catalyst for improved near-term sales. Although organic sales declined, profitability was stronger than anticipated as our focus on driving operational efficiencies and actively reducing our general and administrative structure provided financial benefits this quarter. During the year ended July 31, 2016, cash provided by operating activities was $139.0 million, which was a 49 percent improvement compared to the year ended July 31, 2015. We finished with net debt of $75.7 million as of July 31, 2016 compared to net debt of $139.2 million as of July 31, 2015,” said Brady’s Chief Financial Officer, Aaron Pearce. “As a result of our strong cash generation, our balance sheet continues to provide significant flexibility for future investment or returning funds to our shareholders.”</w:t>
      </w:r>
    </w:p>
    <w:p>
      <w:pPr>
        <w:sectPr>
          <w:pgSz w:w="11900" w:h="16838" w:orient="portrait"/>
          <w:cols w:equalWidth="0" w:num="1">
            <w:col w:w="11420"/>
          </w:cols>
          <w:pgMar w:left="240" w:top="8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Fiscal 2017 Guidance:</w:t>
      </w:r>
    </w:p>
    <w:p>
      <w:pPr>
        <w:spacing w:after="0" w:line="101" w:lineRule="exact"/>
        <w:rPr>
          <w:sz w:val="20"/>
          <w:szCs w:val="20"/>
          <w:color w:val="auto"/>
        </w:rPr>
      </w:pPr>
    </w:p>
    <w:p>
      <w:pPr>
        <w:ind w:firstLine="579"/>
        <w:spacing w:after="0" w:line="353" w:lineRule="auto"/>
        <w:rPr>
          <w:sz w:val="20"/>
          <w:szCs w:val="20"/>
          <w:color w:val="auto"/>
        </w:rPr>
      </w:pPr>
      <w:r>
        <w:rPr>
          <w:rFonts w:ascii="Arial" w:cs="Arial" w:eastAsia="Arial" w:hAnsi="Arial"/>
          <w:sz w:val="18"/>
          <w:szCs w:val="18"/>
          <w:color w:val="auto"/>
        </w:rPr>
        <w:t>The Company anticipates organic sales to range from a low single-digit decline to slightly positive growth for the year ending July 31, 2017. Brady expects earnings per diluted Class A Common Share to range from $1.55 to $1.70. This guidance range is based on foreign currency exchange rates as of July 31, 2016, which are expected to reduce revenues for fiscal 2017 by approximately 1.5 percent. Offsetting this challenging revenue environment are ongoing efficiency gains in the Company’s manufacturing facilities and selling, general, and administrative expenses. This guidance is based upon a full-year income tax rate of approximately 27 percent to 29 percent, which is higher than fiscal 2016, capital expenditures approximating $25 million, and depreciation and amortization of $30 million.</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2016 fourth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95" w:lineRule="exact"/>
        <w:rPr>
          <w:sz w:val="20"/>
          <w:szCs w:val="20"/>
          <w:color w:val="auto"/>
        </w:rPr>
      </w:pPr>
    </w:p>
    <w:p>
      <w:pPr>
        <w:ind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2016, employed approximately 6,400 people in its worldwide businesses. Brady’s fiscal 2016 sales were approximately $1.12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340"/>
          </w:cols>
          <w:pgMar w:left="240" w:top="577" w:right="3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Brady’s ability to develop and successfully market technologically advanced new products; technology changes and potential security violations to the Company’s information technology systems; future competition; future financial performance of major markets Brady serves, which include, without limitation, telecommunications, hard disk drive, manufacturing, electrical, construction, laboratory, education, governmental, public utility, computer, healthcare and transportation; fluctuations in currency rates versus the U.S. dollar; risks associated with international operations; difficulties associated with exports; changes in the supply of, or price for, parts and components; increased price pressure from suppliers and customers; Brady’s ability to retain significant contracts and customers; risk associated with loss of key talent; risks associated with obtaining governmental approvals and maintaining regulatory compliance; risk associated with product liability claims; environmental, health and safety compliance costs and liabilities; potential write-offs of Brady’s substantial intangible assets; unforeseen tax consequences; risks associated with restructuring plans and maintaining acceptable operational service metrics; risks associated with divestitures; risks associated with identifying, completing, and integrating acquisitions; risks associated with our ownership structure;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2015.</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w:t>
      </w:r>
    </w:p>
    <w:p>
      <w:pPr>
        <w:sectPr>
          <w:pgSz w:w="11900" w:h="16838" w:orient="portrait"/>
          <w:cols w:equalWidth="0" w:num="1">
            <w:col w:w="11420"/>
          </w:cols>
          <w:pgMar w:left="240" w:top="583"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color w:val="auto"/>
              </w:rPr>
              <w:t>Three months ended July 31,</w:t>
            </w:r>
          </w:p>
        </w:tc>
        <w:tc>
          <w:tcPr>
            <w:tcW w:w="180" w:type="dxa"/>
            <w:vAlign w:val="bottom"/>
          </w:tcPr>
          <w:p>
            <w:pPr>
              <w:spacing w:after="0"/>
              <w:rPr>
                <w:sz w:val="15"/>
                <w:szCs w:val="15"/>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w w:val="96"/>
              </w:rPr>
              <w:t>Twelve months ended July 31,</w:t>
            </w:r>
          </w:p>
        </w:tc>
      </w:tr>
      <w:tr>
        <w:trPr>
          <w:trHeight w:val="30"/>
        </w:trPr>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282,106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288,636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1,120,625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1,171,731</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141,017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159,567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561,852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613,299</w:t>
            </w: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141,089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129,069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558,773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558,432</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9,268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35,799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36,734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98,418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102,908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405,096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422,704</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16,821</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46,867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46,867</w:t>
            </w:r>
          </w:p>
        </w:tc>
      </w:tr>
      <w:tr>
        <w:trPr>
          <w:trHeight w:val="30"/>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107,686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161,832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440,895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523,126</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33,403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117,878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35,306</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Investment and other income (expense)</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845</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r>
      <w:tr>
        <w:trPr>
          <w:trHeight w:val="185"/>
        </w:trPr>
        <w:tc>
          <w:tcPr>
            <w:tcW w:w="4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 before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32,019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109,345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24,995</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6,883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29,235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20,093</w:t>
            </w:r>
          </w:p>
        </w:tc>
      </w:tr>
      <w:tr>
        <w:trPr>
          <w:trHeight w:val="185"/>
        </w:trPr>
        <w:tc>
          <w:tcPr>
            <w:tcW w:w="4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25,136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80,110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4,902</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net of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r>
      <w:tr>
        <w:trPr>
          <w:trHeight w:val="185"/>
        </w:trPr>
        <w:tc>
          <w:tcPr>
            <w:tcW w:w="4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25,136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80,110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2,987</w:t>
            </w:r>
          </w:p>
        </w:tc>
      </w:tr>
      <w:tr>
        <w:trPr>
          <w:trHeight w:val="20"/>
        </w:trPr>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 per Class A Nonvoting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0.10</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 per Class B Voting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0.08</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Loss from discontinued operations per Class A Nonvoting Common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per Class B Voting Common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(loss) per Class A Nonvoting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0.06</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0.81</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0.80</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(loss) per Class B Voting Common Share: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0.49</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r>
      <w:tr>
        <w:trPr>
          <w:trHeight w:val="193"/>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50,355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50,541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51,285</w:t>
            </w:r>
          </w:p>
        </w:tc>
      </w:tr>
      <w:tr>
        <w:trPr>
          <w:trHeight w:val="30"/>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1"/>
        </w:trPr>
        <w:tc>
          <w:tcPr>
            <w:tcW w:w="41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51,383</w:t>
            </w:r>
          </w:p>
        </w:tc>
      </w:tr>
      <w:tr>
        <w:trPr>
          <w:trHeight w:val="30"/>
        </w:trPr>
        <w:tc>
          <w:tcPr>
            <w:tcW w:w="4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July 31, 2016</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2015</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6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141,228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114,492</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147,333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157,386</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Finished products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64,313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66,700</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Work-in-process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16,958</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Raw materials and supplies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20,849</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Total 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99,427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104,507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19,755</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assets</w:t>
            </w: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407,424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396,140</w:t>
            </w: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Goodwill</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429,871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433,199</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59,806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68,888</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Deferred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34,752</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18,704</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Property, plant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Land</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5,284</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Buildings and improvements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95,355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94,423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Machinery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256,549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270,086</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Construction in progress</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2,842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2,164</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360,555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371,957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258,111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260,743</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Property, plant and equipment—net</w:t>
            </w:r>
          </w:p>
        </w:tc>
        <w:tc>
          <w:tcPr>
            <w:tcW w:w="2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102,444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111,214</w:t>
            </w:r>
          </w:p>
        </w:tc>
      </w:tr>
      <w:tr>
        <w:trPr>
          <w:trHeight w:val="19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1,043,964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1,062,897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453380"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175895"/>
                    </a:xfrm>
                    <a:prstGeom prst="rect">
                      <a:avLst/>
                    </a:prstGeom>
                    <a:noFill/>
                  </pic:spPr>
                </pic:pic>
              </a:graphicData>
            </a:graphic>
          </wp:anchor>
        </w:drawing>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shd w:val="clear" w:color="auto" w:fill="CCEEFF"/>
        </w:rPr>
        <w:t>LIABILITIES AND STOCKHOLDERS’ INVESTMENT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84"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4"/>
          <w:szCs w:val="14"/>
          <w:color w:val="auto"/>
          <w:shd w:val="clear" w:color="auto" w:fill="CCEEFF"/>
        </w:rPr>
        <w:t>Notes payable</w:t>
      </w:r>
      <w:r>
        <w:rPr>
          <w:sz w:val="20"/>
          <w:szCs w:val="20"/>
          <w:color w:val="auto"/>
        </w:rPr>
        <w:tab/>
      </w:r>
      <w:r>
        <w:rPr>
          <w:rFonts w:ascii="Arial" w:cs="Arial" w:eastAsia="Arial" w:hAnsi="Arial"/>
          <w:sz w:val="14"/>
          <w:szCs w:val="14"/>
          <w:color w:val="auto"/>
        </w:rPr>
        <w: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Wages and amounts withheld from employees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Current maturities on long-term debt</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shd w:val="clear" w:color="auto" w:fill="CCEEFF"/>
        </w:rPr>
        <w:t>Long-term obligations, less current maturities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shd w:val="clear" w:color="auto" w:fill="CCEEFF"/>
        </w:rPr>
        <w:t>Total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Stock:</w:t>
      </w:r>
    </w:p>
    <w:p>
      <w:pPr>
        <w:spacing w:after="0" w:line="80" w:lineRule="exact"/>
        <w:rPr>
          <w:sz w:val="20"/>
          <w:szCs w:val="20"/>
          <w:color w:val="auto"/>
        </w:rPr>
      </w:pPr>
    </w:p>
    <w:p>
      <w:pPr>
        <w:ind w:left="620" w:right="180"/>
        <w:spacing w:after="0" w:line="302" w:lineRule="auto"/>
        <w:rPr>
          <w:sz w:val="20"/>
          <w:szCs w:val="20"/>
          <w:color w:val="auto"/>
        </w:rPr>
      </w:pPr>
      <w:r>
        <w:rPr>
          <w:rFonts w:ascii="Arial" w:cs="Arial" w:eastAsia="Arial" w:hAnsi="Arial"/>
          <w:sz w:val="14"/>
          <w:szCs w:val="14"/>
          <w:color w:val="auto"/>
        </w:rPr>
        <w:t>Class A nonvoting common stock—Issued 51,261,487 and 51,261,487 shares, respectively and outstanding 46,920,974 and 47,781,184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auto"/>
          <w:shd w:val="clear" w:color="auto" w:fill="CCEEFF"/>
        </w:rPr>
        <w:t>Class B voting common stock—Issued and outstanding, 3,538,628 shares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Earnings retained in the business</w:t>
      </w:r>
    </w:p>
    <w:p>
      <w:pPr>
        <w:spacing w:after="0" w:line="80" w:lineRule="exact"/>
        <w:rPr>
          <w:sz w:val="20"/>
          <w:szCs w:val="20"/>
          <w:color w:val="auto"/>
        </w:rPr>
      </w:pPr>
    </w:p>
    <w:p>
      <w:pPr>
        <w:ind w:left="340" w:right="320"/>
        <w:spacing w:after="0" w:line="302" w:lineRule="auto"/>
        <w:rPr>
          <w:sz w:val="20"/>
          <w:szCs w:val="20"/>
          <w:color w:val="auto"/>
        </w:rPr>
      </w:pPr>
      <w:r>
        <w:rPr>
          <w:rFonts w:ascii="Arial" w:cs="Arial" w:eastAsia="Arial" w:hAnsi="Arial"/>
          <w:sz w:val="14"/>
          <w:szCs w:val="14"/>
          <w:color w:val="auto"/>
        </w:rPr>
        <w:t>Treasury stock—4,340,513 and 3,480,303 shares, respectively of Class A nonvoting common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shd w:val="clear" w:color="auto" w:fill="CCEEFF"/>
        </w:rPr>
        <w:t>Accumulated other comprehensive (loss) income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shd w:val="clear" w:color="auto" w:fill="CCEEFF"/>
        </w:rPr>
        <w:t>Total stockholders’ investment</w:t>
      </w:r>
    </w:p>
    <w:p>
      <w:pPr>
        <w:spacing w:after="0" w:line="80"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83"/>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4,928</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10,411</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62,245</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73,020</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45,998</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30,282</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7,403</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7,250</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6,136</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7,576</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40,017</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37,939</w:t>
            </w:r>
          </w:p>
        </w:tc>
      </w:tr>
    </w:tbl>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42,514</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166,727</w:t>
      </w:r>
      <w:r>
        <w:rPr>
          <w:rFonts w:ascii="Arial" w:cs="Arial" w:eastAsia="Arial" w:hAnsi="Arial"/>
          <w:sz w:val="13"/>
          <w:szCs w:val="13"/>
          <w:color w:val="auto"/>
        </w:rPr>
        <w:t>208,992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-119380</wp:posOffset>
            </wp:positionV>
            <wp:extent cx="16700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0050" cy="7620"/>
                    </a:xfrm>
                    <a:prstGeom prst="rect">
                      <a:avLst/>
                    </a:prstGeom>
                    <a:noFill/>
                  </pic:spPr>
                </pic:pic>
              </a:graphicData>
            </a:graphic>
          </wp:anchor>
        </w:drawing>
      </w:r>
    </w:p>
    <w:p>
      <w:pPr>
        <w:spacing w:after="0" w:line="6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211,982</w:t>
            </w:r>
          </w:p>
        </w:tc>
        <w:tc>
          <w:tcPr>
            <w:tcW w:w="1260" w:type="dxa"/>
            <w:vAlign w:val="bottom"/>
          </w:tcPr>
          <w:p>
            <w:pPr>
              <w:jc w:val="right"/>
              <w:spacing w:after="0"/>
              <w:rPr>
                <w:sz w:val="20"/>
                <w:szCs w:val="20"/>
                <w:color w:val="auto"/>
              </w:rPr>
            </w:pPr>
            <w:r>
              <w:rPr>
                <w:rFonts w:ascii="Arial" w:cs="Arial" w:eastAsia="Arial" w:hAnsi="Arial"/>
                <w:sz w:val="14"/>
                <w:szCs w:val="14"/>
                <w:color w:val="auto"/>
              </w:rPr>
              <w:t>200,774</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61,657</w:t>
            </w:r>
          </w:p>
        </w:tc>
        <w:tc>
          <w:tcPr>
            <w:tcW w:w="1260" w:type="dxa"/>
            <w:vAlign w:val="bottom"/>
          </w:tcPr>
          <w:p>
            <w:pPr>
              <w:jc w:val="right"/>
              <w:spacing w:after="0"/>
              <w:rPr>
                <w:sz w:val="20"/>
                <w:szCs w:val="20"/>
                <w:color w:val="auto"/>
              </w:rPr>
            </w:pPr>
            <w:r>
              <w:rPr>
                <w:rFonts w:ascii="Arial" w:cs="Arial" w:eastAsia="Arial" w:hAnsi="Arial"/>
                <w:sz w:val="14"/>
                <w:szCs w:val="14"/>
                <w:color w:val="auto"/>
              </w:rPr>
              <w:t>65,443</w:t>
            </w:r>
          </w:p>
        </w:tc>
      </w:tr>
      <w:tr>
        <w:trPr>
          <w:trHeight w:val="30"/>
        </w:trPr>
        <w:tc>
          <w:tcPr>
            <w:tcW w:w="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440,366</w:t>
            </w:r>
          </w:p>
        </w:tc>
        <w:tc>
          <w:tcPr>
            <w:tcW w:w="1260" w:type="dxa"/>
            <w:vAlign w:val="bottom"/>
          </w:tcPr>
          <w:p>
            <w:pPr>
              <w:jc w:val="right"/>
              <w:spacing w:after="0"/>
              <w:rPr>
                <w:sz w:val="20"/>
                <w:szCs w:val="20"/>
                <w:color w:val="auto"/>
              </w:rPr>
            </w:pPr>
            <w:r>
              <w:rPr>
                <w:rFonts w:ascii="Arial" w:cs="Arial" w:eastAsia="Arial" w:hAnsi="Arial"/>
                <w:sz w:val="14"/>
                <w:szCs w:val="14"/>
                <w:color w:val="auto"/>
              </w:rPr>
              <w:t>475,209</w:t>
            </w:r>
          </w:p>
        </w:tc>
      </w:tr>
      <w:tr>
        <w:trPr>
          <w:trHeight w:val="89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513</w:t>
            </w:r>
          </w:p>
        </w:tc>
        <w:tc>
          <w:tcPr>
            <w:tcW w:w="126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58" w:lineRule="exact"/>
        <w:rPr>
          <w:sz w:val="20"/>
          <w:szCs w:val="20"/>
          <w:color w:val="auto"/>
        </w:rPr>
      </w:pPr>
    </w:p>
    <w:p>
      <w:pPr>
        <w:ind w:left="1780" w:hanging="1355"/>
        <w:spacing w:after="0"/>
        <w:tabs>
          <w:tab w:leader="none" w:pos="1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317,001</w:t>
      </w:r>
      <w:r>
        <w:rPr>
          <w:rFonts w:ascii="Arial" w:cs="Arial" w:eastAsia="Arial" w:hAnsi="Arial"/>
          <w:sz w:val="13"/>
          <w:szCs w:val="13"/>
          <w:color w:val="auto"/>
        </w:rPr>
        <w:t>314,403</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453,371</w:t>
      </w:r>
      <w:r>
        <w:rPr>
          <w:rFonts w:ascii="Arial" w:cs="Arial" w:eastAsia="Arial" w:hAnsi="Arial"/>
          <w:sz w:val="13"/>
          <w:szCs w:val="13"/>
          <w:color w:val="auto"/>
        </w:rPr>
        <w:t>414,069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(108,714)</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(54,745)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(45,034)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(3,863)</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(3,064)</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603,598</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587,688</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1,043,964</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1,062,897</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8045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-6985</wp:posOffset>
            </wp:positionV>
            <wp:extent cx="804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-175260</wp:posOffset>
            </wp:positionV>
            <wp:extent cx="8045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ectPr>
          <w:pgSz w:w="11900" w:h="16838" w:orient="portrait"/>
          <w:cols w:equalWidth="0" w:num="2">
            <w:col w:w="6060" w:space="520"/>
            <w:col w:w="3639"/>
          </w:cols>
          <w:pgMar w:left="240" w:top="537"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w w:val="96"/>
              </w:rPr>
              <w:t>Twelve months ended July 31,</w:t>
            </w:r>
          </w:p>
        </w:tc>
      </w:tr>
      <w:tr>
        <w:trPr>
          <w:trHeight w:val="30"/>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Net earnings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80,110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2,987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earnings (loss) to net cash provided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39,458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8,154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4,471</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Impairment charges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46,867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Loss on sale of business, net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426</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(7,233)</w:t>
            </w:r>
          </w:p>
        </w:tc>
      </w:tr>
      <w:tr>
        <w:trPr>
          <w:trHeight w:val="199"/>
        </w:trPr>
        <w:tc>
          <w:tcPr>
            <w:tcW w:w="644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Accounts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8,159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1,317</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(763)</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9,188</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(8,516)</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982</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138,976</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93,348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(26,673)</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Sale of business, net of cash retained</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6,111</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6,197</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(used in) provided by investing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(15,416)</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(14,365)</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Payment of dividends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(40,808)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(40,976)</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1,644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Purchase of treasury stock</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(23,552)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borrowing on credit facilities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96,276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83,382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Repayment of borrowing on credit facilities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(91,759)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(32,314)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Principal payments on debt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(42,514)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(42,514)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Income tax on equity-based compensation, and 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used in financing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(99,576)</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(32,152)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(14,173)</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26,736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32,658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81,834</w:t>
            </w:r>
          </w:p>
        </w:tc>
      </w:tr>
      <w:tr>
        <w:trPr>
          <w:trHeight w:val="245"/>
        </w:trPr>
        <w:tc>
          <w:tcPr>
            <w:tcW w:w="64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141,228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551497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Supplemental disclosures of cash flow information: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Interest</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640" w:val="left"/>
          <w:tab w:leader="none" w:pos="1160" w:val="left"/>
          <w:tab w:leader="none" w:pos="17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8,528</w:t>
        <w:tab/>
        <w:t>$</w:t>
      </w:r>
      <w:r>
        <w:rPr>
          <w:sz w:val="20"/>
          <w:szCs w:val="20"/>
          <w:color w:val="auto"/>
        </w:rPr>
        <w:tab/>
      </w:r>
      <w:r>
        <w:rPr>
          <w:rFonts w:ascii="Arial" w:cs="Arial" w:eastAsia="Arial" w:hAnsi="Arial"/>
          <w:sz w:val="12"/>
          <w:szCs w:val="12"/>
          <w:color w:val="auto"/>
        </w:rPr>
        <w:t>11,164</w:t>
      </w:r>
    </w:p>
    <w:p>
      <w:pPr>
        <w:spacing w:after="0" w:line="80" w:lineRule="exact"/>
        <w:rPr>
          <w:sz w:val="20"/>
          <w:szCs w:val="20"/>
          <w:color w:val="auto"/>
        </w:rPr>
      </w:pPr>
    </w:p>
    <w:p>
      <w:pPr>
        <w:jc w:val="both"/>
        <w:ind w:left="580"/>
        <w:spacing w:after="0"/>
        <w:tabs>
          <w:tab w:leader="none" w:pos="1740" w:val="left"/>
        </w:tabs>
        <w:rPr>
          <w:sz w:val="20"/>
          <w:szCs w:val="20"/>
          <w:color w:val="auto"/>
        </w:rPr>
      </w:pPr>
      <w:r>
        <w:rPr>
          <w:rFonts w:ascii="Arial" w:cs="Arial" w:eastAsia="Arial" w:hAnsi="Arial"/>
          <w:sz w:val="14"/>
          <w:szCs w:val="14"/>
          <w:color w:val="auto"/>
        </w:rPr>
        <w:t>28,497</w:t>
      </w:r>
      <w:r>
        <w:rPr>
          <w:sz w:val="20"/>
          <w:szCs w:val="20"/>
          <w:color w:val="auto"/>
        </w:rPr>
        <w:tab/>
      </w:r>
      <w:r>
        <w:rPr>
          <w:rFonts w:ascii="Arial" w:cs="Arial" w:eastAsia="Arial" w:hAnsi="Arial"/>
          <w:sz w:val="14"/>
          <w:szCs w:val="14"/>
          <w:color w:val="auto"/>
        </w:rPr>
        <w:t>25,024</w:t>
      </w:r>
    </w:p>
    <w:p>
      <w:pPr>
        <w:sectPr>
          <w:pgSz w:w="11900" w:h="16838" w:orient="portrait"/>
          <w:cols w:equalWidth="0" w:num="2">
            <w:col w:w="5740" w:space="720"/>
            <w:col w:w="3759"/>
          </w:cols>
          <w:pgMar w:left="240" w:top="537"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color w:val="auto"/>
              </w:rPr>
              <w:t>Three months ended July 31,</w:t>
            </w:r>
          </w:p>
        </w:tc>
        <w:tc>
          <w:tcPr>
            <w:tcW w:w="220" w:type="dxa"/>
            <w:vAlign w:val="bottom"/>
          </w:tcPr>
          <w:p>
            <w:pPr>
              <w:spacing w:after="0"/>
              <w:rPr>
                <w:sz w:val="15"/>
                <w:szCs w:val="15"/>
                <w:color w:val="auto"/>
              </w:rPr>
            </w:pPr>
          </w:p>
        </w:tc>
        <w:tc>
          <w:tcPr>
            <w:tcW w:w="2180" w:type="dxa"/>
            <w:vAlign w:val="bottom"/>
            <w:gridSpan w:val="4"/>
          </w:tcPr>
          <w:p>
            <w:pPr>
              <w:jc w:val="right"/>
              <w:ind w:right="228"/>
              <w:spacing w:after="0"/>
              <w:rPr>
                <w:sz w:val="20"/>
                <w:szCs w:val="20"/>
                <w:color w:val="auto"/>
              </w:rPr>
            </w:pPr>
            <w:r>
              <w:rPr>
                <w:rFonts w:ascii="Arial" w:cs="Arial" w:eastAsia="Arial" w:hAnsi="Arial"/>
                <w:sz w:val="14"/>
                <w:szCs w:val="14"/>
                <w:color w:val="auto"/>
                <w:w w:val="98"/>
              </w:rPr>
              <w:t>Twelve months ended July 31,</w:t>
            </w:r>
          </w:p>
        </w:tc>
      </w:tr>
      <w:tr>
        <w:trPr>
          <w:trHeight w:val="30"/>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2015</w:t>
            </w:r>
          </w:p>
        </w:tc>
      </w:tr>
      <w:tr>
        <w:trPr>
          <w:trHeight w:val="30"/>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198,717</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201,536</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776,877</w:t>
            </w:r>
          </w:p>
        </w:tc>
        <w:tc>
          <w:tcPr>
            <w:tcW w:w="10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806,484</w:t>
            </w:r>
          </w:p>
        </w:tc>
      </w:tr>
      <w:tr>
        <w:trPr>
          <w:trHeight w:val="30"/>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83,389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87,100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343,748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365,247</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282,106</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288,636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1,120,625</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1,171,731</w:t>
            </w:r>
          </w:p>
        </w:tc>
      </w:tr>
      <w:tr>
        <w:trPr>
          <w:trHeight w:val="70"/>
        </w:trPr>
        <w:tc>
          <w:tcPr>
            <w:tcW w:w="37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29"/>
        </w:trPr>
        <w:tc>
          <w:tcPr>
            <w:tcW w:w="3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99735"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ID Solutions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80" w:type="dxa"/>
            <w:vAlign w:val="bottom"/>
            <w:gridSpan w:val="4"/>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9"/>
                <w:shd w:val="clear" w:color="auto" w:fill="CCEEFF"/>
              </w:rPr>
              <w:t>Workplace Safety</w:t>
            </w:r>
          </w:p>
        </w:tc>
        <w:tc>
          <w:tcPr>
            <w:tcW w:w="2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920" w:type="dxa"/>
            <w:vAlign w:val="bottom"/>
            <w:gridSpan w:val="3"/>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6"/>
                <w:shd w:val="clear" w:color="auto" w:fill="CCEEFF"/>
              </w:rPr>
              <w:t>Total Company</w:t>
            </w:r>
          </w:p>
        </w:tc>
        <w:tc>
          <w:tcPr>
            <w:tcW w:w="1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gridSpan w:val="5"/>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ID Solutions</w:t>
            </w:r>
          </w:p>
        </w:tc>
        <w:tc>
          <w:tcPr>
            <w:tcW w:w="2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46,324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29,040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169,776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149,840</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16,029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15,895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59,847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56,502</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62,353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44,935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229,623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206,342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ID Solutions</w:t>
            </w:r>
          </w:p>
        </w:tc>
        <w:tc>
          <w:tcPr>
            <w:tcW w:w="27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tcPr>
          <w:p>
            <w:pPr>
              <w:ind w:left="140"/>
              <w:spacing w:after="0"/>
              <w:rPr>
                <w:sz w:val="20"/>
                <w:szCs w:val="20"/>
                <w:color w:val="auto"/>
              </w:rPr>
            </w:pPr>
            <w:r>
              <w:rPr>
                <w:rFonts w:ascii="Arial" w:cs="Arial" w:eastAsia="Arial" w:hAnsi="Arial"/>
                <w:sz w:val="14"/>
                <w:szCs w:val="14"/>
                <w:color w:val="auto"/>
              </w:rPr>
              <w:t>Three months ended July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w w:val="97"/>
              </w:rPr>
              <w:t>Twelve months ended July 31,</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62,353</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44,935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229,623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206,342</w:t>
            </w:r>
          </w:p>
        </w:tc>
        <w:tc>
          <w:tcPr>
            <w:tcW w:w="0" w:type="dxa"/>
            <w:vAlign w:val="bottom"/>
          </w:tcPr>
          <w:p>
            <w:pPr>
              <w:spacing w:after="0"/>
              <w:rPr>
                <w:sz w:val="1"/>
                <w:szCs w:val="1"/>
                <w:color w:val="auto"/>
              </w:rPr>
            </w:pPr>
          </w:p>
        </w:tc>
      </w:tr>
      <w:tr>
        <w:trPr>
          <w:trHeight w:val="199"/>
        </w:trPr>
        <w:tc>
          <w:tcPr>
            <w:tcW w:w="3780" w:type="dxa"/>
            <w:vAlign w:val="bottom"/>
            <w:gridSpan w:val="5"/>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(28,950)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(28,001)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(111,745)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(107,348)</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(16,821)</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Impairment charges</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Investment and other income (expense)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(1,705)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c>
          <w:tcPr>
            <w:tcW w:w="0" w:type="dxa"/>
            <w:vAlign w:val="bottom"/>
          </w:tcPr>
          <w:p>
            <w:pPr>
              <w:spacing w:after="0"/>
              <w:rPr>
                <w:sz w:val="1"/>
                <w:szCs w:val="1"/>
                <w:color w:val="auto"/>
              </w:rPr>
            </w:pPr>
          </w:p>
        </w:tc>
      </w:tr>
      <w:tr>
        <w:trPr>
          <w:trHeight w:val="191"/>
        </w:trPr>
        <w:tc>
          <w:tcPr>
            <w:tcW w:w="3780" w:type="dxa"/>
            <w:vAlign w:val="bottom"/>
            <w:gridSpan w:val="5"/>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4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32,019</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(35,648)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109,345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24,995</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34" w:lineRule="exact"/>
        <w:rPr>
          <w:sz w:val="20"/>
          <w:szCs w:val="20"/>
          <w:color w:val="auto"/>
        </w:rPr>
      </w:pPr>
    </w:p>
    <w:p>
      <w:pPr>
        <w:ind w:left="10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(Loss)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80"/>
              <w:spacing w:after="0"/>
              <w:rPr>
                <w:sz w:val="20"/>
                <w:szCs w:val="20"/>
                <w:color w:val="auto"/>
              </w:rPr>
            </w:pPr>
            <w:r>
              <w:rPr>
                <w:rFonts w:ascii="Arial" w:cs="Arial" w:eastAsia="Arial" w:hAnsi="Arial"/>
                <w:sz w:val="14"/>
                <w:szCs w:val="14"/>
                <w:color w:val="auto"/>
              </w:rPr>
              <w:t>Three months ended July 31,</w:t>
            </w:r>
          </w:p>
        </w:tc>
        <w:tc>
          <w:tcPr>
            <w:tcW w:w="160" w:type="dxa"/>
            <w:vAlign w:val="bottom"/>
          </w:tcPr>
          <w:p>
            <w:pPr>
              <w:spacing w:after="0"/>
              <w:rPr>
                <w:sz w:val="15"/>
                <w:szCs w:val="15"/>
                <w:color w:val="auto"/>
              </w:rPr>
            </w:pPr>
          </w:p>
        </w:tc>
        <w:tc>
          <w:tcPr>
            <w:tcW w:w="2040" w:type="dxa"/>
            <w:vAlign w:val="bottom"/>
            <w:gridSpan w:val="4"/>
          </w:tcPr>
          <w:p>
            <w:pPr>
              <w:jc w:val="right"/>
              <w:ind w:right="128"/>
              <w:spacing w:after="0"/>
              <w:rPr>
                <w:sz w:val="20"/>
                <w:szCs w:val="20"/>
                <w:color w:val="auto"/>
              </w:rPr>
            </w:pPr>
            <w:r>
              <w:rPr>
                <w:rFonts w:ascii="Arial" w:cs="Arial" w:eastAsia="Arial" w:hAnsi="Arial"/>
                <w:sz w:val="14"/>
                <w:szCs w:val="14"/>
                <w:color w:val="auto"/>
                <w:w w:val="96"/>
              </w:rPr>
              <w:t>Twelve months ended July 31,</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from Continuing Operations Before Income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Taxes (GAAP Measure)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32,019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109,345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24,995</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16,821</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Impairment charges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46,867</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Other non-routine charges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7,430</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32,019</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21,479</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109,345</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91,817</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2260" w:type="dxa"/>
            <w:vAlign w:val="bottom"/>
            <w:gridSpan w:val="6"/>
          </w:tcPr>
          <w:p>
            <w:pPr>
              <w:ind w:left="260"/>
              <w:spacing w:after="0"/>
              <w:rPr>
                <w:sz w:val="20"/>
                <w:szCs w:val="20"/>
                <w:color w:val="auto"/>
              </w:rPr>
            </w:pPr>
            <w:r>
              <w:rPr>
                <w:rFonts w:ascii="Arial" w:cs="Arial" w:eastAsia="Arial" w:hAnsi="Arial"/>
                <w:sz w:val="14"/>
                <w:szCs w:val="14"/>
                <w:color w:val="auto"/>
              </w:rPr>
              <w:t>Three months ended July 31,</w:t>
            </w:r>
          </w:p>
        </w:tc>
        <w:tc>
          <w:tcPr>
            <w:tcW w:w="120" w:type="dxa"/>
            <w:vAlign w:val="bottom"/>
          </w:tcPr>
          <w:p>
            <w:pPr>
              <w:spacing w:after="0"/>
              <w:rPr>
                <w:sz w:val="15"/>
                <w:szCs w:val="15"/>
                <w:color w:val="auto"/>
              </w:rPr>
            </w:pPr>
          </w:p>
        </w:tc>
        <w:tc>
          <w:tcPr>
            <w:tcW w:w="1880" w:type="dxa"/>
            <w:vAlign w:val="bottom"/>
            <w:gridSpan w:val="4"/>
          </w:tcPr>
          <w:p>
            <w:pPr>
              <w:jc w:val="right"/>
              <w:ind w:right="28"/>
              <w:spacing w:after="0"/>
              <w:rPr>
                <w:sz w:val="20"/>
                <w:szCs w:val="20"/>
                <w:color w:val="auto"/>
              </w:rPr>
            </w:pPr>
            <w:r>
              <w:rPr>
                <w:rFonts w:ascii="Arial" w:cs="Arial" w:eastAsia="Arial" w:hAnsi="Arial"/>
                <w:sz w:val="14"/>
                <w:szCs w:val="14"/>
                <w:color w:val="auto"/>
                <w:w w:val="93"/>
              </w:rPr>
              <w:t>Twelve months ended July 31,</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6,883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29,235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20,093</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Other non-routine charges</w:t>
            </w: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2,673</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6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6,883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7,091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29,235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26,340</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measure)</w:t>
            </w: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(Loss)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ind w:left="100"/>
              <w:spacing w:after="0"/>
              <w:rPr>
                <w:sz w:val="20"/>
                <w:szCs w:val="20"/>
                <w:color w:val="auto"/>
              </w:rPr>
            </w:pPr>
            <w:r>
              <w:rPr>
                <w:rFonts w:ascii="Arial" w:cs="Arial" w:eastAsia="Arial" w:hAnsi="Arial"/>
                <w:sz w:val="14"/>
                <w:szCs w:val="14"/>
                <w:color w:val="auto"/>
              </w:rPr>
              <w:t>Three months ended July 31,</w:t>
            </w:r>
          </w:p>
        </w:tc>
        <w:tc>
          <w:tcPr>
            <w:tcW w:w="160" w:type="dxa"/>
            <w:vAlign w:val="bottom"/>
          </w:tcPr>
          <w:p>
            <w:pPr>
              <w:spacing w:after="0"/>
              <w:rPr>
                <w:sz w:val="15"/>
                <w:szCs w:val="15"/>
                <w:color w:val="auto"/>
              </w:rPr>
            </w:pPr>
          </w:p>
        </w:tc>
        <w:tc>
          <w:tcPr>
            <w:tcW w:w="2020" w:type="dxa"/>
            <w:vAlign w:val="bottom"/>
            <w:gridSpan w:val="4"/>
          </w:tcPr>
          <w:p>
            <w:pPr>
              <w:jc w:val="right"/>
              <w:ind w:right="128"/>
              <w:spacing w:after="0"/>
              <w:rPr>
                <w:sz w:val="20"/>
                <w:szCs w:val="20"/>
                <w:color w:val="auto"/>
              </w:rPr>
            </w:pPr>
            <w:r>
              <w:rPr>
                <w:rFonts w:ascii="Arial" w:cs="Arial" w:eastAsia="Arial" w:hAnsi="Arial"/>
                <w:sz w:val="14"/>
                <w:szCs w:val="14"/>
                <w:color w:val="auto"/>
                <w:w w:val="95"/>
              </w:rPr>
              <w:t>Twelve months ended July 31,</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(Loss) from Continuing Operations (GAAP</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80,110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4,902</w:t>
            </w:r>
          </w:p>
        </w:tc>
        <w:tc>
          <w:tcPr>
            <w:tcW w:w="0" w:type="dxa"/>
            <w:vAlign w:val="bottom"/>
          </w:tcPr>
          <w:p>
            <w:pPr>
              <w:spacing w:after="0"/>
              <w:rPr>
                <w:sz w:val="1"/>
                <w:szCs w:val="1"/>
                <w:color w:val="auto"/>
              </w:rPr>
            </w:pPr>
          </w:p>
        </w:tc>
      </w:tr>
      <w:tr>
        <w:trPr>
          <w:trHeight w:val="211"/>
        </w:trPr>
        <w:tc>
          <w:tcPr>
            <w:tcW w:w="414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11,743</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Impairment charges</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46,867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46,867</w:t>
            </w:r>
          </w:p>
        </w:tc>
        <w:tc>
          <w:tcPr>
            <w:tcW w:w="0" w:type="dxa"/>
            <w:vAlign w:val="bottom"/>
          </w:tcPr>
          <w:p>
            <w:pPr>
              <w:spacing w:after="0"/>
              <w:rPr>
                <w:sz w:val="1"/>
                <w:szCs w:val="1"/>
                <w:color w:val="auto"/>
              </w:rPr>
            </w:pPr>
          </w:p>
        </w:tc>
      </w:tr>
      <w:tr>
        <w:trPr>
          <w:trHeight w:val="211"/>
        </w:trPr>
        <w:tc>
          <w:tcPr>
            <w:tcW w:w="4140" w:type="dxa"/>
            <w:vAlign w:val="bottom"/>
          </w:tcPr>
          <w:p>
            <w:pPr>
              <w:ind w:left="400"/>
              <w:spacing w:after="0"/>
              <w:rPr>
                <w:sz w:val="20"/>
                <w:szCs w:val="20"/>
                <w:color w:val="auto"/>
              </w:rPr>
            </w:pPr>
            <w:r>
              <w:rPr>
                <w:rFonts w:ascii="Arial" w:cs="Arial" w:eastAsia="Arial" w:hAnsi="Arial"/>
                <w:sz w:val="14"/>
                <w:szCs w:val="14"/>
                <w:color w:val="auto"/>
              </w:rPr>
              <w:t>Other non-routine charges</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73"/>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25,136</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14,388</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80,110</w:t>
            </w:r>
          </w:p>
        </w:tc>
        <w:tc>
          <w:tcPr>
            <w:tcW w:w="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65,477</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(Loss)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2300" w:type="dxa"/>
            <w:vAlign w:val="bottom"/>
            <w:gridSpan w:val="6"/>
          </w:tcPr>
          <w:p>
            <w:pPr>
              <w:ind w:left="280"/>
              <w:spacing w:after="0"/>
              <w:rPr>
                <w:sz w:val="20"/>
                <w:szCs w:val="20"/>
                <w:color w:val="auto"/>
              </w:rPr>
            </w:pPr>
            <w:r>
              <w:rPr>
                <w:rFonts w:ascii="Arial" w:cs="Arial" w:eastAsia="Arial" w:hAnsi="Arial"/>
                <w:sz w:val="14"/>
                <w:szCs w:val="14"/>
                <w:color w:val="auto"/>
              </w:rPr>
              <w:t>Three months ended July 31,</w:t>
            </w:r>
          </w:p>
        </w:tc>
        <w:tc>
          <w:tcPr>
            <w:tcW w:w="160" w:type="dxa"/>
            <w:vAlign w:val="bottom"/>
          </w:tcPr>
          <w:p>
            <w:pPr>
              <w:spacing w:after="0"/>
              <w:rPr>
                <w:sz w:val="15"/>
                <w:szCs w:val="15"/>
                <w:color w:val="auto"/>
              </w:rPr>
            </w:pPr>
          </w:p>
        </w:tc>
        <w:tc>
          <w:tcPr>
            <w:tcW w:w="2040" w:type="dxa"/>
            <w:vAlign w:val="bottom"/>
            <w:gridSpan w:val="4"/>
          </w:tcPr>
          <w:p>
            <w:pPr>
              <w:jc w:val="right"/>
              <w:ind w:right="148"/>
              <w:spacing w:after="0"/>
              <w:rPr>
                <w:sz w:val="20"/>
                <w:szCs w:val="20"/>
                <w:color w:val="auto"/>
              </w:rPr>
            </w:pPr>
            <w:r>
              <w:rPr>
                <w:rFonts w:ascii="Arial" w:cs="Arial" w:eastAsia="Arial" w:hAnsi="Arial"/>
                <w:sz w:val="14"/>
                <w:szCs w:val="14"/>
                <w:color w:val="auto"/>
                <w:w w:val="95"/>
              </w:rPr>
              <w:t>Twelve months ended July 31,</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4"/>
              </w:rPr>
              <w:t>Net Earnings (Loss) from Continuing Operations Per Diluted Class</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 Nonvoting Common Share (GAAP measure)</w:t>
            </w: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1"/>
        </w:trPr>
        <w:tc>
          <w:tcPr>
            <w:tcW w:w="420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7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Impairment charges</w:t>
            </w: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211"/>
        </w:trPr>
        <w:tc>
          <w:tcPr>
            <w:tcW w:w="4200" w:type="dxa"/>
            <w:vAlign w:val="bottom"/>
          </w:tcPr>
          <w:p>
            <w:pPr>
              <w:ind w:left="380"/>
              <w:spacing w:after="0"/>
              <w:rPr>
                <w:sz w:val="20"/>
                <w:szCs w:val="20"/>
                <w:color w:val="auto"/>
              </w:rPr>
            </w:pPr>
            <w:r>
              <w:rPr>
                <w:rFonts w:ascii="Arial" w:cs="Arial" w:eastAsia="Arial" w:hAnsi="Arial"/>
                <w:sz w:val="14"/>
                <w:szCs w:val="14"/>
                <w:color w:val="auto"/>
              </w:rPr>
              <w:t>Other non-routine charges</w:t>
            </w:r>
          </w:p>
        </w:tc>
        <w:tc>
          <w:tcPr>
            <w:tcW w:w="7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Postretirement benefit plan curtailment gain</w:t>
            </w: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w:t>
            </w:r>
          </w:p>
        </w:tc>
        <w:tc>
          <w:tcPr>
            <w:tcW w:w="7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w w:val="99"/>
              </w:rPr>
              <w:t>Nonvoting Common Share Excluding Certain Items (non-GAAP</w:t>
            </w:r>
          </w:p>
        </w:tc>
        <w:tc>
          <w:tcPr>
            <w:tcW w:w="7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0.49</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0.28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measure)</w:t>
            </w:r>
          </w:p>
        </w:tc>
        <w:tc>
          <w:tcPr>
            <w:tcW w:w="7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 438-6887</w:t>
      </w:r>
    </w:p>
    <w:p>
      <w:pPr>
        <w:spacing w:after="0"/>
        <w:rPr>
          <w:sz w:val="20"/>
          <w:szCs w:val="20"/>
          <w:color w:val="auto"/>
        </w:rPr>
      </w:pPr>
      <w:r>
        <w:rPr>
          <w:rFonts w:ascii="Arial" w:cs="Arial" w:eastAsia="Arial" w:hAnsi="Arial"/>
          <w:sz w:val="18"/>
          <w:szCs w:val="18"/>
          <w:color w:val="auto"/>
        </w:rPr>
        <w:t>Media Contact: Kate Venne (414) 358-5176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its dividend to shareholders for the 31st consecutive year</w:t>
      </w:r>
    </w:p>
    <w:p>
      <w:pPr>
        <w:spacing w:after="0" w:line="245" w:lineRule="exact"/>
        <w:rPr>
          <w:sz w:val="20"/>
          <w:szCs w:val="20"/>
          <w:color w:val="auto"/>
        </w:rPr>
      </w:pPr>
    </w:p>
    <w:p>
      <w:pPr>
        <w:ind w:right="100"/>
        <w:spacing w:after="0" w:line="331" w:lineRule="auto"/>
        <w:rPr>
          <w:sz w:val="20"/>
          <w:szCs w:val="20"/>
          <w:color w:val="auto"/>
        </w:rPr>
      </w:pPr>
      <w:r>
        <w:rPr>
          <w:rFonts w:ascii="Arial" w:cs="Arial" w:eastAsia="Arial" w:hAnsi="Arial"/>
          <w:sz w:val="18"/>
          <w:szCs w:val="18"/>
          <w:color w:val="auto"/>
        </w:rPr>
        <w:t>MILWAUKEE (September 8, 2016) - On September 7, 2016, Brady Corporation’s (NYSE: BRC) Board of Directors announced an increase in its annual dividend to shareholders of the Company’s Class A Common stock from $0.81 per share to $0.82 per share. A quarterly dividend to shareholders of the company's Class A Common Stock of $0.205 per share will be paid on October 31, 2016, to shareholders of record at the close of business on October 11, 2016. This dividend represents the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consecutive annual increase in dividends.</w:t>
      </w:r>
    </w:p>
    <w:p>
      <w:pPr>
        <w:spacing w:after="0" w:line="1" w:lineRule="exact"/>
        <w:rPr>
          <w:sz w:val="20"/>
          <w:szCs w:val="20"/>
          <w:color w:val="auto"/>
        </w:rPr>
      </w:pPr>
    </w:p>
    <w:p>
      <w:pPr>
        <w:ind w:right="10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2015, employed approximately 6,400 people in its worldwide businesses. Brady’s fiscal 2015 sales were approximately $1.17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9" w:right="21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2019-12-05T17:11:32Z</dcterms:created>
  <dcterms:modified xsi:type="dcterms:W3CDTF">2019-12-05T17:11:32Z</dcterms:modified>
</cp:coreProperties>
</file>