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36195</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45085</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February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46355</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BRADY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37465</wp:posOffset>
            </wp:positionV>
            <wp:extent cx="15944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8" w:lineRule="exact"/>
        <w:rPr>
          <w:sz w:val="24"/>
          <w:szCs w:val="24"/>
          <w:color w:val="auto"/>
        </w:rPr>
      </w:pPr>
    </w:p>
    <w:tbl>
      <w:tblPr>
        <w:tblLayout w:type="fixed"/>
        <w:tblInd w:w="1520" w:type="dxa"/>
        <w:tblCellMar>
          <w:top w:w="0" w:type="dxa"/>
          <w:left w:w="0" w:type="dxa"/>
          <w:bottom w:w="0" w:type="dxa"/>
          <w:right w:w="0" w:type="dxa"/>
        </w:tblCellMar>
      </w:tblPr>
      <w:tr>
        <w:trPr>
          <w:trHeight w:val="157"/>
        </w:trPr>
        <w:tc>
          <w:tcPr>
            <w:tcW w:w="2840" w:type="dxa"/>
            <w:vAlign w:val="bottom"/>
          </w:tcPr>
          <w:p>
            <w:pPr>
              <w:spacing w:after="0"/>
              <w:rPr>
                <w:sz w:val="13"/>
                <w:szCs w:val="13"/>
                <w:color w:val="auto"/>
              </w:rPr>
            </w:pPr>
          </w:p>
        </w:tc>
        <w:tc>
          <w:tcPr>
            <w:tcW w:w="4920" w:type="dxa"/>
            <w:vAlign w:val="bottom"/>
            <w:gridSpan w:val="2"/>
          </w:tcPr>
          <w:p>
            <w:pPr>
              <w:jc w:val="center"/>
              <w:ind w:right="2292"/>
              <w:spacing w:after="0"/>
              <w:rPr>
                <w:sz w:val="20"/>
                <w:szCs w:val="20"/>
                <w:color w:val="auto"/>
              </w:rPr>
            </w:pPr>
            <w:r>
              <w:rPr>
                <w:rFonts w:ascii="Arial" w:cs="Arial" w:eastAsia="Arial" w:hAnsi="Arial"/>
                <w:sz w:val="12"/>
                <w:szCs w:val="12"/>
                <w:b w:val="1"/>
                <w:bCs w:val="1"/>
                <w:color w:val="auto"/>
                <w:w w:val="90"/>
              </w:rPr>
              <w:t>Commission File Number 1-14959</w:t>
            </w:r>
          </w:p>
        </w:tc>
      </w:tr>
      <w:tr>
        <w:trPr>
          <w:trHeight w:val="265"/>
        </w:trPr>
        <w:tc>
          <w:tcPr>
            <w:tcW w:w="2840" w:type="dxa"/>
            <w:vAlign w:val="bottom"/>
          </w:tcPr>
          <w:p>
            <w:pPr>
              <w:jc w:val="center"/>
              <w:ind w:right="306"/>
              <w:spacing w:after="0"/>
              <w:rPr>
                <w:sz w:val="20"/>
                <w:szCs w:val="20"/>
                <w:color w:val="auto"/>
              </w:rPr>
            </w:pPr>
            <w:r>
              <w:rPr>
                <w:rFonts w:ascii="Arial" w:cs="Arial" w:eastAsia="Arial" w:hAnsi="Arial"/>
                <w:sz w:val="12"/>
                <w:szCs w:val="12"/>
                <w:b w:val="1"/>
                <w:bCs w:val="1"/>
                <w:color w:val="auto"/>
                <w:w w:val="86"/>
              </w:rPr>
              <w:t>Wisconsin</w:t>
            </w:r>
          </w:p>
        </w:tc>
        <w:tc>
          <w:tcPr>
            <w:tcW w:w="4920" w:type="dxa"/>
            <w:vAlign w:val="bottom"/>
            <w:gridSpan w:val="2"/>
          </w:tcPr>
          <w:p>
            <w:pPr>
              <w:jc w:val="right"/>
              <w:ind w:right="372"/>
              <w:spacing w:after="0"/>
              <w:rPr>
                <w:sz w:val="20"/>
                <w:szCs w:val="20"/>
                <w:color w:val="auto"/>
              </w:rPr>
            </w:pPr>
            <w:r>
              <w:rPr>
                <w:rFonts w:ascii="Arial" w:cs="Arial" w:eastAsia="Arial" w:hAnsi="Arial"/>
                <w:sz w:val="12"/>
                <w:szCs w:val="12"/>
                <w:b w:val="1"/>
                <w:bCs w:val="1"/>
                <w:color w:val="auto"/>
              </w:rPr>
              <w:t>39-0971239</w:t>
            </w:r>
          </w:p>
        </w:tc>
      </w:tr>
      <w:tr>
        <w:trPr>
          <w:trHeight w:val="123"/>
        </w:trPr>
        <w:tc>
          <w:tcPr>
            <w:tcW w:w="2840" w:type="dxa"/>
            <w:vAlign w:val="bottom"/>
          </w:tcPr>
          <w:p>
            <w:pPr>
              <w:jc w:val="center"/>
              <w:ind w:right="306"/>
              <w:spacing w:after="0"/>
              <w:rPr>
                <w:sz w:val="20"/>
                <w:szCs w:val="20"/>
                <w:color w:val="auto"/>
              </w:rPr>
            </w:pPr>
            <w:r>
              <w:rPr>
                <w:rFonts w:ascii="Arial" w:cs="Arial" w:eastAsia="Arial" w:hAnsi="Arial"/>
                <w:sz w:val="10"/>
                <w:szCs w:val="10"/>
                <w:b w:val="1"/>
                <w:bCs w:val="1"/>
                <w:color w:val="auto"/>
                <w:w w:val="87"/>
              </w:rPr>
              <w:t>(State or other jurisdiction of incorporation or organization)</w:t>
            </w:r>
          </w:p>
        </w:tc>
        <w:tc>
          <w:tcPr>
            <w:tcW w:w="2520" w:type="dxa"/>
            <w:vAlign w:val="bottom"/>
          </w:tcPr>
          <w:p>
            <w:pPr>
              <w:spacing w:after="0"/>
              <w:rPr>
                <w:sz w:val="10"/>
                <w:szCs w:val="10"/>
                <w:color w:val="auto"/>
              </w:rPr>
            </w:pPr>
          </w:p>
        </w:tc>
        <w:tc>
          <w:tcPr>
            <w:tcW w:w="2400" w:type="dxa"/>
            <w:vAlign w:val="bottom"/>
          </w:tcPr>
          <w:p>
            <w:pPr>
              <w:jc w:val="center"/>
              <w:ind w:left="952"/>
              <w:spacing w:after="0"/>
              <w:rPr>
                <w:sz w:val="20"/>
                <w:szCs w:val="20"/>
                <w:color w:val="auto"/>
              </w:rPr>
            </w:pPr>
            <w:r>
              <w:rPr>
                <w:rFonts w:ascii="Arial" w:cs="Arial" w:eastAsia="Arial" w:hAnsi="Arial"/>
                <w:sz w:val="10"/>
                <w:szCs w:val="10"/>
                <w:b w:val="1"/>
                <w:bCs w:val="1"/>
                <w:color w:val="auto"/>
                <w:w w:val="89"/>
              </w:rPr>
              <w:t>(IRS Employer Identification No.)</w:t>
            </w:r>
          </w:p>
        </w:tc>
      </w:tr>
      <w:tr>
        <w:trPr>
          <w:trHeight w:val="274"/>
        </w:trPr>
        <w:tc>
          <w:tcPr>
            <w:tcW w:w="2840" w:type="dxa"/>
            <w:vAlign w:val="bottom"/>
          </w:tcPr>
          <w:p>
            <w:pPr>
              <w:spacing w:after="0"/>
              <w:rPr>
                <w:sz w:val="23"/>
                <w:szCs w:val="23"/>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2"/>
                <w:szCs w:val="12"/>
                <w:b w:val="1"/>
                <w:bCs w:val="1"/>
                <w:color w:val="auto"/>
                <w:w w:val="89"/>
              </w:rPr>
              <w:t>6555 West Good Hope Road</w:t>
            </w:r>
          </w:p>
        </w:tc>
      </w:tr>
      <w:tr>
        <w:trPr>
          <w:trHeight w:val="142"/>
        </w:trPr>
        <w:tc>
          <w:tcPr>
            <w:tcW w:w="2840" w:type="dxa"/>
            <w:vAlign w:val="bottom"/>
          </w:tcPr>
          <w:p>
            <w:pPr>
              <w:spacing w:after="0"/>
              <w:rPr>
                <w:sz w:val="12"/>
                <w:szCs w:val="12"/>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2"/>
                <w:szCs w:val="12"/>
                <w:b w:val="1"/>
                <w:bCs w:val="1"/>
                <w:color w:val="auto"/>
                <w:w w:val="90"/>
              </w:rPr>
              <w:t>Milwaukee, Wisconsin 53223</w:t>
            </w:r>
          </w:p>
        </w:tc>
      </w:tr>
      <w:tr>
        <w:trPr>
          <w:trHeight w:val="123"/>
        </w:trPr>
        <w:tc>
          <w:tcPr>
            <w:tcW w:w="2840" w:type="dxa"/>
            <w:vAlign w:val="bottom"/>
          </w:tcPr>
          <w:p>
            <w:pPr>
              <w:spacing w:after="0"/>
              <w:rPr>
                <w:sz w:val="10"/>
                <w:szCs w:val="10"/>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0"/>
                <w:szCs w:val="10"/>
                <w:b w:val="1"/>
                <w:bCs w:val="1"/>
                <w:color w:val="auto"/>
                <w:w w:val="85"/>
              </w:rPr>
              <w:t>(Address of principal executive offices and Zip Code)</w:t>
            </w:r>
          </w:p>
        </w:tc>
      </w:tr>
      <w:tr>
        <w:trPr>
          <w:trHeight w:val="237"/>
        </w:trPr>
        <w:tc>
          <w:tcPr>
            <w:tcW w:w="284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2"/>
                <w:szCs w:val="12"/>
                <w:b w:val="1"/>
                <w:bCs w:val="1"/>
                <w:color w:val="auto"/>
                <w:w w:val="92"/>
              </w:rPr>
              <w:t>(414) 358-6600</w:t>
            </w:r>
          </w:p>
        </w:tc>
        <w:tc>
          <w:tcPr>
            <w:tcW w:w="2400" w:type="dxa"/>
            <w:vAlign w:val="bottom"/>
          </w:tcPr>
          <w:p>
            <w:pPr>
              <w:spacing w:after="0"/>
              <w:rPr>
                <w:sz w:val="20"/>
                <w:szCs w:val="20"/>
                <w:color w:val="auto"/>
              </w:rPr>
            </w:pPr>
          </w:p>
        </w:tc>
      </w:tr>
      <w:tr>
        <w:trPr>
          <w:trHeight w:val="123"/>
        </w:trPr>
        <w:tc>
          <w:tcPr>
            <w:tcW w:w="2840" w:type="dxa"/>
            <w:vAlign w:val="bottom"/>
          </w:tcPr>
          <w:p>
            <w:pPr>
              <w:spacing w:after="0"/>
              <w:rPr>
                <w:sz w:val="10"/>
                <w:szCs w:val="10"/>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0"/>
                <w:szCs w:val="10"/>
                <w:b w:val="1"/>
                <w:bCs w:val="1"/>
                <w:color w:val="auto"/>
                <w:w w:val="86"/>
              </w:rPr>
              <w:t>(Registrant’s Telephone Number)</w:t>
            </w:r>
          </w:p>
        </w:tc>
      </w:tr>
      <w:tr>
        <w:trPr>
          <w:trHeight w:val="53"/>
        </w:trPr>
        <w:tc>
          <w:tcPr>
            <w:tcW w:w="2840" w:type="dxa"/>
            <w:vAlign w:val="bottom"/>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2400" w:type="dxa"/>
            <w:vAlign w:val="bottom"/>
          </w:tcPr>
          <w:p>
            <w:pPr>
              <w:spacing w:after="0"/>
              <w:rPr>
                <w:sz w:val="4"/>
                <w:szCs w:val="4"/>
                <w:color w:val="auto"/>
              </w:rPr>
            </w:pPr>
          </w:p>
        </w:tc>
      </w:tr>
    </w:tbl>
    <w:p>
      <w:pPr>
        <w:spacing w:after="0" w:line="153"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Written communications pursuant to Rule 425 under the Securities Act (17 CFR 230.425)</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Soliciting material pursuant to Rule 14a-12 under the Exchange Act (17 CFR 240.14a-12)</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14d-2(b) under the Exchange Act (17 CFR 240.14d-2(b))</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13e-4(c) under the Exchange Act (17 CFR 240.13e-4(c))</w:t>
      </w:r>
    </w:p>
    <w:p>
      <w:pPr>
        <w:spacing w:after="0" w:line="196"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126"/>
        </w:trPr>
        <w:tc>
          <w:tcPr>
            <w:tcW w:w="61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660" w:type="dxa"/>
            <w:vAlign w:val="bottom"/>
            <w:tcBorders>
              <w:top w:val="single" w:sz="8" w:color="auto"/>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0"/>
              </w:rPr>
              <w:t>Trading</w:t>
            </w:r>
          </w:p>
        </w:tc>
        <w:tc>
          <w:tcPr>
            <w:tcW w:w="34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c>
          <w:tcPr>
            <w:tcW w:w="0" w:type="dxa"/>
            <w:vAlign w:val="bottom"/>
          </w:tcPr>
          <w:p>
            <w:pPr>
              <w:spacing w:after="0"/>
              <w:rPr>
                <w:sz w:val="1"/>
                <w:szCs w:val="1"/>
                <w:color w:val="auto"/>
              </w:rPr>
            </w:pPr>
          </w:p>
        </w:tc>
      </w:tr>
      <w:tr>
        <w:trPr>
          <w:trHeight w:val="153"/>
        </w:trPr>
        <w:tc>
          <w:tcPr>
            <w:tcW w:w="614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Symbol</w:t>
            </w:r>
          </w:p>
        </w:tc>
        <w:tc>
          <w:tcPr>
            <w:tcW w:w="344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BRC</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New York Stock Exchange</w:t>
            </w:r>
          </w:p>
        </w:tc>
        <w:tc>
          <w:tcPr>
            <w:tcW w:w="0" w:type="dxa"/>
            <w:vAlign w:val="bottom"/>
          </w:tcPr>
          <w:p>
            <w:pPr>
              <w:spacing w:after="0"/>
              <w:rPr>
                <w:sz w:val="1"/>
                <w:szCs w:val="1"/>
                <w:color w:val="auto"/>
              </w:rPr>
            </w:pPr>
          </w:p>
        </w:tc>
      </w:tr>
    </w:tbl>
    <w:p>
      <w:pPr>
        <w:spacing w:after="0" w:line="162" w:lineRule="exact"/>
        <w:rPr>
          <w:sz w:val="24"/>
          <w:szCs w:val="24"/>
          <w:color w:val="auto"/>
        </w:rPr>
      </w:pPr>
    </w:p>
    <w:p>
      <w:pPr>
        <w:ind w:right="440"/>
        <w:spacing w:after="0" w:line="227"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(17 CFR 230.405) or Rule 12b-2 or the Securities Exchange Act of 1934 (17 CFR 240.12b-2). Emerging growth company </w:t>
      </w:r>
      <w:r>
        <w:rPr>
          <w:rFonts w:ascii="MS PGothic" w:cs="MS PGothic" w:eastAsia="MS PGothic" w:hAnsi="MS PGothic"/>
          <w:sz w:val="14"/>
          <w:szCs w:val="14"/>
          <w:color w:val="auto"/>
        </w:rPr>
        <w:t>☐</w:t>
      </w:r>
    </w:p>
    <w:p>
      <w:pPr>
        <w:spacing w:after="0" w:line="78" w:lineRule="exact"/>
        <w:rPr>
          <w:sz w:val="24"/>
          <w:szCs w:val="24"/>
          <w:color w:val="auto"/>
        </w:rPr>
      </w:pPr>
    </w:p>
    <w:p>
      <w:pPr>
        <w:spacing w:after="0" w:line="17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345440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2"/>
          <w:szCs w:val="12"/>
          <w:color w:val="auto"/>
        </w:rPr>
        <w:t>Item 2.02</w:t>
      </w:r>
      <w:r>
        <w:rPr>
          <w:sz w:val="20"/>
          <w:szCs w:val="20"/>
          <w:color w:val="auto"/>
        </w:rPr>
        <w:tab/>
      </w:r>
      <w:r>
        <w:rPr>
          <w:rFonts w:ascii="Arial" w:cs="Arial" w:eastAsia="Arial" w:hAnsi="Arial"/>
          <w:sz w:val="11"/>
          <w:szCs w:val="11"/>
          <w:color w:val="auto"/>
        </w:rPr>
        <w:t>RESULTS OF OPERATIONS AND FINANCIAL CONDITION</w:t>
      </w:r>
    </w:p>
    <w:p>
      <w:pPr>
        <w:spacing w:after="0" w:line="231"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On February 17, 2022, Brady Corporation (the “Company”) issued a press release announcing its fiscal 2022 second quarter financial results. A copy of the press release is being furnished to the Securities and Exchange Commission as Exhibit 99.1 attached hereto and is incorporated herein by reference.</w:t>
      </w:r>
    </w:p>
    <w:p>
      <w:pPr>
        <w:spacing w:after="0" w:line="268"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color w:val="auto"/>
        </w:rPr>
        <w:t>Item 7.01</w:t>
      </w:r>
      <w:r>
        <w:rPr>
          <w:sz w:val="20"/>
          <w:szCs w:val="20"/>
          <w:color w:val="auto"/>
        </w:rPr>
        <w:tab/>
      </w:r>
      <w:r>
        <w:rPr>
          <w:rFonts w:ascii="Arial" w:cs="Arial" w:eastAsia="Arial" w:hAnsi="Arial"/>
          <w:sz w:val="11"/>
          <w:szCs w:val="11"/>
          <w:color w:val="auto"/>
        </w:rPr>
        <w:t>REGULATION FD DISCLOSURE</w:t>
      </w:r>
    </w:p>
    <w:p>
      <w:pPr>
        <w:spacing w:after="0" w:line="222"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On February 17, 2022, the Company hosted a conference call related to its fiscal 2022 second quarter financial results. A copy of the slides referenced in the conference call, which is also posted on the Company’s website, is being furnished to the Securities and Exchange Commission as Exhibit 99.2 attached hereto and is incorporated herein by reference.</w:t>
      </w: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2"/>
          <w:szCs w:val="12"/>
          <w:color w:val="auto"/>
        </w:rPr>
        <w:t>Item 9.01</w:t>
      </w:r>
      <w:r>
        <w:rPr>
          <w:sz w:val="20"/>
          <w:szCs w:val="20"/>
          <w:color w:val="auto"/>
        </w:rPr>
        <w:tab/>
      </w:r>
      <w:r>
        <w:rPr>
          <w:rFonts w:ascii="Arial" w:cs="Arial" w:eastAsia="Arial" w:hAnsi="Arial"/>
          <w:sz w:val="11"/>
          <w:szCs w:val="11"/>
          <w:color w:val="auto"/>
        </w:rPr>
        <w:t>FINANCIAL STATEMENTS AND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80" w:type="dxa"/>
            <w:vAlign w:val="bottom"/>
          </w:tcPr>
          <w:p>
            <w:pPr>
              <w:spacing w:after="0"/>
              <w:rPr>
                <w:sz w:val="20"/>
                <w:szCs w:val="20"/>
                <w:color w:val="auto"/>
              </w:rPr>
            </w:pPr>
            <w:r>
              <w:rPr>
                <w:rFonts w:ascii="Arial" w:cs="Arial" w:eastAsia="Arial" w:hAnsi="Arial"/>
                <w:sz w:val="12"/>
                <w:szCs w:val="12"/>
                <w:color w:val="auto"/>
              </w:rPr>
              <w:t>(d) Exhibits</w:t>
            </w:r>
          </w:p>
        </w:tc>
        <w:tc>
          <w:tcPr>
            <w:tcW w:w="5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79"/>
        </w:trPr>
        <w:tc>
          <w:tcPr>
            <w:tcW w:w="1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EXHIBIT NUMBER</w:t>
            </w:r>
          </w:p>
        </w:tc>
        <w:tc>
          <w:tcPr>
            <w:tcW w:w="1012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rPr>
              <w:t>DESCRIPTION</w:t>
            </w:r>
          </w:p>
        </w:tc>
      </w:tr>
      <w:tr>
        <w:trPr>
          <w:trHeight w:val="178"/>
        </w:trPr>
        <w:tc>
          <w:tcPr>
            <w:tcW w:w="1180" w:type="dxa"/>
            <w:vAlign w:val="bottom"/>
          </w:tcPr>
          <w:p>
            <w:pPr>
              <w:spacing w:after="0"/>
              <w:rPr>
                <w:sz w:val="20"/>
                <w:szCs w:val="20"/>
                <w:color w:val="auto"/>
              </w:rPr>
            </w:pPr>
            <w:r>
              <w:rPr>
                <w:rFonts w:ascii="Arial" w:cs="Arial" w:eastAsia="Arial" w:hAnsi="Arial"/>
                <w:sz w:val="12"/>
                <w:szCs w:val="12"/>
                <w:color w:val="auto"/>
              </w:rPr>
              <w:t>99.1</w:t>
            </w:r>
          </w:p>
        </w:tc>
        <w:tc>
          <w:tcPr>
            <w:tcW w:w="5620" w:type="dxa"/>
            <w:vAlign w:val="bottom"/>
            <w:tcBorders>
              <w:bottom w:val="single" w:sz="8" w:color="0000FF"/>
            </w:tcBorders>
          </w:tcPr>
          <w:p>
            <w:pPr>
              <w:spacing w:after="0"/>
              <w:rPr>
                <w:rFonts w:ascii="Arial" w:cs="Arial" w:eastAsia="Arial" w:hAnsi="Arial"/>
                <w:sz w:val="12"/>
                <w:szCs w:val="12"/>
                <w:color w:val="0000FF"/>
                <w:w w:val="89"/>
              </w:rPr>
            </w:pPr>
            <w:hyperlink w:anchor="page3">
              <w:r>
                <w:rPr>
                  <w:rFonts w:ascii="Arial" w:cs="Arial" w:eastAsia="Arial" w:hAnsi="Arial"/>
                  <w:sz w:val="12"/>
                  <w:szCs w:val="12"/>
                  <w:color w:val="0000FF"/>
                  <w:w w:val="89"/>
                </w:rPr>
                <w:t>Press Release of Brady Corporation, dated February 17, 2022, relating to fiscal 2022 second quarter financial results.</w:t>
              </w:r>
            </w:hyperlink>
          </w:p>
        </w:tc>
        <w:tc>
          <w:tcPr>
            <w:tcW w:w="4500" w:type="dxa"/>
            <w:vAlign w:val="bottom"/>
            <w:gridSpan w:val="2"/>
          </w:tcPr>
          <w:p>
            <w:pPr>
              <w:spacing w:after="0"/>
              <w:rPr>
                <w:sz w:val="15"/>
                <w:szCs w:val="15"/>
                <w:color w:val="auto"/>
              </w:rPr>
            </w:pPr>
          </w:p>
        </w:tc>
      </w:tr>
      <w:tr>
        <w:trPr>
          <w:trHeight w:val="187"/>
        </w:trPr>
        <w:tc>
          <w:tcPr>
            <w:tcW w:w="1180" w:type="dxa"/>
            <w:vAlign w:val="bottom"/>
          </w:tcPr>
          <w:p>
            <w:pPr>
              <w:spacing w:after="0"/>
              <w:rPr>
                <w:sz w:val="20"/>
                <w:szCs w:val="20"/>
                <w:color w:val="auto"/>
              </w:rPr>
            </w:pPr>
            <w:r>
              <w:rPr>
                <w:rFonts w:ascii="Arial" w:cs="Arial" w:eastAsia="Arial" w:hAnsi="Arial"/>
                <w:sz w:val="12"/>
                <w:szCs w:val="12"/>
                <w:color w:val="auto"/>
              </w:rPr>
              <w:t>99.2</w:t>
            </w:r>
          </w:p>
        </w:tc>
        <w:tc>
          <w:tcPr>
            <w:tcW w:w="6400" w:type="dxa"/>
            <w:vAlign w:val="bottom"/>
            <w:tcBorders>
              <w:bottom w:val="single" w:sz="8" w:color="0000FF"/>
            </w:tcBorders>
            <w:gridSpan w:val="2"/>
          </w:tcPr>
          <w:p>
            <w:pPr>
              <w:spacing w:after="0"/>
              <w:rPr>
                <w:rFonts w:ascii="Arial" w:cs="Arial" w:eastAsia="Arial" w:hAnsi="Arial"/>
                <w:sz w:val="12"/>
                <w:szCs w:val="12"/>
                <w:color w:val="0000FF"/>
                <w:w w:val="91"/>
              </w:rPr>
            </w:pPr>
            <w:hyperlink w:anchor="page13">
              <w:r>
                <w:rPr>
                  <w:rFonts w:ascii="Arial" w:cs="Arial" w:eastAsia="Arial" w:hAnsi="Arial"/>
                  <w:sz w:val="12"/>
                  <w:szCs w:val="12"/>
                  <w:color w:val="0000FF"/>
                  <w:w w:val="91"/>
                </w:rPr>
                <w:t>Informational slides provided by Brady Corporation, dated February 17, 2022, relating to fiscal 2022 second quarter financial results.</w:t>
              </w:r>
            </w:hyperlink>
          </w:p>
        </w:tc>
        <w:tc>
          <w:tcPr>
            <w:tcW w:w="3720" w:type="dxa"/>
            <w:vAlign w:val="bottom"/>
          </w:tcPr>
          <w:p>
            <w:pPr>
              <w:spacing w:after="0"/>
              <w:rPr>
                <w:sz w:val="16"/>
                <w:szCs w:val="16"/>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2"/>
                <w:szCs w:val="12"/>
                <w:color w:val="auto"/>
              </w:rPr>
              <w:t>104</w:t>
            </w:r>
          </w:p>
        </w:tc>
        <w:tc>
          <w:tcPr>
            <w:tcW w:w="10120" w:type="dxa"/>
            <w:vAlign w:val="bottom"/>
            <w:gridSpan w:val="3"/>
          </w:tcPr>
          <w:p>
            <w:pPr>
              <w:spacing w:after="0"/>
              <w:rPr>
                <w:sz w:val="20"/>
                <w:szCs w:val="20"/>
                <w:color w:val="auto"/>
              </w:rPr>
            </w:pPr>
            <w:r>
              <w:rPr>
                <w:rFonts w:ascii="Arial" w:cs="Arial" w:eastAsia="Arial" w:hAnsi="Arial"/>
                <w:sz w:val="12"/>
                <w:szCs w:val="12"/>
                <w:color w:val="auto"/>
              </w:rPr>
              <w:t>Cover Page Interactive Data File (embedded within Inline XBRL document).</w:t>
            </w:r>
          </w:p>
        </w:tc>
      </w:tr>
    </w:tbl>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color w:val="auto"/>
        </w:rPr>
        <w:t>Date: February 17, 2022</w:t>
      </w:r>
    </w:p>
    <w:p>
      <w:pPr>
        <w:spacing w:after="0" w:line="195"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9525</wp:posOffset>
            </wp:positionV>
            <wp:extent cx="345186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4"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Aaron J. Pearce</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Chief Financial Officer and Treasurer</w:t>
      </w:r>
    </w:p>
    <w:p>
      <w:pPr>
        <w:sectPr>
          <w:pgSz w:w="11900" w:h="16838" w:orient="portrait"/>
          <w:cols w:equalWidth="0" w:num="1">
            <w:col w:w="11300"/>
          </w:cols>
          <w:pgMar w:left="300" w:top="671" w:right="299" w:bottom="1440" w:gutter="0" w:footer="0" w:header="0"/>
        </w:sectPr>
      </w:pPr>
    </w:p>
    <w:bookmarkStart w:id="2" w:name="page3"/>
    <w:bookmarkEnd w:id="2"/>
    <w:p>
      <w:pPr>
        <w:jc w:val="right"/>
        <w:spacing w:after="0"/>
        <w:rPr>
          <w:sz w:val="20"/>
          <w:szCs w:val="20"/>
          <w:color w:val="auto"/>
        </w:rPr>
      </w:pPr>
      <w:r>
        <w:rPr>
          <w:rFonts w:ascii="Arial" w:cs="Arial" w:eastAsia="Arial" w:hAnsi="Arial"/>
          <w:sz w:val="13"/>
          <w:szCs w:val="13"/>
          <w:b w:val="1"/>
          <w:bCs w:val="1"/>
          <w:u w:val="single" w:color="auto"/>
          <w:color w:val="auto"/>
        </w:rPr>
        <w:t>EXHIBIT 99.1</w:t>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For More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Investor contact: Ann Thornton 414-438-6887</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Media contact: Kate Venne 414-358-5176</w:t>
      </w: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Brady Corporation Reports Fiscal 2022 Second Quarter Results and Updates Fiscal 2022 Guidance</w:t>
      </w:r>
    </w:p>
    <w:p>
      <w:pPr>
        <w:spacing w:after="0" w:line="197"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Sales for the quarter increased 19.6 percent. Organic sales increased 13.1 percent.</w:t>
      </w:r>
    </w:p>
    <w:p>
      <w:pPr>
        <w:spacing w:after="0" w:line="55" w:lineRule="exact"/>
        <w:rPr>
          <w:rFonts w:ascii="Arial" w:cs="Arial" w:eastAsia="Arial" w:hAnsi="Arial"/>
          <w:sz w:val="14"/>
          <w:szCs w:val="14"/>
          <w:color w:val="auto"/>
        </w:rPr>
      </w:pPr>
    </w:p>
    <w:p>
      <w:pPr>
        <w:ind w:left="420" w:hanging="212"/>
        <w:spacing w:after="0" w:line="332" w:lineRule="auto"/>
        <w:tabs>
          <w:tab w:leader="none" w:pos="412"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Income before income taxes increased 6.7 percent to $42.0 million in the second quarter of fiscal 2022 compared to $39.4 million in the second quarter of fiscal 2021. Income Before Income Taxes Excluding Amortization* increased 12.4 percent to $45.8 million in the second quarter of fiscal 2022 compared to $40.8 million in the second quarter of fiscal 2021.</w:t>
      </w:r>
    </w:p>
    <w:p>
      <w:pPr>
        <w:ind w:left="420" w:hanging="212"/>
        <w:spacing w:after="0" w:line="325" w:lineRule="auto"/>
        <w:tabs>
          <w:tab w:leader="none" w:pos="412" w:val="left"/>
        </w:tabs>
        <w:numPr>
          <w:ilvl w:val="0"/>
          <w:numId w:val="2"/>
        </w:numPr>
        <w:rPr>
          <w:rFonts w:ascii="Arial" w:cs="Arial" w:eastAsia="Arial" w:hAnsi="Arial"/>
          <w:sz w:val="13"/>
          <w:szCs w:val="13"/>
          <w:color w:val="auto"/>
        </w:rPr>
      </w:pPr>
      <w:r>
        <w:rPr>
          <w:rFonts w:ascii="Arial" w:cs="Arial" w:eastAsia="Arial" w:hAnsi="Arial"/>
          <w:sz w:val="13"/>
          <w:szCs w:val="13"/>
          <w:color w:val="auto"/>
        </w:rPr>
        <w:t>Diluted EPS in the second quarter of fiscal 2022 increased 10.2 percent to $0.65 compared to $0.59 in the same quarter of the prior year. Diluted EPS Excluding Amortization* increased 14.8 percent to $0.70 in the second quarter of fiscal 2022 compared to $0.61 in the same quarter of the prior year.</w:t>
      </w:r>
    </w:p>
    <w:p>
      <w:pPr>
        <w:ind w:left="420" w:hanging="212"/>
        <w:spacing w:after="0" w:line="343" w:lineRule="auto"/>
        <w:tabs>
          <w:tab w:leader="none" w:pos="412" w:val="left"/>
        </w:tabs>
        <w:numPr>
          <w:ilvl w:val="0"/>
          <w:numId w:val="2"/>
        </w:numPr>
        <w:rPr>
          <w:rFonts w:ascii="Arial" w:cs="Arial" w:eastAsia="Arial" w:hAnsi="Arial"/>
          <w:sz w:val="13"/>
          <w:szCs w:val="13"/>
          <w:color w:val="auto"/>
        </w:rPr>
      </w:pPr>
      <w:r>
        <w:rPr>
          <w:rFonts w:ascii="Arial" w:cs="Arial" w:eastAsia="Arial" w:hAnsi="Arial"/>
          <w:sz w:val="13"/>
          <w:szCs w:val="13"/>
          <w:color w:val="auto"/>
        </w:rPr>
        <w:t>Earnings per diluted Class A Common Share guidance for the full year ending July 31, 2022 adjusted to a range of $3.00 to $3.15, excluding after-tax amortization expense and $2.78 to $2.93 on a GAAP basis.</w:t>
      </w:r>
    </w:p>
    <w:p>
      <w:pPr>
        <w:spacing w:after="0" w:line="131" w:lineRule="exact"/>
        <w:rPr>
          <w:sz w:val="20"/>
          <w:szCs w:val="20"/>
          <w:color w:val="auto"/>
        </w:rPr>
      </w:pPr>
    </w:p>
    <w:p>
      <w:pPr>
        <w:jc w:val="both"/>
        <w:spacing w:after="0" w:line="343" w:lineRule="auto"/>
        <w:rPr>
          <w:sz w:val="20"/>
          <w:szCs w:val="20"/>
          <w:color w:val="auto"/>
        </w:rPr>
      </w:pPr>
      <w:r>
        <w:rPr>
          <w:rFonts w:ascii="Arial" w:cs="Arial" w:eastAsia="Arial" w:hAnsi="Arial"/>
          <w:sz w:val="13"/>
          <w:szCs w:val="13"/>
          <w:color w:val="auto"/>
        </w:rPr>
        <w:t>MILWAUKEE (February 17, 2022) -- Brady Corporation (NYSE: BRC) (“Brady” or “Company”), a world leader in identification solutions, today reported its financial results for its fiscal 2022 second quarter ended January 31, 2022.</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 Ended January 31, 2022 Financial Results:</w:t>
      </w:r>
    </w:p>
    <w:p>
      <w:pPr>
        <w:spacing w:after="0" w:line="53" w:lineRule="exact"/>
        <w:rPr>
          <w:sz w:val="20"/>
          <w:szCs w:val="20"/>
          <w:color w:val="auto"/>
        </w:rPr>
      </w:pPr>
    </w:p>
    <w:p>
      <w:pPr>
        <w:jc w:val="both"/>
        <w:ind w:firstLine="432"/>
        <w:spacing w:after="0" w:line="325" w:lineRule="auto"/>
        <w:rPr>
          <w:sz w:val="20"/>
          <w:szCs w:val="20"/>
          <w:color w:val="auto"/>
        </w:rPr>
      </w:pPr>
      <w:r>
        <w:rPr>
          <w:rFonts w:ascii="Arial" w:cs="Arial" w:eastAsia="Arial" w:hAnsi="Arial"/>
          <w:sz w:val="13"/>
          <w:szCs w:val="13"/>
          <w:color w:val="auto"/>
        </w:rPr>
        <w:t>Sales for the quarter ended January 31, 2022 increased 19.6 percent, which consisted of an organic sales increase of 13.1 percent, an increase of 8.6 percent from acquisitions and a decrease of 2.1 percent from foreign currency translation. Sales for the quarter ended January 31, 2022 were $318.1 million compared to $265.8 million in the same quarter last year. By segment, sales increased 26.1 percent in Identification Solutions and increased 2.0 percent in Workplace Safety, which consisted of an organic sales increase of 16.0 percent in Identification Solutions and an organic sales increase of 5.2 percent in Workplace Safety.</w:t>
      </w:r>
    </w:p>
    <w:p>
      <w:pPr>
        <w:ind w:left="420"/>
        <w:spacing w:after="0"/>
        <w:rPr>
          <w:sz w:val="20"/>
          <w:szCs w:val="20"/>
          <w:color w:val="auto"/>
        </w:rPr>
      </w:pPr>
      <w:r>
        <w:rPr>
          <w:rFonts w:ascii="Arial" w:cs="Arial" w:eastAsia="Arial" w:hAnsi="Arial"/>
          <w:sz w:val="12"/>
          <w:szCs w:val="12"/>
          <w:color w:val="auto"/>
        </w:rPr>
        <w:t>Income before income taxes and losses of unconsolidated affiliate increased 6.7 percent to $42.0 million for the quarter ended January 31, 2022, compared to $39.4 million in the same quarter last year.</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Income Before Income Taxes Excluding Amortization* for the quarter ended January 31, 2022 was $45.8 million, an increase of 12.4 percent compared to the second quarter of last year.</w:t>
      </w:r>
    </w:p>
    <w:p>
      <w:pPr>
        <w:spacing w:after="0" w:line="58" w:lineRule="exact"/>
        <w:rPr>
          <w:sz w:val="20"/>
          <w:szCs w:val="20"/>
          <w:color w:val="auto"/>
        </w:rPr>
      </w:pPr>
    </w:p>
    <w:p>
      <w:pPr>
        <w:jc w:val="both"/>
        <w:ind w:firstLine="432"/>
        <w:spacing w:after="0" w:line="352" w:lineRule="auto"/>
        <w:rPr>
          <w:sz w:val="20"/>
          <w:szCs w:val="20"/>
          <w:color w:val="auto"/>
        </w:rPr>
      </w:pPr>
      <w:r>
        <w:rPr>
          <w:rFonts w:ascii="Arial" w:cs="Arial" w:eastAsia="Arial" w:hAnsi="Arial"/>
          <w:sz w:val="13"/>
          <w:szCs w:val="13"/>
          <w:color w:val="auto"/>
        </w:rPr>
        <w:t>Net income for the quarter ended January 31, 2022 was $33.8 million compared to $30.9 million in the same quarter last year. Earnings per diluted Class A Nonvoting Common Share were $0.65 for the second quarter of fiscal 2022, compared to $0.59 in the same quarter last year. Net Income Excluding Amortization* for the quarter ended January 31, 2022 was $36.7 million and Diluted EPS Excluding Amortization* for the quarter ended January 31, 2022 was $0.70.</w:t>
      </w:r>
    </w:p>
    <w:p>
      <w:pPr>
        <w:sectPr>
          <w:pgSz w:w="11900" w:h="16838" w:orient="portrait"/>
          <w:cols w:equalWidth="0" w:num="1">
            <w:col w:w="11300"/>
          </w:cols>
          <w:pgMar w:left="300" w:top="638" w:right="29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color w:val="auto"/>
        </w:rPr>
        <w:t>Six-Month Period Ended January 31, 2022 Financial Results:</w:t>
      </w:r>
    </w:p>
    <w:p>
      <w:pPr>
        <w:spacing w:after="0" w:line="53" w:lineRule="exact"/>
        <w:rPr>
          <w:sz w:val="20"/>
          <w:szCs w:val="20"/>
          <w:color w:val="auto"/>
        </w:rPr>
      </w:pPr>
    </w:p>
    <w:p>
      <w:pPr>
        <w:jc w:val="both"/>
        <w:ind w:firstLine="432"/>
        <w:spacing w:after="0" w:line="325" w:lineRule="auto"/>
        <w:rPr>
          <w:sz w:val="20"/>
          <w:szCs w:val="20"/>
          <w:color w:val="auto"/>
        </w:rPr>
      </w:pPr>
      <w:r>
        <w:rPr>
          <w:rFonts w:ascii="Arial" w:cs="Arial" w:eastAsia="Arial" w:hAnsi="Arial"/>
          <w:sz w:val="13"/>
          <w:szCs w:val="13"/>
          <w:color w:val="auto"/>
        </w:rPr>
        <w:t>Sales for the six-month period ended January 31, 2022 increased 17.8 percent, which consisted of an organic sales increase of 10.0 percent, an increase of 8.5 percent from acquisitions and a decrease of 0.7 percent from foreign currency translation. Sales for the six months ended January 31, 2022 were $639.5 million compared to $543.1 million in the same period last year. By segment, sales increased 25.8 percent in Identification Solutions and decreased 3.1 percent in Workplace Safety, which consisted of an organic sales increase of 14.6 percent in Identification Solutions and an organic sales decline of 2.0 percent in Workplace Safety.</w:t>
      </w:r>
    </w:p>
    <w:p>
      <w:pPr>
        <w:ind w:left="420"/>
        <w:spacing w:after="0"/>
        <w:rPr>
          <w:sz w:val="20"/>
          <w:szCs w:val="20"/>
          <w:color w:val="auto"/>
        </w:rPr>
      </w:pPr>
      <w:r>
        <w:rPr>
          <w:rFonts w:ascii="Arial" w:cs="Arial" w:eastAsia="Arial" w:hAnsi="Arial"/>
          <w:sz w:val="12"/>
          <w:szCs w:val="12"/>
          <w:color w:val="auto"/>
        </w:rPr>
        <w:t>Income before income taxes and losses of unconsolidated affiliate increased 6.3 percent to $86.7 million for the six months ended January 31, 2022, compared to $81.6 million in the same period last year.</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Income Before Income Taxes Excluding Amortization* for the six months ended January 31, 2022 was $94.3 million, an increase of 11.8 percent compared to the same period of last year.</w:t>
      </w:r>
    </w:p>
    <w:p>
      <w:pPr>
        <w:spacing w:after="0" w:line="58" w:lineRule="exact"/>
        <w:rPr>
          <w:sz w:val="20"/>
          <w:szCs w:val="20"/>
          <w:color w:val="auto"/>
        </w:rPr>
      </w:pPr>
    </w:p>
    <w:p>
      <w:pPr>
        <w:jc w:val="both"/>
        <w:ind w:firstLine="432"/>
        <w:spacing w:after="0" w:line="352" w:lineRule="auto"/>
        <w:rPr>
          <w:sz w:val="20"/>
          <w:szCs w:val="20"/>
          <w:color w:val="auto"/>
        </w:rPr>
      </w:pPr>
      <w:r>
        <w:rPr>
          <w:rFonts w:ascii="Arial" w:cs="Arial" w:eastAsia="Arial" w:hAnsi="Arial"/>
          <w:sz w:val="13"/>
          <w:szCs w:val="13"/>
          <w:color w:val="auto"/>
        </w:rPr>
        <w:t>Net income for the six-month period ended January 31, 2022 was $68.9 million compared to $64.3 million in the same period last year. Earnings per diluted Class A Nonvoting Common Share were $1.32 for the six months ended January 31, 2022, compared to $1.23 in the same period last year. Net Income Excluding Amortization* for the six months ended January 31, 2022 was $74.6 million and Diluted EPS Excluding Amortization* for the six months ended January 31, 2022 was $1.43.</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Commentary:</w:t>
      </w:r>
    </w:p>
    <w:p>
      <w:pPr>
        <w:spacing w:after="0" w:line="53" w:lineRule="exact"/>
        <w:rPr>
          <w:sz w:val="20"/>
          <w:szCs w:val="20"/>
          <w:color w:val="auto"/>
        </w:rPr>
      </w:pPr>
    </w:p>
    <w:p>
      <w:pPr>
        <w:jc w:val="both"/>
        <w:ind w:firstLine="432"/>
        <w:spacing w:after="0" w:line="368" w:lineRule="auto"/>
        <w:rPr>
          <w:sz w:val="20"/>
          <w:szCs w:val="20"/>
          <w:color w:val="auto"/>
        </w:rPr>
      </w:pPr>
      <w:r>
        <w:rPr>
          <w:rFonts w:ascii="Arial" w:cs="Arial" w:eastAsia="Arial" w:hAnsi="Arial"/>
          <w:sz w:val="12"/>
          <w:szCs w:val="12"/>
          <w:color w:val="auto"/>
        </w:rPr>
        <w:t>“We experienced very strong revenue growth of 19.6 percent this quarter and our investments in sales, marketing, and research and development, combined with our reinvigorated innovative spirit have set the stage for strong future growth. We are transforming Brady into a solution provider that is now growing in excess of GDP and is poised for future sales growth due to the strong foundation and positive momentum resulting from the many investments made over the last five-plus years,” said Brady’s President and Chief Executive Officer, J. Michael Nauman. “Our strong sales growth was driven by our Identification Solutions division which had total sales growth of 26.1 percent this quarter. The three acquisitions completed last year are performing at or above our initial expectations and are helping shift Brady into faster-growing end markets. Our Workplace Safety business returned to organic sales growth this quarter – returning to growth one quarter earlier than originally anticipated. We are experiencing inflation in many areas including wages, freight, utilities, and raw materials, which we expect to continue to pressure our gross profit margins in the short-term. We believe that these gross margin challenges are temporary and once our pricing and efficiency initiatives catch up to cost inflation, our strong sales growth and improved gross profit margins will drive solid bottom-line growth.”</w:t>
      </w:r>
    </w:p>
    <w:p>
      <w:pPr>
        <w:spacing w:after="0" w:line="4" w:lineRule="exact"/>
        <w:rPr>
          <w:sz w:val="20"/>
          <w:szCs w:val="20"/>
          <w:color w:val="auto"/>
        </w:rPr>
      </w:pPr>
    </w:p>
    <w:p>
      <w:pPr>
        <w:jc w:val="both"/>
        <w:ind w:firstLine="432"/>
        <w:spacing w:after="0" w:line="391" w:lineRule="auto"/>
        <w:rPr>
          <w:sz w:val="20"/>
          <w:szCs w:val="20"/>
          <w:color w:val="auto"/>
        </w:rPr>
      </w:pPr>
      <w:r>
        <w:rPr>
          <w:rFonts w:ascii="Arial" w:cs="Arial" w:eastAsia="Arial" w:hAnsi="Arial"/>
          <w:sz w:val="12"/>
          <w:szCs w:val="12"/>
          <w:color w:val="auto"/>
        </w:rPr>
        <w:t>“Brady is financially strong, is experiencing strong revenue growth, and continues to generate strong earnings. We grew sales nearly 20 percent and grew Diluted EPS Excluding Amortization* nearly 15 percent, which represents another very strong quarter,” said Brady’s Chief Financial Officer, Aaron Pearce. “This quarter, we returned $14.5 million to our shareholders in the form of dividends and share buybacks and over the first six months of this year, we returned a total of $45.0 million to our shareholders, which exemplifies our commitment to returning funds to our shareholders. We have a net cash balance of $64.4 million as of January 31, 2022. We believe that Brady’s strong second quarter revenue growth, improving earnings per share, and solid balance sheet position us well for future financial success.”</w:t>
      </w:r>
    </w:p>
    <w:p>
      <w:pPr>
        <w:sectPr>
          <w:pgSz w:w="11900" w:h="16838" w:orient="portrait"/>
          <w:cols w:equalWidth="0" w:num="1">
            <w:col w:w="11300"/>
          </w:cols>
          <w:pgMar w:left="300" w:top="665" w:right="29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t>Fiscal 2022 Guidance:</w:t>
      </w:r>
    </w:p>
    <w:p>
      <w:pPr>
        <w:spacing w:after="0" w:line="62" w:lineRule="exact"/>
        <w:rPr>
          <w:sz w:val="20"/>
          <w:szCs w:val="20"/>
          <w:color w:val="auto"/>
        </w:rPr>
      </w:pPr>
    </w:p>
    <w:p>
      <w:pPr>
        <w:jc w:val="both"/>
        <w:ind w:firstLine="432"/>
        <w:spacing w:after="0" w:line="343" w:lineRule="auto"/>
        <w:rPr>
          <w:sz w:val="20"/>
          <w:szCs w:val="20"/>
          <w:color w:val="auto"/>
        </w:rPr>
      </w:pPr>
      <w:r>
        <w:rPr>
          <w:rFonts w:ascii="Arial" w:cs="Arial" w:eastAsia="Arial" w:hAnsi="Arial"/>
          <w:sz w:val="13"/>
          <w:szCs w:val="13"/>
          <w:color w:val="auto"/>
        </w:rPr>
        <w:t>Brady’s organic revenue growth was 10.0% during the six months ended January 31, 2022, however, inflationary forces compressed Brady’s gross profit margin during this period. Brady expects these cost pressures to continue for at least the short-term before price increases and efficiency actions can fully offset these inflationary forces. As such, we are modifying our Diluted EPS Excluding Amortization* guidance from our original range of $3.12 to $3.32 per share to a range of $3.00 to $3.15 for the full year ending July 31, 2022, which includes a reduction of $0.05 due to the strengthening of the U.S. dollar versus other major currencies. This implies that we expect Diluted EPS Excluding Amortization, to improve by 9% to 15% for the full year ending July 31, 2022 when compared to the adjusted fiscal 2021 diluted earnings per share of $2.75. Also included in our full-year fiscal 2022 guidance are a full-year income tax rate of approximately 20 percent and depreciation and amortization expense ranging from $34 million to $36 million. Capital expenditures, excluding facility purchases are expected to range from $20 million to $25 million during the year ending July 31, 2022. The Company’s fiscal 2022 guidance is based on foreign currency exchange rates as of January 31, 2022 and assumes continued economic growth.</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A webcast regarding Brady’s fiscal 2022 second quarter financial results will be available at </w:t>
      </w:r>
      <w:r>
        <w:rPr>
          <w:rFonts w:ascii="Arial" w:cs="Arial" w:eastAsia="Arial" w:hAnsi="Arial"/>
          <w:sz w:val="13"/>
          <w:szCs w:val="13"/>
          <w:u w:val="single" w:color="auto"/>
          <w:color w:val="0000FF"/>
        </w:rPr>
        <w:t>www.bradycorp.com/investors</w:t>
      </w:r>
      <w:r>
        <w:rPr>
          <w:rFonts w:ascii="Arial" w:cs="Arial" w:eastAsia="Arial" w:hAnsi="Arial"/>
          <w:sz w:val="13"/>
          <w:szCs w:val="13"/>
          <w:color w:val="auto"/>
        </w:rPr>
        <w:t xml:space="preserve"> beginning at 9:30 a.m. central time today.</w:t>
      </w:r>
    </w:p>
    <w:p>
      <w:pPr>
        <w:spacing w:after="0" w:line="220" w:lineRule="exact"/>
        <w:rPr>
          <w:sz w:val="20"/>
          <w:szCs w:val="20"/>
          <w:color w:val="auto"/>
        </w:rPr>
      </w:pPr>
    </w:p>
    <w:p>
      <w:pPr>
        <w:jc w:val="both"/>
        <w:ind w:firstLine="432"/>
        <w:spacing w:after="0" w:line="349" w:lineRule="auto"/>
        <w:rPr>
          <w:sz w:val="20"/>
          <w:szCs w:val="20"/>
          <w:color w:val="auto"/>
        </w:rPr>
      </w:pPr>
      <w:r>
        <w:rPr>
          <w:rFonts w:ascii="Arial" w:cs="Arial" w:eastAsia="Arial" w:hAnsi="Arial"/>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2021, employed approximately 5,700 people in its worldwide businesses. Brady’s fiscal 2021 sales were approximately $1.14 billion. Brady stock trades on the New York Stock Exchange under the symbol BRC. More information is available on the Internet at </w:t>
      </w:r>
      <w:r>
        <w:rPr>
          <w:rFonts w:ascii="Arial" w:cs="Arial" w:eastAsia="Arial" w:hAnsi="Arial"/>
          <w:sz w:val="13"/>
          <w:szCs w:val="13"/>
          <w:u w:val="single" w:color="auto"/>
          <w:color w:val="0000FF"/>
        </w:rPr>
        <w:t>www.bradyid.com</w:t>
      </w:r>
      <w:r>
        <w:rPr>
          <w:rFonts w:ascii="Arial" w:cs="Arial" w:eastAsia="Arial" w:hAnsi="Arial"/>
          <w:sz w:val="13"/>
          <w:szCs w:val="13"/>
          <w:color w:val="auto"/>
        </w:rPr>
        <w:t>.</w:t>
      </w:r>
    </w:p>
    <w:p>
      <w:pPr>
        <w:spacing w:after="0" w:line="137" w:lineRule="exact"/>
        <w:rPr>
          <w:sz w:val="20"/>
          <w:szCs w:val="20"/>
          <w:color w:val="auto"/>
        </w:rPr>
      </w:pPr>
    </w:p>
    <w:p>
      <w:pPr>
        <w:ind w:right="20" w:firstLine="424"/>
        <w:spacing w:after="0" w:line="358" w:lineRule="auto"/>
        <w:tabs>
          <w:tab w:leader="none" w:pos="539"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Income Before Income Taxes Excluding Amortization, Net Income Excluding Amortization, and Diluted EPS Excluding Amortization are non-GAAP measures. See appendix for more information on these measures, including reconciliations to the most directly comparable GAAP measures.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194" w:lineRule="exact"/>
        <w:rPr>
          <w:sz w:val="20"/>
          <w:szCs w:val="20"/>
          <w:color w:val="auto"/>
        </w:rPr>
      </w:pPr>
    </w:p>
    <w:p>
      <w:pPr>
        <w:spacing w:after="0" w:line="245" w:lineRule="auto"/>
        <w:rPr>
          <w:sz w:val="20"/>
          <w:szCs w:val="20"/>
          <w:color w:val="auto"/>
        </w:rPr>
      </w:pPr>
      <w:r>
        <w:rPr>
          <w:rFonts w:ascii="Arial" w:cs="Arial" w:eastAsia="Arial" w:hAnsi="Arial"/>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59" w:lineRule="exact"/>
        <w:rPr>
          <w:sz w:val="20"/>
          <w:szCs w:val="20"/>
          <w:color w:val="auto"/>
        </w:rPr>
      </w:pPr>
    </w:p>
    <w:p>
      <w:pPr>
        <w:spacing w:after="0" w:line="264" w:lineRule="auto"/>
        <w:rPr>
          <w:sz w:val="20"/>
          <w:szCs w:val="20"/>
          <w:color w:val="auto"/>
        </w:rPr>
      </w:pPr>
      <w:r>
        <w:rPr>
          <w:rFonts w:ascii="Arial" w:cs="Arial" w:eastAsia="Arial" w:hAnsi="Arial"/>
          <w:sz w:val="11"/>
          <w:szCs w:val="11"/>
          <w:color w:val="auto"/>
        </w:rPr>
        <w:t>The use of words such as “may,” “will,” “expect,” “intend,” “estimate,” “anticipate,” “believe,” “should,” “project,” “continue”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2"/>
          <w:szCs w:val="12"/>
          <w:color w:val="auto"/>
        </w:rPr>
        <w:t>differ materially from those expressed or implied by such forward-looking statements. For Brady, uncertainties arise from: adverse impacts of the novel coronavirus (“COVID-19”) pandemic or other pandemics; decreased demand for our products; our ability to compete effectively or to successfully execute our strategy; increased cost of raw materials, labor and freight as well as raw material</w:t>
      </w:r>
    </w:p>
    <w:p>
      <w:pPr>
        <w:sectPr>
          <w:pgSz w:w="11900" w:h="16838" w:orient="portrait"/>
          <w:cols w:equalWidth="0" w:num="1">
            <w:col w:w="11300"/>
          </w:cols>
          <w:pgMar w:left="300" w:top="665" w:right="299" w:bottom="1440" w:gutter="0" w:footer="0" w:header="0"/>
        </w:sectPr>
      </w:pPr>
    </w:p>
    <w:bookmarkStart w:id="5" w:name="page6"/>
    <w:bookmarkEnd w:id="5"/>
    <w:p>
      <w:pPr>
        <w:jc w:val="both"/>
        <w:spacing w:after="0" w:line="226" w:lineRule="auto"/>
        <w:rPr>
          <w:sz w:val="20"/>
          <w:szCs w:val="20"/>
          <w:color w:val="auto"/>
        </w:rPr>
      </w:pPr>
      <w:r>
        <w:rPr>
          <w:rFonts w:ascii="Arial" w:cs="Arial" w:eastAsia="Arial" w:hAnsi="Arial"/>
          <w:sz w:val="12"/>
          <w:szCs w:val="12"/>
          <w:color w:val="auto"/>
        </w:rPr>
        <w:t>shortages; increased cost of raw materials, labor and freight as well as raw material shortages; Brady’s ability to properly identify, integrate, and grow acquired companies, and to manage contingent liabilities from divested businesses; difficulties in protecting our websites, networks, and systems against security breaches; risks associated with the loss of key employees; extensive regulations by U.S. and non-U.S. governmental and self-regulatory entities; litigation, including product liability claims; foreign currency fluctuations; potential write-offs of goodwill and other intangible assets; changes in tax legislation and tax rates; differing interests of voting and non-voting shareholders;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2021 and in any subsequent filings on Form 10-Q.</w:t>
      </w:r>
    </w:p>
    <w:p>
      <w:pPr>
        <w:spacing w:after="0" w:line="138" w:lineRule="exact"/>
        <w:rPr>
          <w:sz w:val="20"/>
          <w:szCs w:val="20"/>
          <w:color w:val="auto"/>
        </w:rPr>
      </w:pPr>
    </w:p>
    <w:p>
      <w:pPr>
        <w:spacing w:after="0"/>
        <w:rPr>
          <w:sz w:val="20"/>
          <w:szCs w:val="20"/>
          <w:color w:val="auto"/>
        </w:rPr>
      </w:pPr>
      <w:r>
        <w:rPr>
          <w:rFonts w:ascii="Arial" w:cs="Arial" w:eastAsia="Arial" w:hAnsi="Arial"/>
          <w:sz w:val="10"/>
          <w:szCs w:val="10"/>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35" w:right="299" w:bottom="1440" w:gutter="0" w:footer="0" w:header="0"/>
        </w:sectPr>
      </w:pPr>
    </w:p>
    <w:bookmarkStart w:id="6" w:name="page7"/>
    <w:bookmarkEnd w:id="6"/>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INCOME</w:t>
      </w:r>
    </w:p>
    <w:p>
      <w:pPr>
        <w:spacing w:after="0"/>
        <w:rPr>
          <w:sz w:val="20"/>
          <w:szCs w:val="20"/>
          <w:color w:val="auto"/>
        </w:rPr>
      </w:pPr>
      <w:r>
        <w:rPr>
          <w:rFonts w:ascii="Arial" w:cs="Arial" w:eastAsia="Arial" w:hAnsi="Arial"/>
          <w:sz w:val="11"/>
          <w:szCs w:val="11"/>
          <w:b w:val="1"/>
          <w:bCs w:val="1"/>
          <w:color w:val="auto"/>
        </w:rPr>
        <w:t>(Unaudited; Dollars in thousands,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1"/>
                <w:szCs w:val="11"/>
                <w:color w:val="auto"/>
              </w:rPr>
              <w:t>Three months ended January 31,</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Arial" w:cs="Arial" w:eastAsia="Arial" w:hAnsi="Arial"/>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2022</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1"/>
                <w:szCs w:val="11"/>
                <w:color w:val="auto"/>
              </w:rPr>
              <w:t>2021</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color w:val="auto"/>
              </w:rPr>
              <w:t>2022</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2021</w:t>
            </w:r>
          </w:p>
        </w:tc>
      </w:tr>
      <w:tr>
        <w:trPr>
          <w:trHeight w:val="135"/>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Net sales</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318,055</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265,838</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639,530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543,065</w:t>
            </w:r>
          </w:p>
        </w:tc>
      </w:tr>
      <w:tr>
        <w:trPr>
          <w:trHeight w:val="142"/>
        </w:trPr>
        <w:tc>
          <w:tcPr>
            <w:tcW w:w="55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168,693</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136,316</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335,180</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278,115</w:t>
            </w:r>
          </w:p>
        </w:tc>
      </w:tr>
      <w:tr>
        <w:trPr>
          <w:trHeight w:val="135"/>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149,362</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129,522</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304,350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264,950</w:t>
            </w:r>
          </w:p>
        </w:tc>
      </w:tr>
      <w:tr>
        <w:trPr>
          <w:trHeight w:val="142"/>
        </w:trPr>
        <w:tc>
          <w:tcPr>
            <w:tcW w:w="5580" w:type="dxa"/>
            <w:vAlign w:val="bottom"/>
          </w:tcPr>
          <w:p>
            <w:pPr>
              <w:spacing w:after="0"/>
              <w:rPr>
                <w:sz w:val="20"/>
                <w:szCs w:val="20"/>
                <w:color w:val="auto"/>
              </w:rPr>
            </w:pPr>
            <w:r>
              <w:rPr>
                <w:rFonts w:ascii="Arial" w:cs="Arial" w:eastAsia="Arial" w:hAnsi="Arial"/>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13,965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9,876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27,872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20,079</w:t>
            </w:r>
          </w:p>
        </w:tc>
      </w:tr>
      <w:tr>
        <w:trPr>
          <w:trHeight w:val="142"/>
        </w:trPr>
        <w:tc>
          <w:tcPr>
            <w:tcW w:w="558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Selling, general and administrative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92,525</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82,234</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189,271</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165,271</w:t>
            </w:r>
          </w:p>
        </w:tc>
      </w:tr>
      <w:tr>
        <w:trPr>
          <w:trHeight w:val="135"/>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Total operating expenses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106,490</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92,110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217,143</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185,350</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Operating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42,872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37,412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87,207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79,600</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Other (expense)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Arial" w:cs="Arial" w:eastAsia="Arial" w:hAnsi="Arial"/>
                <w:sz w:val="11"/>
                <w:szCs w:val="11"/>
                <w:color w:val="auto"/>
              </w:rPr>
              <w:t>Investment and other (expense) income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(578)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2,036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2,191</w:t>
            </w:r>
          </w:p>
        </w:tc>
      </w:tr>
      <w:tr>
        <w:trPr>
          <w:trHeight w:val="144"/>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(252)</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(434)</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(157)</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4"/>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Income before income taxes and losses of unconsolidated affiliate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42,042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39,397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86,738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81,634</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2"/>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Income tax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8,227</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8,206</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17,877</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16,788</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4"/>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Income before losses of unconsolidated affiliate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33,815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31,191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68,861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64,846</w:t>
            </w:r>
          </w:p>
        </w:tc>
      </w:tr>
      <w:tr>
        <w:trPr>
          <w:trHeight w:val="142"/>
        </w:trPr>
        <w:tc>
          <w:tcPr>
            <w:tcW w:w="5580" w:type="dxa"/>
            <w:vAlign w:val="bottom"/>
          </w:tcPr>
          <w:p>
            <w:pPr>
              <w:spacing w:after="0"/>
              <w:rPr>
                <w:sz w:val="20"/>
                <w:szCs w:val="20"/>
                <w:color w:val="auto"/>
              </w:rPr>
            </w:pPr>
            <w:r>
              <w:rPr>
                <w:rFonts w:ascii="Arial" w:cs="Arial" w:eastAsia="Arial" w:hAnsi="Arial"/>
                <w:sz w:val="11"/>
                <w:szCs w:val="11"/>
                <w:color w:val="auto"/>
              </w:rPr>
              <w:t>Equity in losses of unconsolidated affiliate</w:t>
            </w:r>
          </w:p>
        </w:tc>
        <w:tc>
          <w:tcPr>
            <w:tcW w:w="8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(505)</w:t>
            </w:r>
          </w:p>
        </w:tc>
      </w:tr>
      <w:tr>
        <w:trPr>
          <w:trHeight w:val="153"/>
        </w:trPr>
        <w:tc>
          <w:tcPr>
            <w:tcW w:w="55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60"/>
        </w:trPr>
        <w:tc>
          <w:tcPr>
            <w:tcW w:w="55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income</w:t>
            </w:r>
          </w:p>
        </w:tc>
        <w:tc>
          <w:tcPr>
            <w:tcW w:w="880" w:type="dxa"/>
            <w:vAlign w:val="bottom"/>
            <w:tcBorders>
              <w:bottom w:val="single" w:sz="8" w:color="auto"/>
            </w:tcBorders>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33,815</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30,860</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68,861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64,341</w:t>
            </w:r>
          </w:p>
        </w:tc>
      </w:tr>
      <w:tr>
        <w:trPr>
          <w:trHeight w:val="153"/>
        </w:trPr>
        <w:tc>
          <w:tcPr>
            <w:tcW w:w="55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42"/>
        </w:trPr>
        <w:tc>
          <w:tcPr>
            <w:tcW w:w="5580" w:type="dxa"/>
            <w:vAlign w:val="bottom"/>
          </w:tcPr>
          <w:p>
            <w:pPr>
              <w:spacing w:after="0"/>
              <w:rPr>
                <w:sz w:val="20"/>
                <w:szCs w:val="20"/>
                <w:color w:val="auto"/>
              </w:rPr>
            </w:pPr>
            <w:r>
              <w:rPr>
                <w:rFonts w:ascii="Arial" w:cs="Arial" w:eastAsia="Arial" w:hAnsi="Arial"/>
                <w:sz w:val="11"/>
                <w:szCs w:val="11"/>
                <w:color w:val="auto"/>
              </w:rPr>
              <w:t>Net income per Class A Nonvoting Common Share:</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w:t>
            </w:r>
          </w:p>
        </w:tc>
      </w:tr>
      <w:tr>
        <w:trPr>
          <w:trHeight w:val="142"/>
        </w:trPr>
        <w:tc>
          <w:tcPr>
            <w:tcW w:w="5580" w:type="dxa"/>
            <w:vAlign w:val="bottom"/>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0.65</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0.59</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1.32</w:t>
            </w:r>
          </w:p>
        </w:tc>
        <w:tc>
          <w:tcPr>
            <w:tcW w:w="100" w:type="dxa"/>
            <w:vAlign w:val="bottom"/>
          </w:tcPr>
          <w:p>
            <w:pPr>
              <w:spacing w:after="0"/>
              <w:rPr>
                <w:sz w:val="12"/>
                <w:szCs w:val="12"/>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1.23</w:t>
            </w:r>
          </w:p>
        </w:tc>
      </w:tr>
      <w:tr>
        <w:trPr>
          <w:trHeight w:val="173"/>
        </w:trPr>
        <w:tc>
          <w:tcPr>
            <w:tcW w:w="5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42"/>
        </w:trPr>
        <w:tc>
          <w:tcPr>
            <w:tcW w:w="5580" w:type="dxa"/>
            <w:vAlign w:val="bottom"/>
          </w:tcPr>
          <w:p>
            <w:pPr>
              <w:spacing w:after="0"/>
              <w:rPr>
                <w:sz w:val="20"/>
                <w:szCs w:val="20"/>
                <w:color w:val="auto"/>
              </w:rPr>
            </w:pPr>
            <w:r>
              <w:rPr>
                <w:rFonts w:ascii="Arial" w:cs="Arial" w:eastAsia="Arial" w:hAnsi="Arial"/>
                <w:sz w:val="11"/>
                <w:szCs w:val="11"/>
                <w:color w:val="auto"/>
              </w:rPr>
              <w:t>Net income per Class B Voting Common Share:</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w:t>
            </w:r>
          </w:p>
        </w:tc>
      </w:tr>
      <w:tr>
        <w:trPr>
          <w:trHeight w:val="142"/>
        </w:trPr>
        <w:tc>
          <w:tcPr>
            <w:tcW w:w="5580" w:type="dxa"/>
            <w:vAlign w:val="bottom"/>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0.65</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0.59</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2"/>
                <w:szCs w:val="12"/>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1.21</w:t>
            </w:r>
          </w:p>
        </w:tc>
      </w:tr>
      <w:tr>
        <w:trPr>
          <w:trHeight w:val="173"/>
        </w:trPr>
        <w:tc>
          <w:tcPr>
            <w:tcW w:w="5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42"/>
        </w:trPr>
        <w:tc>
          <w:tcPr>
            <w:tcW w:w="5580" w:type="dxa"/>
            <w:vAlign w:val="bottom"/>
          </w:tcPr>
          <w:p>
            <w:pPr>
              <w:spacing w:after="0"/>
              <w:rPr>
                <w:sz w:val="20"/>
                <w:szCs w:val="20"/>
                <w:color w:val="auto"/>
              </w:rPr>
            </w:pPr>
            <w:r>
              <w:rPr>
                <w:rFonts w:ascii="Arial" w:cs="Arial" w:eastAsia="Arial" w:hAnsi="Arial"/>
                <w:sz w:val="11"/>
                <w:szCs w:val="11"/>
                <w:color w:val="auto"/>
              </w:rPr>
              <w:t>Weighted average common shares outstanding:</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51,800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52,018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51,887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52,020</w:t>
            </w:r>
          </w:p>
        </w:tc>
      </w:tr>
      <w:tr>
        <w:trPr>
          <w:trHeight w:val="140"/>
        </w:trPr>
        <w:tc>
          <w:tcPr>
            <w:tcW w:w="5580" w:type="dxa"/>
            <w:vAlign w:val="bottom"/>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52,162</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52,282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52,299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52,288</w:t>
            </w:r>
          </w:p>
        </w:tc>
      </w:tr>
    </w:tbl>
    <w:p>
      <w:pPr>
        <w:sectPr>
          <w:pgSz w:w="11900" w:h="16838" w:orient="portrait"/>
          <w:cols w:equalWidth="0" w:num="1">
            <w:col w:w="11300"/>
          </w:cols>
          <w:pgMar w:left="300" w:top="562" w:right="299" w:bottom="1440" w:gutter="0" w:footer="0" w:header="0"/>
        </w:sectPr>
      </w:pPr>
    </w:p>
    <w:bookmarkStart w:id="7" w:name="page8"/>
    <w:bookmarkEnd w:id="7"/>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BALANCE SHEETS</w:t>
      </w:r>
    </w:p>
    <w:p>
      <w:pPr>
        <w:spacing w:after="0"/>
        <w:rPr>
          <w:sz w:val="20"/>
          <w:szCs w:val="20"/>
          <w:color w:val="auto"/>
        </w:rPr>
      </w:pPr>
      <w:r>
        <w:rPr>
          <w:rFonts w:ascii="Arial" w:cs="Arial" w:eastAsia="Arial" w:hAnsi="Arial"/>
          <w:sz w:val="11"/>
          <w:szCs w:val="11"/>
          <w:b w:val="1"/>
          <w:bCs w:val="1"/>
          <w:color w:val="auto"/>
        </w:rPr>
        <w:t>(Dollars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126"/>
              <w:spacing w:after="0"/>
              <w:rPr>
                <w:sz w:val="20"/>
                <w:szCs w:val="20"/>
                <w:color w:val="auto"/>
              </w:rPr>
            </w:pPr>
            <w:r>
              <w:rPr>
                <w:rFonts w:ascii="Arial" w:cs="Arial" w:eastAsia="Arial" w:hAnsi="Arial"/>
                <w:sz w:val="11"/>
                <w:szCs w:val="11"/>
                <w:color w:val="auto"/>
                <w:w w:val="87"/>
              </w:rPr>
              <w:t>January 31, 2022</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July 31, 2021</w:t>
            </w:r>
          </w:p>
        </w:tc>
      </w:tr>
      <w:tr>
        <w:trPr>
          <w:trHeight w:val="133"/>
        </w:trPr>
        <w:tc>
          <w:tcPr>
            <w:tcW w:w="3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1"/>
                <w:szCs w:val="11"/>
                <w:color w:val="auto"/>
                <w:w w:val="90"/>
              </w:rPr>
              <w:t>(Unaudited)</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26"/>
        </w:trPr>
        <w:tc>
          <w:tcPr>
            <w:tcW w:w="30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40" w:type="dxa"/>
            <w:vAlign w:val="bottom"/>
            <w:gridSpan w:val="3"/>
            <w:shd w:val="clear" w:color="auto" w:fill="CCEEFF"/>
          </w:tcPr>
          <w:p>
            <w:pPr>
              <w:jc w:val="center"/>
              <w:ind w:right="4040"/>
              <w:spacing w:after="0" w:line="119" w:lineRule="exact"/>
              <w:rPr>
                <w:sz w:val="20"/>
                <w:szCs w:val="20"/>
                <w:color w:val="auto"/>
              </w:rPr>
            </w:pPr>
            <w:r>
              <w:rPr>
                <w:rFonts w:ascii="Arial" w:cs="Arial" w:eastAsia="Arial" w:hAnsi="Arial"/>
                <w:sz w:val="11"/>
                <w:szCs w:val="11"/>
                <w:b w:val="1"/>
                <w:bCs w:val="1"/>
                <w:color w:val="auto"/>
                <w:w w:val="90"/>
              </w:rPr>
              <w:t>ASSETS</w:t>
            </w: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42"/>
        </w:trPr>
        <w:tc>
          <w:tcPr>
            <w:tcW w:w="4040" w:type="dxa"/>
            <w:vAlign w:val="bottom"/>
            <w:tcBorders>
              <w:top w:val="single" w:sz="8" w:color="CCEEFF"/>
            </w:tcBorders>
            <w:gridSpan w:val="2"/>
          </w:tcPr>
          <w:p>
            <w:pPr>
              <w:spacing w:after="0"/>
              <w:rPr>
                <w:sz w:val="20"/>
                <w:szCs w:val="20"/>
                <w:color w:val="auto"/>
              </w:rPr>
            </w:pPr>
            <w:r>
              <w:rPr>
                <w:rFonts w:ascii="Arial" w:cs="Arial" w:eastAsia="Arial" w:hAnsi="Arial"/>
                <w:sz w:val="11"/>
                <w:szCs w:val="11"/>
                <w:color w:val="auto"/>
              </w:rPr>
              <w:t>Current assets:</w:t>
            </w:r>
          </w:p>
        </w:tc>
        <w:tc>
          <w:tcPr>
            <w:tcW w:w="400" w:type="dxa"/>
            <w:vAlign w:val="bottom"/>
            <w:tcBorders>
              <w:top w:val="single" w:sz="8" w:color="auto"/>
            </w:tcBorders>
          </w:tcPr>
          <w:p>
            <w:pPr>
              <w:spacing w:after="0"/>
              <w:rPr>
                <w:sz w:val="12"/>
                <w:szCs w:val="12"/>
                <w:color w:val="auto"/>
              </w:rPr>
            </w:pPr>
          </w:p>
        </w:tc>
        <w:tc>
          <w:tcPr>
            <w:tcW w:w="4040" w:type="dxa"/>
            <w:vAlign w:val="bottom"/>
            <w:tcBorders>
              <w:top w:val="single" w:sz="8" w:color="CCEEFF"/>
            </w:tcBorders>
            <w:gridSpan w:val="2"/>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Cash and cash equivalents</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147,407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147,335</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Accounts receivable, net of allowance for credit losses of $7,868 and $7,306, respectively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172,471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170,579</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Inventories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167,456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136,107</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Arial" w:cs="Arial" w:eastAsia="Arial" w:hAnsi="Arial"/>
                <w:sz w:val="11"/>
                <w:szCs w:val="11"/>
                <w:color w:val="auto"/>
              </w:rPr>
              <w:t>Prepaid expenses and other current assets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12,681</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11,083</w:t>
            </w:r>
          </w:p>
        </w:tc>
      </w:tr>
      <w:tr>
        <w:trPr>
          <w:trHeight w:val="135"/>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current assets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500,015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465,104</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Property, plant and equipment—net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126,551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121,741</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Goodwill</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601,681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614,137</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Other intangible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83,608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92,334</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Deferred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15,234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16,343</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Operating lease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33,710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41,880</w:t>
            </w:r>
          </w:p>
        </w:tc>
      </w:tr>
      <w:tr>
        <w:trPr>
          <w:trHeight w:val="144"/>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Other assets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26,264</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26,217</w:t>
            </w:r>
          </w:p>
        </w:tc>
      </w:tr>
      <w:tr>
        <w:trPr>
          <w:trHeight w:val="151"/>
        </w:trPr>
        <w:tc>
          <w:tcPr>
            <w:tcW w:w="8480" w:type="dxa"/>
            <w:vAlign w:val="bottom"/>
            <w:tcBorders>
              <w:bottom w:val="single" w:sz="8" w:color="CCEEFF"/>
            </w:tcBorders>
            <w:gridSpan w:val="5"/>
          </w:tcPr>
          <w:p>
            <w:pPr>
              <w:spacing w:after="0"/>
              <w:rPr>
                <w:sz w:val="20"/>
                <w:szCs w:val="20"/>
                <w:color w:val="auto"/>
              </w:rPr>
            </w:pPr>
            <w:r>
              <w:rPr>
                <w:rFonts w:ascii="Arial" w:cs="Arial" w:eastAsia="Arial" w:hAnsi="Arial"/>
                <w:sz w:val="11"/>
                <w:szCs w:val="11"/>
                <w:color w:val="auto"/>
              </w:rPr>
              <w:t>Total</w:t>
            </w: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1,387,063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1,377,756</w:t>
            </w:r>
          </w:p>
        </w:tc>
      </w:tr>
      <w:tr>
        <w:trPr>
          <w:trHeight w:val="106"/>
        </w:trPr>
        <w:tc>
          <w:tcPr>
            <w:tcW w:w="3060" w:type="dxa"/>
            <w:vAlign w:val="bottom"/>
            <w:tcBorders>
              <w:bottom w:val="single" w:sz="8" w:color="CCEEFF"/>
            </w:tcBorders>
            <w:shd w:val="clear" w:color="auto" w:fill="CCEEFF"/>
          </w:tcPr>
          <w:p>
            <w:pPr>
              <w:spacing w:after="0"/>
              <w:rPr>
                <w:sz w:val="9"/>
                <w:szCs w:val="9"/>
                <w:color w:val="auto"/>
              </w:rPr>
            </w:pPr>
          </w:p>
        </w:tc>
        <w:tc>
          <w:tcPr>
            <w:tcW w:w="2360" w:type="dxa"/>
            <w:vAlign w:val="bottom"/>
            <w:tcBorders>
              <w:bottom w:val="single" w:sz="8" w:color="auto"/>
            </w:tcBorders>
            <w:gridSpan w:val="3"/>
            <w:shd w:val="clear" w:color="auto" w:fill="CCEEFF"/>
          </w:tcPr>
          <w:p>
            <w:pPr>
              <w:jc w:val="center"/>
              <w:spacing w:after="0" w:line="99" w:lineRule="exact"/>
              <w:rPr>
                <w:sz w:val="20"/>
                <w:szCs w:val="20"/>
                <w:color w:val="auto"/>
              </w:rPr>
            </w:pPr>
            <w:r>
              <w:rPr>
                <w:rFonts w:ascii="Arial" w:cs="Arial" w:eastAsia="Arial" w:hAnsi="Arial"/>
                <w:sz w:val="11"/>
                <w:szCs w:val="11"/>
                <w:b w:val="1"/>
                <w:bCs w:val="1"/>
                <w:color w:val="auto"/>
              </w:rPr>
              <w:t>LIABILITIES AND STOCKHOLDERS’ EQUITY</w:t>
            </w:r>
          </w:p>
        </w:tc>
        <w:tc>
          <w:tcPr>
            <w:tcW w:w="306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Current liabilities: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Accounts payable</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80,611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82,152</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Accrued compensation and benefits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56,510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81,173</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Taxes, other than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12,141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13,054</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Accrued income taxes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4,783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3,915</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Current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16,601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17,667</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Arial" w:cs="Arial" w:eastAsia="Arial" w:hAnsi="Arial"/>
                <w:sz w:val="11"/>
                <w:szCs w:val="11"/>
                <w:color w:val="auto"/>
              </w:rPr>
              <w:t>Other current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56,850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59,623</w:t>
            </w:r>
          </w:p>
        </w:tc>
      </w:tr>
      <w:tr>
        <w:trPr>
          <w:trHeight w:val="135"/>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current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227,496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257,584</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Long-term debt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83,000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38,000</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Long-term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20,341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28,347</w:t>
            </w:r>
          </w:p>
        </w:tc>
      </w:tr>
      <w:tr>
        <w:trPr>
          <w:trHeight w:val="142"/>
        </w:trPr>
        <w:tc>
          <w:tcPr>
            <w:tcW w:w="8480" w:type="dxa"/>
            <w:vAlign w:val="bottom"/>
            <w:tcBorders>
              <w:bottom w:val="single" w:sz="8" w:color="CCEEFF"/>
            </w:tcBorders>
            <w:gridSpan w:val="5"/>
          </w:tcPr>
          <w:p>
            <w:pPr>
              <w:spacing w:after="0"/>
              <w:rPr>
                <w:sz w:val="20"/>
                <w:szCs w:val="20"/>
                <w:color w:val="auto"/>
              </w:rPr>
            </w:pPr>
            <w:r>
              <w:rPr>
                <w:rFonts w:ascii="Arial" w:cs="Arial" w:eastAsia="Arial" w:hAnsi="Arial"/>
                <w:sz w:val="11"/>
                <w:szCs w:val="11"/>
                <w:color w:val="auto"/>
              </w:rPr>
              <w:t>Other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89,658</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90,797</w:t>
            </w:r>
          </w:p>
        </w:tc>
      </w:tr>
      <w:tr>
        <w:trPr>
          <w:trHeight w:val="135"/>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420,495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414,728</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Stockholders’ equity:</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Common stock:</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2"/>
        </w:trPr>
        <w:tc>
          <w:tcPr>
            <w:tcW w:w="8480" w:type="dxa"/>
            <w:vAlign w:val="bottom"/>
            <w:gridSpan w:val="5"/>
          </w:tcPr>
          <w:p>
            <w:pPr>
              <w:ind w:left="360"/>
              <w:spacing w:after="0"/>
              <w:rPr>
                <w:sz w:val="20"/>
                <w:szCs w:val="20"/>
                <w:color w:val="auto"/>
              </w:rPr>
            </w:pPr>
            <w:r>
              <w:rPr>
                <w:rFonts w:ascii="Arial" w:cs="Arial" w:eastAsia="Arial" w:hAnsi="Arial"/>
                <w:sz w:val="11"/>
                <w:szCs w:val="11"/>
                <w:color w:val="auto"/>
              </w:rPr>
              <w:t>Class A nonvoting common stock—Issued 51,261,487 shares, and outstanding 48,243,347 and 48,528,245 shares, respectively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513</w:t>
            </w:r>
          </w:p>
        </w:tc>
      </w:tr>
      <w:tr>
        <w:trPr>
          <w:trHeight w:val="146"/>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Class B voting common stock—Issued and outstanding, 3,538,628 shares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Additional paid-in capital</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341,889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339,125</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Retained earnings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833,981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788,369</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Treasury stock—3,018,140 and 2,733,242 shares, respectively of Class A nonvoting common stock, at cost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(130,911)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(109,061)</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Accumulated other comprehensive loss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(78,939)</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(55,953)</w:t>
            </w:r>
          </w:p>
        </w:tc>
      </w:tr>
      <w:tr>
        <w:trPr>
          <w:trHeight w:val="131"/>
        </w:trPr>
        <w:tc>
          <w:tcPr>
            <w:tcW w:w="8480" w:type="dxa"/>
            <w:vAlign w:val="bottom"/>
            <w:tcBorders>
              <w:bottom w:val="single" w:sz="8" w:color="CCEEFF"/>
            </w:tcBorders>
            <w:gridSpan w:val="5"/>
          </w:tcPr>
          <w:p>
            <w:pPr>
              <w:ind w:left="360"/>
              <w:spacing w:after="0"/>
              <w:rPr>
                <w:sz w:val="20"/>
                <w:szCs w:val="20"/>
                <w:color w:val="auto"/>
              </w:rPr>
            </w:pPr>
            <w:r>
              <w:rPr>
                <w:rFonts w:ascii="Arial" w:cs="Arial" w:eastAsia="Arial" w:hAnsi="Arial"/>
                <w:sz w:val="11"/>
                <w:szCs w:val="11"/>
                <w:color w:val="auto"/>
              </w:rPr>
              <w:t>Total stockholders’ equity</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966,568</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963,028</w:t>
            </w:r>
          </w:p>
        </w:tc>
      </w:tr>
      <w:tr>
        <w:trPr>
          <w:trHeight w:val="151"/>
        </w:trPr>
        <w:tc>
          <w:tcPr>
            <w:tcW w:w="84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1"/>
                <w:szCs w:val="11"/>
                <w:color w:val="auto"/>
              </w:rPr>
              <w:t>Total</w:t>
            </w: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1,387,063</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1,377,756</w:t>
            </w:r>
          </w:p>
        </w:tc>
      </w:tr>
    </w:tbl>
    <w:p>
      <w:pPr>
        <w:sectPr>
          <w:pgSz w:w="11900" w:h="16838" w:orient="portrait"/>
          <w:cols w:equalWidth="0" w:num="1">
            <w:col w:w="11300"/>
          </w:cols>
          <w:pgMar w:left="300" w:top="562" w:right="299" w:bottom="1440" w:gutter="0" w:footer="0" w:header="0"/>
        </w:sectPr>
      </w:pPr>
    </w:p>
    <w:bookmarkStart w:id="8" w:name="page9"/>
    <w:bookmarkEnd w:id="8"/>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CASH FLOWS</w:t>
      </w: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1"/>
                <w:szCs w:val="11"/>
                <w:color w:val="auto"/>
              </w:rPr>
              <w:t>Six months ended January 31,</w:t>
            </w:r>
          </w:p>
        </w:tc>
        <w:tc>
          <w:tcPr>
            <w:tcW w:w="48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2022</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color w:val="auto"/>
              </w:rPr>
              <w:t>2021</w:t>
            </w:r>
          </w:p>
        </w:tc>
        <w:tc>
          <w:tcPr>
            <w:tcW w:w="480" w:type="dxa"/>
            <w:vAlign w:val="bottom"/>
            <w:tcBorders>
              <w:bottom w:val="single" w:sz="8" w:color="auto"/>
            </w:tcBorders>
          </w:tcPr>
          <w:p>
            <w:pPr>
              <w:spacing w:after="0"/>
              <w:rPr>
                <w:sz w:val="11"/>
                <w:szCs w:val="11"/>
                <w:color w:val="auto"/>
              </w:rPr>
            </w:pPr>
          </w:p>
        </w:tc>
      </w:tr>
      <w:tr>
        <w:trPr>
          <w:trHeight w:val="126"/>
        </w:trPr>
        <w:tc>
          <w:tcPr>
            <w:tcW w:w="8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Operating activities:</w:t>
            </w: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2"/>
        </w:trPr>
        <w:tc>
          <w:tcPr>
            <w:tcW w:w="8480" w:type="dxa"/>
            <w:vAlign w:val="bottom"/>
          </w:tcPr>
          <w:p>
            <w:pPr>
              <w:ind w:left="220"/>
              <w:spacing w:after="0"/>
              <w:rPr>
                <w:sz w:val="20"/>
                <w:szCs w:val="20"/>
                <w:color w:val="auto"/>
              </w:rPr>
            </w:pPr>
            <w:r>
              <w:rPr>
                <w:rFonts w:ascii="Arial" w:cs="Arial" w:eastAsia="Arial" w:hAnsi="Arial"/>
                <w:sz w:val="11"/>
                <w:szCs w:val="11"/>
                <w:color w:val="auto"/>
              </w:rPr>
              <w:t>Net income</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68,861</w:t>
            </w:r>
          </w:p>
        </w:tc>
        <w:tc>
          <w:tcPr>
            <w:tcW w:w="100" w:type="dxa"/>
            <w:vAlign w:val="bottom"/>
          </w:tcPr>
          <w:p>
            <w:pPr>
              <w:spacing w:after="0"/>
              <w:rPr>
                <w:sz w:val="12"/>
                <w:szCs w:val="12"/>
                <w:color w:val="auto"/>
              </w:rPr>
            </w:pP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64,341</w:t>
            </w:r>
          </w:p>
        </w:tc>
      </w:tr>
      <w:tr>
        <w:trPr>
          <w:trHeight w:val="146"/>
        </w:trPr>
        <w:tc>
          <w:tcPr>
            <w:tcW w:w="84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Depreciation and amortization</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16,996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11,421</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Stock-based compensation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7,170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5,471</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Deferred income taxes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(788)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(3,866)</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Equity in losses of unconsolidated affiliate</w:t>
            </w:r>
          </w:p>
        </w:tc>
        <w:tc>
          <w:tcPr>
            <w:tcW w:w="8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505</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Other</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(812)</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121</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Changes in operating assets and liabilities: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740"/>
              <w:spacing w:after="0"/>
              <w:rPr>
                <w:sz w:val="20"/>
                <w:szCs w:val="20"/>
                <w:color w:val="auto"/>
              </w:rPr>
            </w:pPr>
            <w:r>
              <w:rPr>
                <w:rFonts w:ascii="Arial" w:cs="Arial" w:eastAsia="Arial" w:hAnsi="Arial"/>
                <w:sz w:val="11"/>
                <w:szCs w:val="11"/>
                <w:color w:val="auto"/>
              </w:rPr>
              <w:t>Accounts receivable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(7,216)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(4,157)</w:t>
            </w:r>
          </w:p>
        </w:tc>
      </w:tr>
      <w:tr>
        <w:trPr>
          <w:trHeight w:val="146"/>
        </w:trPr>
        <w:tc>
          <w:tcPr>
            <w:tcW w:w="8480" w:type="dxa"/>
            <w:vAlign w:val="bottom"/>
            <w:shd w:val="clear" w:color="auto" w:fill="CCEEFF"/>
          </w:tcPr>
          <w:p>
            <w:pPr>
              <w:ind w:left="740"/>
              <w:spacing w:after="0"/>
              <w:rPr>
                <w:sz w:val="20"/>
                <w:szCs w:val="20"/>
                <w:color w:val="auto"/>
              </w:rPr>
            </w:pPr>
            <w:r>
              <w:rPr>
                <w:rFonts w:ascii="Arial" w:cs="Arial" w:eastAsia="Arial" w:hAnsi="Arial"/>
                <w:sz w:val="11"/>
                <w:szCs w:val="11"/>
                <w:color w:val="auto"/>
              </w:rPr>
              <w:t>Inventories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(34,360)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15,018</w:t>
            </w:r>
          </w:p>
        </w:tc>
      </w:tr>
      <w:tr>
        <w:trPr>
          <w:trHeight w:val="142"/>
        </w:trPr>
        <w:tc>
          <w:tcPr>
            <w:tcW w:w="8480" w:type="dxa"/>
            <w:vAlign w:val="bottom"/>
          </w:tcPr>
          <w:p>
            <w:pPr>
              <w:ind w:left="740"/>
              <w:spacing w:after="0"/>
              <w:rPr>
                <w:sz w:val="20"/>
                <w:szCs w:val="20"/>
                <w:color w:val="auto"/>
              </w:rPr>
            </w:pPr>
            <w:r>
              <w:rPr>
                <w:rFonts w:ascii="Arial" w:cs="Arial" w:eastAsia="Arial" w:hAnsi="Arial"/>
                <w:sz w:val="11"/>
                <w:szCs w:val="11"/>
                <w:color w:val="auto"/>
              </w:rPr>
              <w:t>Prepaid expenses and other assets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(1,148)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(2,436)</w:t>
            </w:r>
          </w:p>
        </w:tc>
      </w:tr>
      <w:tr>
        <w:trPr>
          <w:trHeight w:val="146"/>
        </w:trPr>
        <w:tc>
          <w:tcPr>
            <w:tcW w:w="8480" w:type="dxa"/>
            <w:vAlign w:val="bottom"/>
            <w:shd w:val="clear" w:color="auto" w:fill="CCEEFF"/>
          </w:tcPr>
          <w:p>
            <w:pPr>
              <w:ind w:left="740"/>
              <w:spacing w:after="0"/>
              <w:rPr>
                <w:sz w:val="20"/>
                <w:szCs w:val="20"/>
                <w:color w:val="auto"/>
              </w:rPr>
            </w:pPr>
            <w:r>
              <w:rPr>
                <w:rFonts w:ascii="Arial" w:cs="Arial" w:eastAsia="Arial" w:hAnsi="Arial"/>
                <w:sz w:val="11"/>
                <w:szCs w:val="11"/>
                <w:color w:val="auto"/>
              </w:rPr>
              <w:t>Accounts payable and accrued liabilities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(25,357)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11,990</w:t>
            </w:r>
          </w:p>
        </w:tc>
      </w:tr>
      <w:tr>
        <w:trPr>
          <w:trHeight w:val="142"/>
        </w:trPr>
        <w:tc>
          <w:tcPr>
            <w:tcW w:w="8480" w:type="dxa"/>
            <w:vAlign w:val="bottom"/>
            <w:tcBorders>
              <w:bottom w:val="single" w:sz="8" w:color="CCEEFF"/>
            </w:tcBorders>
          </w:tcPr>
          <w:p>
            <w:pPr>
              <w:ind w:left="740"/>
              <w:spacing w:after="0"/>
              <w:rPr>
                <w:sz w:val="20"/>
                <w:szCs w:val="20"/>
                <w:color w:val="auto"/>
              </w:rPr>
            </w:pPr>
            <w:r>
              <w:rPr>
                <w:rFonts w:ascii="Arial" w:cs="Arial" w:eastAsia="Arial" w:hAnsi="Arial"/>
                <w:sz w:val="11"/>
                <w:szCs w:val="11"/>
                <w:color w:val="auto"/>
              </w:rPr>
              <w:t>Income taxes</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982</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481</w:t>
            </w:r>
          </w:p>
        </w:tc>
      </w:tr>
      <w:tr>
        <w:trPr>
          <w:trHeight w:val="135"/>
        </w:trPr>
        <w:tc>
          <w:tcPr>
            <w:tcW w:w="8480" w:type="dxa"/>
            <w:vAlign w:val="bottom"/>
            <w:shd w:val="clear" w:color="auto" w:fill="CCEEFF"/>
          </w:tcPr>
          <w:p>
            <w:pPr>
              <w:ind w:left="1000"/>
              <w:spacing w:after="0" w:line="122" w:lineRule="exact"/>
              <w:rPr>
                <w:sz w:val="20"/>
                <w:szCs w:val="20"/>
                <w:color w:val="auto"/>
              </w:rPr>
            </w:pPr>
            <w:r>
              <w:rPr>
                <w:rFonts w:ascii="Arial" w:cs="Arial" w:eastAsia="Arial" w:hAnsi="Arial"/>
                <w:sz w:val="11"/>
                <w:szCs w:val="11"/>
                <w:color w:val="auto"/>
              </w:rPr>
              <w:t>Net cash provided by operating activities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24,328</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98,889</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Investing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Purchases of property, plant and equipment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(16,440)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(14,511)</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(1,881)</w:t>
            </w:r>
          </w:p>
        </w:tc>
      </w:tr>
      <w:tr>
        <w:trPr>
          <w:trHeight w:val="131"/>
        </w:trPr>
        <w:tc>
          <w:tcPr>
            <w:tcW w:w="8480" w:type="dxa"/>
            <w:vAlign w:val="bottom"/>
          </w:tcPr>
          <w:p>
            <w:pPr>
              <w:ind w:left="1000"/>
              <w:spacing w:after="0" w:line="120" w:lineRule="exact"/>
              <w:rPr>
                <w:sz w:val="20"/>
                <w:szCs w:val="20"/>
                <w:color w:val="auto"/>
              </w:rPr>
            </w:pPr>
            <w:r>
              <w:rPr>
                <w:rFonts w:ascii="Arial" w:cs="Arial" w:eastAsia="Arial" w:hAnsi="Arial"/>
                <w:sz w:val="11"/>
                <w:szCs w:val="11"/>
                <w:color w:val="auto"/>
              </w:rPr>
              <w:t>Net cash used in investing activities</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(16,381)</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(16,392)</w:t>
            </w:r>
          </w:p>
        </w:tc>
      </w:tr>
      <w:tr>
        <w:trPr>
          <w:trHeight w:val="173"/>
        </w:trPr>
        <w:tc>
          <w:tcPr>
            <w:tcW w:w="8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Financing activities: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Payment of dividends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(23,249)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(22,837)</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Proceeds from exercise of stock options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374</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471</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Payments for employee taxes withheld from stock-based awards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(5,025)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(2,638)</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Purchase of treasury stock</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(21,720)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(3,593)</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Proceeds from borrowing on credit facilities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131,216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19,957</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Repayment of borrowing on credit facilities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(86,216)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(20,220)</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115</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w:t>
            </w:r>
          </w:p>
        </w:tc>
      </w:tr>
      <w:tr>
        <w:trPr>
          <w:trHeight w:val="131"/>
        </w:trPr>
        <w:tc>
          <w:tcPr>
            <w:tcW w:w="8480" w:type="dxa"/>
            <w:vAlign w:val="bottom"/>
          </w:tcPr>
          <w:p>
            <w:pPr>
              <w:ind w:left="1000"/>
              <w:spacing w:after="0" w:line="120" w:lineRule="exact"/>
              <w:rPr>
                <w:sz w:val="20"/>
                <w:szCs w:val="20"/>
                <w:color w:val="auto"/>
              </w:rPr>
            </w:pPr>
            <w:r>
              <w:rPr>
                <w:rFonts w:ascii="Arial" w:cs="Arial" w:eastAsia="Arial" w:hAnsi="Arial"/>
                <w:sz w:val="11"/>
                <w:szCs w:val="11"/>
                <w:color w:val="auto"/>
              </w:rPr>
              <w:t>Net cash used in financing activities</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(4,505)</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(28,828)</w:t>
            </w:r>
          </w:p>
        </w:tc>
      </w:tr>
      <w:tr>
        <w:trPr>
          <w:trHeight w:val="173"/>
        </w:trPr>
        <w:tc>
          <w:tcPr>
            <w:tcW w:w="8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Effect of exchange rate changes on cash</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(3,370)</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6,276</w:t>
            </w:r>
          </w:p>
        </w:tc>
      </w:tr>
      <w:tr>
        <w:trPr>
          <w:trHeight w:val="153"/>
        </w:trPr>
        <w:tc>
          <w:tcPr>
            <w:tcW w:w="8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Net increase in cash and cash equivalents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59,945</w:t>
            </w: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beginning of period</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147,335</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217,643</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60"/>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Cash and cash equivalents, end of period</w:t>
            </w:r>
          </w:p>
        </w:tc>
        <w:tc>
          <w:tcPr>
            <w:tcW w:w="880" w:type="dxa"/>
            <w:vAlign w:val="bottom"/>
            <w:tcBorders>
              <w:bottom w:val="single" w:sz="8" w:color="auto"/>
            </w:tcBorders>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147,407</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277,588</w:t>
            </w:r>
          </w:p>
        </w:tc>
      </w:tr>
    </w:tbl>
    <w:p>
      <w:pPr>
        <w:sectPr>
          <w:pgSz w:w="11900" w:h="16838" w:orient="portrait"/>
          <w:cols w:equalWidth="0" w:num="1">
            <w:col w:w="11300"/>
          </w:cols>
          <w:pgMar w:left="300" w:top="562" w:right="299" w:bottom="1440" w:gutter="0" w:footer="0" w:header="0"/>
        </w:sectPr>
      </w:pPr>
    </w:p>
    <w:bookmarkStart w:id="9" w:name="page10"/>
    <w:bookmarkEnd w:id="9"/>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SEGMENT INFORMATION</w:t>
      </w: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1"/>
                <w:szCs w:val="11"/>
                <w:color w:val="auto"/>
              </w:rPr>
              <w:t>Three months ended January 31,</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4"/>
          </w:tcPr>
          <w:p>
            <w:pPr>
              <w:jc w:val="right"/>
              <w:ind w:right="766"/>
              <w:spacing w:after="0"/>
              <w:rPr>
                <w:sz w:val="20"/>
                <w:szCs w:val="20"/>
                <w:color w:val="auto"/>
              </w:rPr>
            </w:pPr>
            <w:r>
              <w:rPr>
                <w:rFonts w:ascii="Arial" w:cs="Arial" w:eastAsia="Arial" w:hAnsi="Arial"/>
                <w:sz w:val="11"/>
                <w:szCs w:val="11"/>
                <w:color w:val="auto"/>
              </w:rPr>
              <w:t>Six months ended January 31,</w:t>
            </w:r>
          </w:p>
        </w:tc>
      </w:tr>
      <w:tr>
        <w:trPr>
          <w:trHeight w:val="151"/>
        </w:trPr>
        <w:tc>
          <w:tcPr>
            <w:tcW w:w="53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color w:val="auto"/>
              </w:rPr>
              <w:t>2022</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2022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2021</w:t>
            </w:r>
          </w:p>
        </w:tc>
      </w:tr>
      <w:tr>
        <w:trPr>
          <w:trHeight w:val="126"/>
        </w:trPr>
        <w:tc>
          <w:tcPr>
            <w:tcW w:w="53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SALES</w:t>
            </w: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ID Solutions</w:t>
            </w:r>
          </w:p>
        </w:tc>
        <w:tc>
          <w:tcPr>
            <w:tcW w:w="860" w:type="dxa"/>
            <w:vAlign w:val="bottom"/>
          </w:tcPr>
          <w:p>
            <w:pPr>
              <w:jc w:val="right"/>
              <w:ind w:right="74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244,986</w:t>
            </w:r>
          </w:p>
        </w:tc>
        <w:tc>
          <w:tcPr>
            <w:tcW w:w="100" w:type="dxa"/>
            <w:vAlign w:val="bottom"/>
          </w:tcPr>
          <w:p>
            <w:pPr>
              <w:spacing w:after="0"/>
              <w:rPr>
                <w:sz w:val="12"/>
                <w:szCs w:val="12"/>
                <w:color w:val="auto"/>
              </w:rPr>
            </w:pPr>
          </w:p>
        </w:tc>
        <w:tc>
          <w:tcPr>
            <w:tcW w:w="860" w:type="dxa"/>
            <w:vAlign w:val="bottom"/>
          </w:tcPr>
          <w:p>
            <w:pPr>
              <w:jc w:val="right"/>
              <w:ind w:right="75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194,227</w:t>
            </w:r>
          </w:p>
        </w:tc>
        <w:tc>
          <w:tcPr>
            <w:tcW w:w="100" w:type="dxa"/>
            <w:vAlign w:val="bottom"/>
          </w:tcPr>
          <w:p>
            <w:pPr>
              <w:spacing w:after="0"/>
              <w:rPr>
                <w:sz w:val="12"/>
                <w:szCs w:val="12"/>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493,603</w:t>
            </w:r>
          </w:p>
        </w:tc>
        <w:tc>
          <w:tcPr>
            <w:tcW w:w="80" w:type="dxa"/>
            <w:vAlign w:val="bottom"/>
          </w:tcPr>
          <w:p>
            <w:pPr>
              <w:spacing w:after="0"/>
              <w:rPr>
                <w:sz w:val="12"/>
                <w:szCs w:val="12"/>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392,419</w:t>
            </w:r>
          </w:p>
        </w:tc>
      </w:tr>
      <w:tr>
        <w:trPr>
          <w:trHeight w:val="144"/>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Workplace Safety</w:t>
            </w:r>
          </w:p>
        </w:tc>
        <w:tc>
          <w:tcPr>
            <w:tcW w:w="8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73,069</w:t>
            </w:r>
          </w:p>
        </w:tc>
        <w:tc>
          <w:tcPr>
            <w:tcW w:w="1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71,611</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145,927</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150,646</w:t>
            </w:r>
          </w:p>
        </w:tc>
      </w:tr>
      <w:tr>
        <w:trPr>
          <w:trHeight w:val="151"/>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Total</w:t>
            </w:r>
          </w:p>
        </w:tc>
        <w:tc>
          <w:tcPr>
            <w:tcW w:w="860" w:type="dxa"/>
            <w:vAlign w:val="bottom"/>
            <w:tcBorders>
              <w:bottom w:val="single" w:sz="8" w:color="auto"/>
            </w:tcBorders>
          </w:tcPr>
          <w:p>
            <w:pPr>
              <w:jc w:val="right"/>
              <w:ind w:right="74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318,055</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75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265,838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639,530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543,065</w:t>
            </w:r>
          </w:p>
        </w:tc>
      </w:tr>
      <w:tr>
        <w:trPr>
          <w:trHeight w:val="153"/>
        </w:trPr>
        <w:tc>
          <w:tcPr>
            <w:tcW w:w="5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380" w:type="dxa"/>
            <w:vAlign w:val="bottom"/>
          </w:tcPr>
          <w:p>
            <w:pPr>
              <w:spacing w:after="0"/>
              <w:rPr>
                <w:sz w:val="20"/>
                <w:szCs w:val="20"/>
                <w:color w:val="auto"/>
              </w:rPr>
            </w:pPr>
            <w:r>
              <w:rPr>
                <w:rFonts w:ascii="Arial" w:cs="Arial" w:eastAsia="Arial" w:hAnsi="Arial"/>
                <w:sz w:val="11"/>
                <w:szCs w:val="11"/>
                <w:b w:val="1"/>
                <w:bCs w:val="1"/>
                <w:color w:val="auto"/>
              </w:rPr>
              <w:t>SALES INFORMATION</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6"/>
        </w:trPr>
        <w:tc>
          <w:tcPr>
            <w:tcW w:w="538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ID Solutions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Organic</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16.0 %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14.6 %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(7.6)%</w:t>
            </w: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Acquisition</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Currency</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1.5 %</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(0.5)%</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1.0 %</w:t>
            </w:r>
          </w:p>
        </w:tc>
      </w:tr>
      <w:tr>
        <w:trPr>
          <w:trHeight w:val="155"/>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26.1 %</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25.8 %</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w:t>
            </w:r>
          </w:p>
        </w:tc>
      </w:tr>
      <w:tr>
        <w:trPr>
          <w:trHeight w:val="120"/>
        </w:trPr>
        <w:tc>
          <w:tcPr>
            <w:tcW w:w="5380" w:type="dxa"/>
            <w:vAlign w:val="bottom"/>
          </w:tcPr>
          <w:p>
            <w:pPr>
              <w:spacing w:after="0" w:line="118" w:lineRule="exact"/>
              <w:rPr>
                <w:sz w:val="20"/>
                <w:szCs w:val="20"/>
                <w:color w:val="auto"/>
              </w:rPr>
            </w:pPr>
            <w:r>
              <w:rPr>
                <w:rFonts w:ascii="Arial" w:cs="Arial" w:eastAsia="Arial" w:hAnsi="Arial"/>
                <w:sz w:val="11"/>
                <w:szCs w:val="11"/>
                <w:b w:val="1"/>
                <w:bCs w:val="1"/>
                <w:i w:val="1"/>
                <w:iCs w:val="1"/>
                <w:color w:val="auto"/>
              </w:rPr>
              <w:t>Workplace Safety</w:t>
            </w: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Organic</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0.4 %</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Currency</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5.2 %</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4.8 %</w:t>
            </w:r>
          </w:p>
        </w:tc>
      </w:tr>
      <w:tr>
        <w:trPr>
          <w:trHeight w:val="155"/>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2.0 %</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0.4 %</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5.2 %</w:t>
            </w:r>
          </w:p>
        </w:tc>
      </w:tr>
      <w:tr>
        <w:trPr>
          <w:trHeight w:val="120"/>
        </w:trPr>
        <w:tc>
          <w:tcPr>
            <w:tcW w:w="5380" w:type="dxa"/>
            <w:vAlign w:val="bottom"/>
          </w:tcPr>
          <w:p>
            <w:pPr>
              <w:spacing w:after="0" w:line="118" w:lineRule="exact"/>
              <w:rPr>
                <w:sz w:val="20"/>
                <w:szCs w:val="20"/>
                <w:color w:val="auto"/>
              </w:rPr>
            </w:pPr>
            <w:r>
              <w:rPr>
                <w:rFonts w:ascii="Arial" w:cs="Arial" w:eastAsia="Arial" w:hAnsi="Arial"/>
                <w:sz w:val="11"/>
                <w:szCs w:val="11"/>
                <w:b w:val="1"/>
                <w:bCs w:val="1"/>
                <w:i w:val="1"/>
                <w:iCs w:val="1"/>
                <w:color w:val="auto"/>
              </w:rPr>
              <w:t>Total Company</w:t>
            </w: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Organic</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w:t>
            </w: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Acquisition</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8.6 %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8.5 %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 %</w:t>
            </w:r>
          </w:p>
        </w:tc>
      </w:tr>
      <w:tr>
        <w:trPr>
          <w:trHeight w:val="144"/>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Currency</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2.4 %</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2.0 %</w:t>
            </w:r>
          </w:p>
        </w:tc>
      </w:tr>
      <w:tr>
        <w:trPr>
          <w:trHeight w:val="151"/>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Total</w:t>
            </w: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19.6 %</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17.8 %</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w:t>
            </w:r>
          </w:p>
        </w:tc>
      </w:tr>
      <w:tr>
        <w:trPr>
          <w:trHeight w:val="153"/>
        </w:trPr>
        <w:tc>
          <w:tcPr>
            <w:tcW w:w="5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42"/>
        </w:trPr>
        <w:tc>
          <w:tcPr>
            <w:tcW w:w="5380" w:type="dxa"/>
            <w:vAlign w:val="bottom"/>
          </w:tcPr>
          <w:p>
            <w:pPr>
              <w:spacing w:after="0"/>
              <w:rPr>
                <w:sz w:val="20"/>
                <w:szCs w:val="20"/>
                <w:color w:val="auto"/>
              </w:rPr>
            </w:pPr>
            <w:r>
              <w:rPr>
                <w:rFonts w:ascii="Arial" w:cs="Arial" w:eastAsia="Arial" w:hAnsi="Arial"/>
                <w:sz w:val="11"/>
                <w:szCs w:val="11"/>
                <w:b w:val="1"/>
                <w:bCs w:val="1"/>
                <w:color w:val="auto"/>
              </w:rPr>
              <w:t>SEGMENT PROFIT</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ID Solutions</w:t>
            </w: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44,129</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39,000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92,945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79,279</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Workplace Safety</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4,515</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3,463</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6,808</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11,451</w:t>
            </w:r>
          </w:p>
        </w:tc>
      </w:tr>
      <w:tr>
        <w:trPr>
          <w:trHeight w:val="155"/>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9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48,644</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42,463</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99,753</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90,730</w:t>
            </w:r>
          </w:p>
        </w:tc>
      </w:tr>
      <w:tr>
        <w:trPr>
          <w:trHeight w:val="120"/>
        </w:trPr>
        <w:tc>
          <w:tcPr>
            <w:tcW w:w="5380" w:type="dxa"/>
            <w:vAlign w:val="bottom"/>
          </w:tcPr>
          <w:p>
            <w:pPr>
              <w:spacing w:after="0" w:line="120" w:lineRule="exact"/>
              <w:rPr>
                <w:sz w:val="20"/>
                <w:szCs w:val="20"/>
                <w:color w:val="auto"/>
              </w:rPr>
            </w:pPr>
            <w:r>
              <w:rPr>
                <w:rFonts w:ascii="Arial" w:cs="Arial" w:eastAsia="Arial" w:hAnsi="Arial"/>
                <w:sz w:val="11"/>
                <w:szCs w:val="11"/>
                <w:b w:val="1"/>
                <w:bCs w:val="1"/>
                <w:color w:val="auto"/>
              </w:rPr>
              <w:t>SEGMENT PROFIT AS A PERCENT OF NET SALES</w:t>
            </w: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ID Solutions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20.1 %</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20.2 %</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Workplace Safety</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6.2 %</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4.8 %</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4.7 %</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7.6 %</w:t>
            </w:r>
          </w:p>
        </w:tc>
      </w:tr>
      <w:tr>
        <w:trPr>
          <w:trHeight w:val="151"/>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15.3 %</w:t>
            </w:r>
          </w:p>
        </w:tc>
        <w:tc>
          <w:tcPr>
            <w:tcW w:w="1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16.0 %</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15.6 %</w:t>
            </w:r>
          </w:p>
        </w:tc>
        <w:tc>
          <w:tcPr>
            <w:tcW w:w="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16.7 %</w:t>
            </w:r>
          </w:p>
        </w:tc>
      </w:tr>
      <w:tr>
        <w:trPr>
          <w:trHeight w:val="493"/>
        </w:trPr>
        <w:tc>
          <w:tcPr>
            <w:tcW w:w="5380" w:type="dxa"/>
            <w:vAlign w:val="bottom"/>
          </w:tcPr>
          <w:p>
            <w:pPr>
              <w:spacing w:after="0"/>
              <w:rPr>
                <w:sz w:val="24"/>
                <w:szCs w:val="24"/>
                <w:color w:val="auto"/>
              </w:rPr>
            </w:pPr>
          </w:p>
        </w:tc>
        <w:tc>
          <w:tcPr>
            <w:tcW w:w="24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1"/>
                <w:szCs w:val="11"/>
                <w:color w:val="auto"/>
              </w:rPr>
              <w:t>Three months ended January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766"/>
              <w:spacing w:after="0"/>
              <w:rPr>
                <w:sz w:val="20"/>
                <w:szCs w:val="20"/>
                <w:color w:val="auto"/>
              </w:rPr>
            </w:pPr>
            <w:r>
              <w:rPr>
                <w:rFonts w:ascii="Arial" w:cs="Arial" w:eastAsia="Arial" w:hAnsi="Arial"/>
                <w:sz w:val="11"/>
                <w:szCs w:val="11"/>
                <w:color w:val="auto"/>
              </w:rPr>
              <w:t>Six months ended January 31,</w:t>
            </w:r>
          </w:p>
        </w:tc>
      </w:tr>
      <w:tr>
        <w:trPr>
          <w:trHeight w:val="151"/>
        </w:trPr>
        <w:tc>
          <w:tcPr>
            <w:tcW w:w="53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color w:val="auto"/>
              </w:rPr>
              <w:t>2022</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color w:val="auto"/>
              </w:rPr>
              <w:t>2021</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2022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2021</w:t>
            </w:r>
          </w:p>
        </w:tc>
      </w:tr>
      <w:tr>
        <w:trPr>
          <w:trHeight w:val="135"/>
        </w:trPr>
        <w:tc>
          <w:tcPr>
            <w:tcW w:w="5380" w:type="dxa"/>
            <w:vAlign w:val="bottom"/>
            <w:shd w:val="clear" w:color="auto" w:fill="CCEEFF"/>
          </w:tcPr>
          <w:p>
            <w:pPr>
              <w:spacing w:after="0"/>
              <w:rPr>
                <w:sz w:val="20"/>
                <w:szCs w:val="20"/>
                <w:color w:val="auto"/>
              </w:rPr>
            </w:pPr>
            <w:r>
              <w:rPr>
                <w:rFonts w:ascii="Arial" w:cs="Arial" w:eastAsia="Arial" w:hAnsi="Arial"/>
                <w:sz w:val="11"/>
                <w:szCs w:val="11"/>
                <w:color w:val="auto"/>
              </w:rPr>
              <w:t>Total segment profit</w:t>
            </w: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48,644</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42,463</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99,753</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90,730</w:t>
            </w:r>
          </w:p>
        </w:tc>
      </w:tr>
      <w:tr>
        <w:trPr>
          <w:trHeight w:val="142"/>
        </w:trPr>
        <w:tc>
          <w:tcPr>
            <w:tcW w:w="5380" w:type="dxa"/>
            <w:vAlign w:val="bottom"/>
          </w:tcPr>
          <w:p>
            <w:pPr>
              <w:spacing w:after="0"/>
              <w:rPr>
                <w:sz w:val="20"/>
                <w:szCs w:val="20"/>
                <w:color w:val="auto"/>
              </w:rPr>
            </w:pPr>
            <w:r>
              <w:rPr>
                <w:rFonts w:ascii="Arial" w:cs="Arial" w:eastAsia="Arial" w:hAnsi="Arial"/>
                <w:sz w:val="11"/>
                <w:szCs w:val="11"/>
                <w:color w:val="auto"/>
              </w:rPr>
              <w:t>Unallocated amounts:</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Administrative costs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(5,772)</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(5,051)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(12,546)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(11,130)</w:t>
            </w: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Investment and other (expense) income</w:t>
            </w:r>
          </w:p>
        </w:tc>
        <w:tc>
          <w:tcPr>
            <w:tcW w:w="900" w:type="dxa"/>
            <w:vAlign w:val="bottom"/>
          </w:tcPr>
          <w:p>
            <w:pPr>
              <w:spacing w:after="0"/>
              <w:rPr>
                <w:sz w:val="12"/>
                <w:szCs w:val="12"/>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(578)</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2,036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2,191</w:t>
            </w:r>
          </w:p>
        </w:tc>
      </w:tr>
      <w:tr>
        <w:trPr>
          <w:trHeight w:val="144"/>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Interest expense</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(252)</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(51)</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(434)</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(157)</w:t>
            </w:r>
          </w:p>
        </w:tc>
      </w:tr>
      <w:tr>
        <w:trPr>
          <w:trHeight w:val="135"/>
        </w:trPr>
        <w:tc>
          <w:tcPr>
            <w:tcW w:w="5380" w:type="dxa"/>
            <w:vAlign w:val="bottom"/>
          </w:tcPr>
          <w:p>
            <w:pPr>
              <w:spacing w:after="0"/>
              <w:rPr>
                <w:sz w:val="20"/>
                <w:szCs w:val="20"/>
                <w:color w:val="auto"/>
              </w:rPr>
            </w:pPr>
            <w:r>
              <w:rPr>
                <w:rFonts w:ascii="Arial" w:cs="Arial" w:eastAsia="Arial" w:hAnsi="Arial"/>
                <w:sz w:val="11"/>
                <w:szCs w:val="11"/>
                <w:color w:val="auto"/>
              </w:rPr>
              <w:t>Income before income taxes and losses of unconsolidated affiliate</w:t>
            </w:r>
          </w:p>
        </w:tc>
        <w:tc>
          <w:tcPr>
            <w:tcW w:w="900" w:type="dxa"/>
            <w:vAlign w:val="bottom"/>
            <w:tcBorders>
              <w:bottom w:val="single" w:sz="8" w:color="auto"/>
            </w:tcBorders>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42,042</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39,397</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86,738</w:t>
            </w: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81,634</w:t>
            </w:r>
          </w:p>
        </w:tc>
      </w:tr>
      <w:tr>
        <w:trPr>
          <w:trHeight w:val="20"/>
        </w:trPr>
        <w:tc>
          <w:tcPr>
            <w:tcW w:w="5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2"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t>GAAP to NON-GAAP MEASURES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(Unaudited; Dollars in Thousands, Except Per Share Amounts)</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Before Income Taxes Excluding Amortization:</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Brady is presenting the non-GAAP measure, "Income Before Income Taxes Excluding Amortization."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and losses of unconsolidated affiliate to the non-GAAP measure of Income Before Income Taxes Excluding Amortization: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1"/>
                <w:szCs w:val="11"/>
                <w:color w:val="auto"/>
              </w:rPr>
              <w:t>Three months ended January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Arial" w:cs="Arial" w:eastAsia="Arial" w:hAnsi="Arial"/>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2022</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color w:val="auto"/>
              </w:rPr>
              <w:t>2021</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color w:val="auto"/>
              </w:rPr>
              <w:t>2022</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2021</w:t>
            </w:r>
          </w:p>
        </w:tc>
      </w:tr>
      <w:tr>
        <w:trPr>
          <w:trHeight w:val="135"/>
        </w:trPr>
        <w:tc>
          <w:tcPr>
            <w:tcW w:w="55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Income before income taxes and losses of unconsolidated affiliate (GAAP measure)</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42,042</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39,397</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86,738</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81,634</w:t>
            </w:r>
          </w:p>
        </w:tc>
      </w:tr>
      <w:tr>
        <w:trPr>
          <w:trHeight w:val="142"/>
        </w:trPr>
        <w:tc>
          <w:tcPr>
            <w:tcW w:w="558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Amortization expense</w:t>
            </w: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3,749</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1,353</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7,556</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2,704</w:t>
            </w:r>
          </w:p>
        </w:tc>
      </w:tr>
      <w:tr>
        <w:trPr>
          <w:trHeight w:val="151"/>
        </w:trPr>
        <w:tc>
          <w:tcPr>
            <w:tcW w:w="558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Income Before Income Taxes Excluding Amortization (non-GAAP measure)</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45,791</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40,750</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94,294</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84,338</w:t>
            </w: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 Expense Excluding Amortization:</w:t>
      </w:r>
    </w:p>
    <w:p>
      <w:pPr>
        <w:spacing w:after="0" w:line="1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Brady is presenting the non-GAAP measure, "Income Tax Expense Excluding Amortization."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Income Tax Expense Excluding Amortization: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80" w:type="dxa"/>
            <w:vAlign w:val="bottom"/>
          </w:tcPr>
          <w:p>
            <w:pPr>
              <w:spacing w:after="0"/>
              <w:rPr>
                <w:sz w:val="12"/>
                <w:szCs w:val="12"/>
                <w:color w:val="auto"/>
              </w:rPr>
            </w:pPr>
          </w:p>
        </w:tc>
        <w:tc>
          <w:tcPr>
            <w:tcW w:w="23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1"/>
                <w:szCs w:val="11"/>
                <w:color w:val="auto"/>
              </w:rPr>
              <w:t>Three months ended January 31,</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Arial" w:cs="Arial" w:eastAsia="Arial" w:hAnsi="Arial"/>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2022</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1"/>
                <w:szCs w:val="11"/>
                <w:color w:val="auto"/>
              </w:rPr>
              <w:t>2021</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color w:val="auto"/>
              </w:rPr>
              <w:t>2022</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2021</w:t>
            </w:r>
          </w:p>
        </w:tc>
      </w:tr>
      <w:tr>
        <w:trPr>
          <w:trHeight w:val="135"/>
        </w:trPr>
        <w:tc>
          <w:tcPr>
            <w:tcW w:w="55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Income tax expense (GAAP measure)</w:t>
            </w:r>
          </w:p>
        </w:tc>
        <w:tc>
          <w:tcPr>
            <w:tcW w:w="940" w:type="dxa"/>
            <w:vAlign w:val="bottom"/>
            <w:shd w:val="clear" w:color="auto" w:fill="CCEEFF"/>
          </w:tcPr>
          <w:p>
            <w:pPr>
              <w:jc w:val="right"/>
              <w:ind w:right="806"/>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8,227</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81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8,206</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17,877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16,788</w:t>
            </w:r>
          </w:p>
        </w:tc>
      </w:tr>
      <w:tr>
        <w:trPr>
          <w:trHeight w:val="142"/>
        </w:trPr>
        <w:tc>
          <w:tcPr>
            <w:tcW w:w="558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Amortization expense</w:t>
            </w:r>
          </w:p>
        </w:tc>
        <w:tc>
          <w:tcPr>
            <w:tcW w:w="9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887</w:t>
            </w: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338</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1,787</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676</w:t>
            </w:r>
          </w:p>
        </w:tc>
      </w:tr>
      <w:tr>
        <w:trPr>
          <w:trHeight w:val="151"/>
        </w:trPr>
        <w:tc>
          <w:tcPr>
            <w:tcW w:w="558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Income Tax Expense Excluding Amortization (non-GAAP measure)</w:t>
            </w:r>
          </w:p>
        </w:tc>
        <w:tc>
          <w:tcPr>
            <w:tcW w:w="940" w:type="dxa"/>
            <w:vAlign w:val="bottom"/>
            <w:tcBorders>
              <w:bottom w:val="single" w:sz="8" w:color="auto"/>
            </w:tcBorders>
            <w:shd w:val="clear" w:color="auto" w:fill="CCEEFF"/>
          </w:tcPr>
          <w:p>
            <w:pPr>
              <w:jc w:val="right"/>
              <w:ind w:right="806"/>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9,114</w:t>
            </w: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8,544</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19,664</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17,464</w:t>
            </w: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Income Excluding Amortization:</w:t>
      </w:r>
    </w:p>
    <w:p>
      <w:pPr>
        <w:spacing w:after="0" w:line="1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Brady is presenting the non-GAAP measure, "Net Income Excluding Amortization."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Net Income Excluding Amortization: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1"/>
                <w:szCs w:val="11"/>
                <w:color w:val="auto"/>
              </w:rPr>
              <w:t>Three months ended January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Arial" w:cs="Arial" w:eastAsia="Arial" w:hAnsi="Arial"/>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2022</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color w:val="auto"/>
              </w:rPr>
              <w:t>2021</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color w:val="auto"/>
              </w:rPr>
              <w:t>2022</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2021</w:t>
            </w:r>
          </w:p>
        </w:tc>
      </w:tr>
      <w:tr>
        <w:trPr>
          <w:trHeight w:val="135"/>
        </w:trPr>
        <w:tc>
          <w:tcPr>
            <w:tcW w:w="55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income (GAAP measure)</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33,815</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30,860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68,861</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64,341</w:t>
            </w:r>
          </w:p>
        </w:tc>
      </w:tr>
      <w:tr>
        <w:trPr>
          <w:trHeight w:val="142"/>
        </w:trPr>
        <w:tc>
          <w:tcPr>
            <w:tcW w:w="558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Amortization expense</w:t>
            </w: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2,862</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1,015</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5,769</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2,028</w:t>
            </w:r>
          </w:p>
        </w:tc>
      </w:tr>
      <w:tr>
        <w:trPr>
          <w:trHeight w:val="151"/>
        </w:trPr>
        <w:tc>
          <w:tcPr>
            <w:tcW w:w="558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Income Excluding Amortization (non-GAAP measure)</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36,677</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31,875</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74,630</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66,369</w:t>
            </w:r>
          </w:p>
        </w:tc>
      </w:tr>
    </w:tbl>
    <w:p>
      <w:pPr>
        <w:sectPr>
          <w:pgSz w:w="11900" w:h="16838" w:orient="portrait"/>
          <w:cols w:equalWidth="0" w:num="1">
            <w:col w:w="11300"/>
          </w:cols>
          <w:pgMar w:left="300" w:top="559"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Diluted EPS Excluding Amortization:</w:t>
      </w:r>
    </w:p>
    <w:p>
      <w:pPr>
        <w:spacing w:after="0" w:line="1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Brady is presenting the non-GAAP measure, "Diluted EPS Excluding Amortization."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Diluted EPS Excluding Amortization: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8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1"/>
                <w:szCs w:val="11"/>
                <w:color w:val="auto"/>
              </w:rPr>
              <w:t>Three months ended January 31,</w:t>
            </w:r>
          </w:p>
        </w:tc>
        <w:tc>
          <w:tcPr>
            <w:tcW w:w="4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Arial" w:cs="Arial" w:eastAsia="Arial" w:hAnsi="Arial"/>
                <w:sz w:val="11"/>
                <w:szCs w:val="11"/>
                <w:color w:val="auto"/>
              </w:rPr>
              <w:t>Six months ended January 31,</w:t>
            </w:r>
          </w:p>
        </w:tc>
      </w:tr>
      <w:tr>
        <w:trPr>
          <w:trHeight w:val="133"/>
        </w:trPr>
        <w:tc>
          <w:tcPr>
            <w:tcW w:w="5580" w:type="dxa"/>
            <w:vAlign w:val="bottom"/>
          </w:tcPr>
          <w:p>
            <w:pPr>
              <w:spacing w:after="0"/>
              <w:rPr>
                <w:sz w:val="11"/>
                <w:szCs w:val="11"/>
                <w:color w:val="auto"/>
              </w:rPr>
            </w:pP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2022</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130"/>
              <w:spacing w:after="0"/>
              <w:rPr>
                <w:sz w:val="20"/>
                <w:szCs w:val="20"/>
                <w:color w:val="auto"/>
              </w:rPr>
            </w:pPr>
            <w:r>
              <w:rPr>
                <w:rFonts w:ascii="Arial" w:cs="Arial" w:eastAsia="Arial" w:hAnsi="Arial"/>
                <w:sz w:val="11"/>
                <w:szCs w:val="11"/>
                <w:color w:val="auto"/>
              </w:rPr>
              <w:t>2021</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506"/>
              <w:spacing w:after="0"/>
              <w:rPr>
                <w:sz w:val="20"/>
                <w:szCs w:val="20"/>
                <w:color w:val="auto"/>
              </w:rPr>
            </w:pPr>
            <w:r>
              <w:rPr>
                <w:rFonts w:ascii="Arial" w:cs="Arial" w:eastAsia="Arial" w:hAnsi="Arial"/>
                <w:sz w:val="11"/>
                <w:szCs w:val="11"/>
                <w:color w:val="auto"/>
              </w:rPr>
              <w:t>2022</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526"/>
              <w:spacing w:after="0"/>
              <w:rPr>
                <w:sz w:val="20"/>
                <w:szCs w:val="20"/>
                <w:color w:val="auto"/>
              </w:rPr>
            </w:pPr>
            <w:r>
              <w:rPr>
                <w:rFonts w:ascii="Arial" w:cs="Arial" w:eastAsia="Arial" w:hAnsi="Arial"/>
                <w:sz w:val="11"/>
                <w:szCs w:val="11"/>
                <w:color w:val="auto"/>
              </w:rPr>
              <w:t>2021</w:t>
            </w:r>
          </w:p>
        </w:tc>
      </w:tr>
      <w:tr>
        <w:trPr>
          <w:trHeight w:val="146"/>
        </w:trPr>
        <w:tc>
          <w:tcPr>
            <w:tcW w:w="55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income per Class A Nonvoting Common Share (GAAP measure)</w:t>
            </w:r>
          </w:p>
        </w:tc>
        <w:tc>
          <w:tcPr>
            <w:tcW w:w="960" w:type="dxa"/>
            <w:vAlign w:val="bottom"/>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0.65</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5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0.59</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w:t>
            </w:r>
          </w:p>
        </w:tc>
      </w:tr>
      <w:tr>
        <w:trPr>
          <w:trHeight w:val="142"/>
        </w:trPr>
        <w:tc>
          <w:tcPr>
            <w:tcW w:w="558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Amortization expense</w:t>
            </w:r>
          </w:p>
        </w:tc>
        <w:tc>
          <w:tcPr>
            <w:tcW w:w="9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0.05</w:t>
            </w:r>
          </w:p>
        </w:tc>
        <w:tc>
          <w:tcPr>
            <w:tcW w:w="1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0.02</w:t>
            </w: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0.11</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0.04</w:t>
            </w:r>
          </w:p>
        </w:tc>
      </w:tr>
      <w:tr>
        <w:trPr>
          <w:trHeight w:val="151"/>
        </w:trPr>
        <w:tc>
          <w:tcPr>
            <w:tcW w:w="558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Diluted EPS Excluding Amortization (non-GAAP measure)</w:t>
            </w:r>
          </w:p>
        </w:tc>
        <w:tc>
          <w:tcPr>
            <w:tcW w:w="96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1"/>
                <w:szCs w:val="11"/>
                <w:b w:val="1"/>
                <w:bCs w:val="1"/>
                <w:color w:val="auto"/>
                <w:w w:val="97"/>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0.70</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0.61</w:t>
            </w: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1.43</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1.27</w:t>
            </w:r>
          </w:p>
        </w:tc>
      </w:tr>
    </w:tbl>
    <w:p>
      <w:pPr>
        <w:sectPr>
          <w:pgSz w:w="11900" w:h="16838" w:orient="portrait"/>
          <w:cols w:equalWidth="0" w:num="1">
            <w:col w:w="11300"/>
          </w:cols>
          <w:pgMar w:left="300" w:top="667" w:right="299" w:bottom="1440"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2022-02-17T06:13:09Z</dcterms:created>
  <dcterms:modified xsi:type="dcterms:W3CDTF">2022-02-17T06:13:09Z</dcterms:modified>
</cp:coreProperties>
</file>