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46990</wp:posOffset>
            </wp:positionV>
            <wp:extent cx="15005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13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75565</wp:posOffset>
            </wp:positionV>
            <wp:extent cx="15005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301" w:lineRule="exact"/>
        <w:rPr>
          <w:sz w:val="24"/>
          <w:szCs w:val="24"/>
          <w:color w:val="auto"/>
        </w:rPr>
      </w:pPr>
    </w:p>
    <w:p>
      <w:pPr>
        <w:ind w:left="980" w:right="100" w:hanging="306"/>
        <w:spacing w:after="0" w:line="231" w:lineRule="auto"/>
        <w:tabs>
          <w:tab w:leader="none" w:pos="1304"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4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October 31, 2020</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980" w:right="100" w:hanging="306"/>
        <w:spacing w:after="0" w:line="235" w:lineRule="auto"/>
        <w:tabs>
          <w:tab w:leader="none" w:pos="1304"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1-14959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68580</wp:posOffset>
            </wp:positionV>
            <wp:extent cx="15005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16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55880</wp:posOffset>
            </wp:positionV>
            <wp:extent cx="15005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p>
      <w:pPr>
        <w:spacing w:after="0" w:line="300" w:lineRule="exact"/>
        <w:rPr>
          <w:sz w:val="24"/>
          <w:szCs w:val="24"/>
          <w:color w:val="auto"/>
        </w:rPr>
      </w:pPr>
    </w:p>
    <w:p>
      <w:pPr>
        <w:ind w:left="228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39-0178960</w:t>
      </w:r>
    </w:p>
    <w:p>
      <w:pPr>
        <w:spacing w:after="0" w:line="50" w:lineRule="exact"/>
        <w:rPr>
          <w:sz w:val="24"/>
          <w:szCs w:val="24"/>
          <w:color w:val="auto"/>
        </w:rPr>
      </w:pPr>
    </w:p>
    <w:p>
      <w:pPr>
        <w:sectPr>
          <w:pgSz w:w="11900" w:h="16838" w:orient="portrait"/>
          <w:cols w:equalWidth="0" w:num="2">
            <w:col w:w="7440" w:space="720"/>
            <w:col w:w="3100"/>
          </w:cols>
          <w:pgMar w:left="320" w:top="229" w:right="319" w:bottom="1440" w:gutter="0" w:footer="0" w:header="0"/>
          <w:type w:val="continuous"/>
        </w:sectPr>
      </w:pPr>
    </w:p>
    <w:p>
      <w:pPr>
        <w:ind w:left="82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56" w:lineRule="exact"/>
        <w:rPr>
          <w:sz w:val="24"/>
          <w:szCs w:val="24"/>
          <w:color w:val="auto"/>
        </w:rPr>
      </w:pPr>
    </w:p>
    <w:p>
      <w:pPr>
        <w:sectPr>
          <w:pgSz w:w="11900" w:h="16838" w:orient="portrait"/>
          <w:cols w:equalWidth="0" w:num="2">
            <w:col w:w="6760" w:space="720"/>
            <w:col w:w="3780"/>
          </w:cols>
          <w:pgMar w:left="320" w:top="229" w:right="319" w:bottom="1440" w:gutter="0" w:footer="0" w:header="0"/>
          <w:type w:val="continuous"/>
        </w:sectPr>
      </w:pPr>
    </w:p>
    <w:p>
      <w:pPr>
        <w:ind w:left="4520"/>
        <w:spacing w:after="0"/>
        <w:rPr>
          <w:sz w:val="20"/>
          <w:szCs w:val="20"/>
          <w:color w:val="auto"/>
        </w:rPr>
      </w:pPr>
      <w:r>
        <w:rPr>
          <w:rFonts w:ascii="Arial" w:cs="Arial" w:eastAsia="Arial" w:hAnsi="Arial"/>
          <w:sz w:val="16"/>
          <w:szCs w:val="16"/>
          <w:b w:val="1"/>
          <w:bCs w:val="1"/>
          <w:color w:val="auto"/>
        </w:rPr>
        <w:t>6555 West Good Hope Road,</w:t>
      </w:r>
    </w:p>
    <w:p>
      <w:pPr>
        <w:spacing w:after="0" w:line="100" w:lineRule="exact"/>
        <w:rPr>
          <w:sz w:val="24"/>
          <w:szCs w:val="24"/>
          <w:color w:val="auto"/>
        </w:rPr>
      </w:pPr>
    </w:p>
    <w:p>
      <w:pPr>
        <w:ind w:left="4400"/>
        <w:spacing w:after="0"/>
        <w:tabs>
          <w:tab w:leader="none" w:pos="6280" w:val="left"/>
        </w:tabs>
        <w:rPr>
          <w:sz w:val="20"/>
          <w:szCs w:val="20"/>
          <w:color w:val="auto"/>
        </w:rPr>
      </w:pPr>
      <w:r>
        <w:rPr>
          <w:rFonts w:ascii="Arial" w:cs="Arial" w:eastAsia="Arial" w:hAnsi="Arial"/>
          <w:sz w:val="18"/>
          <w:szCs w:val="18"/>
          <w:b w:val="1"/>
          <w:bCs w:val="1"/>
          <w:color w:val="auto"/>
        </w:rPr>
        <w:t>Milwaukee, Wisconsin</w:t>
      </w:r>
      <w:r>
        <w:rPr>
          <w:sz w:val="20"/>
          <w:szCs w:val="20"/>
          <w:color w:val="auto"/>
        </w:rPr>
        <w:tab/>
      </w:r>
      <w:r>
        <w:rPr>
          <w:rFonts w:ascii="Arial" w:cs="Arial" w:eastAsia="Arial" w:hAnsi="Arial"/>
          <w:sz w:val="15"/>
          <w:szCs w:val="15"/>
          <w:b w:val="1"/>
          <w:bCs w:val="1"/>
          <w:color w:val="auto"/>
        </w:rPr>
        <w:t>53223</w:t>
      </w:r>
    </w:p>
    <w:p>
      <w:pPr>
        <w:sectPr>
          <w:pgSz w:w="11900" w:h="16838" w:orient="portrait"/>
          <w:cols w:equalWidth="0" w:num="1">
            <w:col w:w="11260"/>
          </w:cols>
          <w:pgMar w:left="320" w:top="229" w:right="319" w:bottom="1440" w:gutter="0" w:footer="0" w:header="0"/>
          <w:type w:val="continuous"/>
        </w:sectPr>
      </w:pP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(414) 358-6600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56515</wp:posOffset>
            </wp:positionV>
            <wp:extent cx="15005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66"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35" w:lineRule="exact"/>
        <w:rPr>
          <w:sz w:val="24"/>
          <w:szCs w:val="24"/>
          <w:color w:val="auto"/>
        </w:rPr>
      </w:pPr>
    </w:p>
    <w:tbl>
      <w:tblPr>
        <w:tblLayout w:type="fixed"/>
        <w:tblInd w:w="10" w:type="dxa"/>
        <w:tblCellMar>
          <w:top w:w="0" w:type="dxa"/>
          <w:left w:w="0" w:type="dxa"/>
          <w:bottom w:w="0" w:type="dxa"/>
          <w:right w:w="0" w:type="dxa"/>
        </w:tblCellMar>
      </w:tblPr>
      <w:tr>
        <w:trPr>
          <w:trHeight w:val="201"/>
        </w:trPr>
        <w:tc>
          <w:tcPr>
            <w:tcW w:w="48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Title of each class</w:t>
            </w:r>
          </w:p>
        </w:tc>
        <w:tc>
          <w:tcPr>
            <w:tcW w:w="23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Trading Symbol</w:t>
            </w:r>
          </w:p>
        </w:tc>
        <w:tc>
          <w:tcPr>
            <w:tcW w:w="41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0"/>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Class A Nonvoting Common Stock, par value $0.01 per share</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BRC</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New York Stock Exchange</w:t>
            </w:r>
          </w:p>
        </w:tc>
      </w:tr>
    </w:tbl>
    <w:p>
      <w:pPr>
        <w:spacing w:after="0" w:line="157" w:lineRule="exact"/>
        <w:rPr>
          <w:sz w:val="24"/>
          <w:szCs w:val="24"/>
          <w:color w:val="auto"/>
        </w:rPr>
      </w:pPr>
    </w:p>
    <w:p>
      <w:pPr>
        <w:jc w:val="both"/>
        <w:ind w:right="40"/>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jc w:val="both"/>
        <w:ind w:right="40"/>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jc w:val="both"/>
        <w:ind w:right="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9" w:right="319" w:bottom="1440" w:gutter="0" w:footer="0" w:header="0"/>
          <w:type w:val="continuous"/>
        </w:sectPr>
      </w:pPr>
    </w:p>
    <w:p>
      <w:pPr>
        <w:spacing w:after="0" w:line="214"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32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jc w:val="center"/>
        <w:ind w:right="1040"/>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6">
            <w:col w:w="1860" w:space="720"/>
            <w:col w:w="400" w:space="720"/>
            <w:col w:w="1920" w:space="720"/>
            <w:col w:w="400" w:space="720"/>
            <w:col w:w="1900" w:space="720"/>
            <w:col w:w="1180"/>
          </w:cols>
          <w:pgMar w:left="320" w:top="229" w:right="319" w:bottom="1440" w:gutter="0" w:footer="0" w:header="0"/>
          <w:type w:val="continuous"/>
        </w:sectPr>
      </w:pPr>
    </w:p>
    <w:p>
      <w:pPr>
        <w:spacing w:after="0" w:line="48"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340"/>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7" w:lineRule="exact"/>
        <w:rPr>
          <w:sz w:val="24"/>
          <w:szCs w:val="24"/>
          <w:color w:val="auto"/>
        </w:rPr>
      </w:pPr>
    </w:p>
    <w:p>
      <w:pPr>
        <w:sectPr>
          <w:pgSz w:w="11900" w:h="16838" w:orient="portrait"/>
          <w:cols w:equalWidth="0" w:num="4">
            <w:col w:w="1860" w:space="720"/>
            <w:col w:w="400" w:space="720"/>
            <w:col w:w="1920" w:space="720"/>
            <w:col w:w="4920"/>
          </w:cols>
          <w:pgMar w:left="320" w:top="229" w:right="319" w:bottom="1440" w:gutter="0" w:footer="0" w:header="0"/>
          <w:type w:val="continuous"/>
        </w:sectPr>
      </w:pPr>
    </w:p>
    <w:p>
      <w:pPr>
        <w:spacing w:after="0" w:line="29" w:lineRule="exact"/>
        <w:rPr>
          <w:sz w:val="24"/>
          <w:szCs w:val="24"/>
          <w:color w:val="auto"/>
        </w:rPr>
      </w:pPr>
    </w:p>
    <w:p>
      <w:pPr>
        <w:ind w:right="580"/>
        <w:spacing w:after="0" w:line="19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tabs>
          <w:tab w:leader="none" w:pos="6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34" w:lineRule="exact"/>
        <w:rPr>
          <w:sz w:val="24"/>
          <w:szCs w:val="24"/>
          <w:color w:val="auto"/>
        </w:rPr>
      </w:pPr>
    </w:p>
    <w:p>
      <w:pPr>
        <w:ind w:right="60"/>
        <w:spacing w:after="0" w:line="273" w:lineRule="auto"/>
        <w:rPr>
          <w:sz w:val="20"/>
          <w:szCs w:val="20"/>
          <w:color w:val="auto"/>
        </w:rPr>
      </w:pPr>
      <w:r>
        <w:rPr>
          <w:rFonts w:ascii="Arial" w:cs="Arial" w:eastAsia="Arial" w:hAnsi="Arial"/>
          <w:sz w:val="14"/>
          <w:szCs w:val="14"/>
          <w:color w:val="auto"/>
        </w:rPr>
        <w:t>As of November 17, 2020, there were 48,475,600 outstanding shares of Class A Nonvoting Common Stock and 3,538,628 shares of Class B Voting Common Stock. The Class B Voting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tcPr>
          <w:p>
            <w:pPr>
              <w:jc w:val="center"/>
              <w:ind w:left="1390"/>
              <w:spacing w:after="0"/>
              <w:rPr>
                <w:sz w:val="20"/>
                <w:szCs w:val="20"/>
                <w:color w:val="auto"/>
              </w:rPr>
            </w:pPr>
            <w:r>
              <w:rPr>
                <w:rFonts w:ascii="Arial" w:cs="Arial" w:eastAsia="Arial" w:hAnsi="Arial"/>
                <w:sz w:val="18"/>
                <w:szCs w:val="18"/>
                <w:color w:val="auto"/>
                <w:w w:val="93"/>
              </w:rPr>
              <w:t>FORM 10-Q</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760" w:type="dxa"/>
            <w:vAlign w:val="bottom"/>
          </w:tcPr>
          <w:p>
            <w:pPr>
              <w:jc w:val="center"/>
              <w:ind w:left="1410"/>
              <w:spacing w:after="0"/>
              <w:rPr>
                <w:sz w:val="20"/>
                <w:szCs w:val="20"/>
                <w:color w:val="auto"/>
              </w:rPr>
            </w:pPr>
            <w:r>
              <w:rPr>
                <w:rFonts w:ascii="Arial" w:cs="Arial" w:eastAsia="Arial" w:hAnsi="Arial"/>
                <w:sz w:val="18"/>
                <w:szCs w:val="18"/>
                <w:color w:val="auto"/>
                <w:w w:val="96"/>
              </w:rPr>
              <w:t>BRADY CORPORATION</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9760" w:type="dxa"/>
            <w:vAlign w:val="bottom"/>
          </w:tcPr>
          <w:p>
            <w:pPr>
              <w:jc w:val="center"/>
              <w:ind w:left="1390"/>
              <w:spacing w:after="0"/>
              <w:rPr>
                <w:sz w:val="20"/>
                <w:szCs w:val="20"/>
                <w:color w:val="auto"/>
              </w:rPr>
            </w:pPr>
            <w:r>
              <w:rPr>
                <w:rFonts w:ascii="Arial" w:cs="Arial" w:eastAsia="Arial" w:hAnsi="Arial"/>
                <w:sz w:val="18"/>
                <w:szCs w:val="18"/>
                <w:color w:val="auto"/>
              </w:rPr>
              <w:t>INDEX</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63"/>
        </w:trPr>
        <w:tc>
          <w:tcPr>
            <w:tcW w:w="9760" w:type="dxa"/>
            <w:vAlign w:val="bottom"/>
          </w:tcPr>
          <w:p>
            <w:pPr>
              <w:spacing w:after="0"/>
              <w:rPr>
                <w:sz w:val="24"/>
                <w:szCs w:val="24"/>
                <w:color w:val="auto"/>
              </w:rPr>
            </w:pPr>
          </w:p>
        </w:tc>
        <w:tc>
          <w:tcPr>
            <w:tcW w:w="1480" w:type="dxa"/>
            <w:vAlign w:val="bottom"/>
            <w:gridSpan w:val="2"/>
          </w:tcPr>
          <w:p>
            <w:pPr>
              <w:ind w:left="600"/>
              <w:spacing w:after="0"/>
              <w:rPr>
                <w:sz w:val="20"/>
                <w:szCs w:val="20"/>
                <w:color w:val="auto"/>
              </w:rPr>
            </w:pPr>
            <w:r>
              <w:rPr>
                <w:rFonts w:ascii="Arial" w:cs="Arial" w:eastAsia="Arial" w:hAnsi="Arial"/>
                <w:sz w:val="14"/>
                <w:szCs w:val="14"/>
                <w:color w:val="auto"/>
              </w:rPr>
              <w:t>Page</w:t>
            </w:r>
          </w:p>
        </w:tc>
      </w:tr>
      <w:tr>
        <w:trPr>
          <w:trHeight w:val="229"/>
        </w:trPr>
        <w:tc>
          <w:tcPr>
            <w:tcW w:w="9760" w:type="dxa"/>
            <w:vAlign w:val="bottom"/>
          </w:tcPr>
          <w:p>
            <w:pPr>
              <w:ind w:left="20"/>
              <w:spacing w:after="0"/>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1460" w:type="dxa"/>
            <w:vAlign w:val="bottom"/>
            <w:tcBorders>
              <w:top w:val="single" w:sz="8" w:color="auto"/>
            </w:tcBorders>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20" w:type="dxa"/>
            <w:vAlign w:val="bottom"/>
          </w:tcPr>
          <w:p>
            <w:pPr>
              <w:spacing w:after="0"/>
              <w:rPr>
                <w:sz w:val="19"/>
                <w:szCs w:val="19"/>
                <w:color w:val="auto"/>
              </w:rPr>
            </w:pPr>
          </w:p>
        </w:tc>
      </w:tr>
      <w:tr>
        <w:trPr>
          <w:trHeight w:val="230"/>
        </w:trPr>
        <w:tc>
          <w:tcPr>
            <w:tcW w:w="9760" w:type="dxa"/>
            <w:vAlign w:val="bottom"/>
          </w:tcPr>
          <w:p>
            <w:pPr>
              <w:ind w:left="140"/>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146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20" w:type="dxa"/>
            <w:vAlign w:val="bottom"/>
          </w:tcPr>
          <w:p>
            <w:pPr>
              <w:spacing w:after="0"/>
              <w:rPr>
                <w:sz w:val="19"/>
                <w:szCs w:val="19"/>
                <w:color w:val="auto"/>
              </w:rPr>
            </w:pPr>
          </w:p>
        </w:tc>
      </w:tr>
      <w:tr>
        <w:trPr>
          <w:trHeight w:val="229"/>
        </w:trPr>
        <w:tc>
          <w:tcPr>
            <w:tcW w:w="9760" w:type="dxa"/>
            <w:vAlign w:val="bottom"/>
          </w:tcPr>
          <w:p>
            <w:pPr>
              <w:ind w:left="36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146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20" w:type="dxa"/>
            <w:vAlign w:val="bottom"/>
          </w:tcPr>
          <w:p>
            <w:pPr>
              <w:spacing w:after="0"/>
              <w:rPr>
                <w:sz w:val="19"/>
                <w:szCs w:val="19"/>
                <w:color w:val="auto"/>
              </w:rPr>
            </w:pPr>
          </w:p>
        </w:tc>
      </w:tr>
      <w:tr>
        <w:trPr>
          <w:trHeight w:val="229"/>
        </w:trPr>
        <w:tc>
          <w:tcPr>
            <w:tcW w:w="9760" w:type="dxa"/>
            <w:vAlign w:val="bottom"/>
          </w:tcPr>
          <w:p>
            <w:pPr>
              <w:ind w:left="36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w:t>
              </w:r>
            </w:hyperlink>
          </w:p>
        </w:tc>
        <w:tc>
          <w:tcPr>
            <w:tcW w:w="146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20" w:type="dxa"/>
            <w:vAlign w:val="bottom"/>
          </w:tcPr>
          <w:p>
            <w:pPr>
              <w:spacing w:after="0"/>
              <w:rPr>
                <w:sz w:val="19"/>
                <w:szCs w:val="19"/>
                <w:color w:val="auto"/>
              </w:rPr>
            </w:pPr>
          </w:p>
        </w:tc>
      </w:tr>
      <w:tr>
        <w:trPr>
          <w:trHeight w:val="230"/>
        </w:trPr>
        <w:tc>
          <w:tcPr>
            <w:tcW w:w="9760" w:type="dxa"/>
            <w:vAlign w:val="bottom"/>
          </w:tcPr>
          <w:p>
            <w:pPr>
              <w:ind w:left="36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w:t>
              </w:r>
            </w:hyperlink>
          </w:p>
        </w:tc>
        <w:tc>
          <w:tcPr>
            <w:tcW w:w="146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20" w:type="dxa"/>
            <w:vAlign w:val="bottom"/>
          </w:tcPr>
          <w:p>
            <w:pPr>
              <w:spacing w:after="0"/>
              <w:rPr>
                <w:sz w:val="19"/>
                <w:szCs w:val="19"/>
                <w:color w:val="auto"/>
              </w:rPr>
            </w:pPr>
          </w:p>
        </w:tc>
      </w:tr>
      <w:tr>
        <w:trPr>
          <w:trHeight w:val="229"/>
        </w:trPr>
        <w:tc>
          <w:tcPr>
            <w:tcW w:w="9760" w:type="dxa"/>
            <w:vAlign w:val="bottom"/>
          </w:tcPr>
          <w:p>
            <w:pPr>
              <w:ind w:left="36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146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20" w:type="dxa"/>
            <w:vAlign w:val="bottom"/>
          </w:tcPr>
          <w:p>
            <w:pPr>
              <w:spacing w:after="0"/>
              <w:rPr>
                <w:sz w:val="19"/>
                <w:szCs w:val="19"/>
                <w:color w:val="auto"/>
              </w:rPr>
            </w:pPr>
          </w:p>
        </w:tc>
      </w:tr>
      <w:tr>
        <w:trPr>
          <w:trHeight w:val="230"/>
        </w:trPr>
        <w:tc>
          <w:tcPr>
            <w:tcW w:w="9760" w:type="dxa"/>
            <w:vAlign w:val="bottom"/>
          </w:tcPr>
          <w:p>
            <w:pPr>
              <w:ind w:left="360"/>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46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20" w:type="dxa"/>
            <w:vAlign w:val="bottom"/>
          </w:tcPr>
          <w:p>
            <w:pPr>
              <w:spacing w:after="0"/>
              <w:rPr>
                <w:sz w:val="19"/>
                <w:szCs w:val="19"/>
                <w:color w:val="auto"/>
              </w:rPr>
            </w:pPr>
          </w:p>
        </w:tc>
      </w:tr>
      <w:tr>
        <w:trPr>
          <w:trHeight w:val="229"/>
        </w:trPr>
        <w:tc>
          <w:tcPr>
            <w:tcW w:w="9760" w:type="dxa"/>
            <w:vAlign w:val="bottom"/>
          </w:tcPr>
          <w:p>
            <w:pPr>
              <w:ind w:left="140"/>
              <w:spacing w:after="0"/>
              <w:rPr>
                <w:rFonts w:ascii="Arial" w:cs="Arial" w:eastAsia="Arial" w:hAnsi="Arial"/>
                <w:sz w:val="18"/>
                <w:szCs w:val="18"/>
                <w:color w:val="0000FF"/>
              </w:rPr>
            </w:pPr>
            <w:hyperlink w:anchor="page16">
              <w:r>
                <w:rPr>
                  <w:rFonts w:ascii="Arial" w:cs="Arial" w:eastAsia="Arial" w:hAnsi="Arial"/>
                  <w:sz w:val="18"/>
                  <w:szCs w:val="18"/>
                  <w:color w:val="0000FF"/>
                </w:rPr>
                <w:t>Item 2. Management’s Discussion and Analysis of Results of Operations and Financial Condition</w:t>
              </w:r>
            </w:hyperlink>
          </w:p>
        </w:tc>
        <w:tc>
          <w:tcPr>
            <w:tcW w:w="1460" w:type="dxa"/>
            <w:vAlign w:val="bottom"/>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c>
          <w:tcPr>
            <w:tcW w:w="20" w:type="dxa"/>
            <w:vAlign w:val="bottom"/>
          </w:tcPr>
          <w:p>
            <w:pPr>
              <w:spacing w:after="0"/>
              <w:rPr>
                <w:sz w:val="19"/>
                <w:szCs w:val="19"/>
                <w:color w:val="auto"/>
              </w:rPr>
            </w:pPr>
          </w:p>
        </w:tc>
      </w:tr>
      <w:tr>
        <w:trPr>
          <w:trHeight w:val="229"/>
        </w:trPr>
        <w:tc>
          <w:tcPr>
            <w:tcW w:w="9760" w:type="dxa"/>
            <w:vAlign w:val="bottom"/>
          </w:tcPr>
          <w:p>
            <w:pPr>
              <w:ind w:left="140"/>
              <w:spacing w:after="0"/>
              <w:rPr>
                <w:rFonts w:ascii="Arial" w:cs="Arial" w:eastAsia="Arial" w:hAnsi="Arial"/>
                <w:sz w:val="18"/>
                <w:szCs w:val="18"/>
                <w:color w:val="0000FF"/>
              </w:rPr>
            </w:pPr>
            <w:hyperlink w:anchor="page22">
              <w:r>
                <w:rPr>
                  <w:rFonts w:ascii="Arial" w:cs="Arial" w:eastAsia="Arial" w:hAnsi="Arial"/>
                  <w:sz w:val="18"/>
                  <w:szCs w:val="18"/>
                  <w:color w:val="0000FF"/>
                </w:rPr>
                <w:t>Item 3. Quantitative and Qualitative Disclosures About Market Risk</w:t>
              </w:r>
            </w:hyperlink>
          </w:p>
        </w:tc>
        <w:tc>
          <w:tcPr>
            <w:tcW w:w="1460" w:type="dxa"/>
            <w:vAlign w:val="bottom"/>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23</w:t>
              </w:r>
            </w:hyperlink>
          </w:p>
        </w:tc>
        <w:tc>
          <w:tcPr>
            <w:tcW w:w="20" w:type="dxa"/>
            <w:vAlign w:val="bottom"/>
          </w:tcPr>
          <w:p>
            <w:pPr>
              <w:spacing w:after="0"/>
              <w:rPr>
                <w:sz w:val="19"/>
                <w:szCs w:val="19"/>
                <w:color w:val="auto"/>
              </w:rPr>
            </w:pPr>
          </w:p>
        </w:tc>
      </w:tr>
      <w:tr>
        <w:trPr>
          <w:trHeight w:val="230"/>
        </w:trPr>
        <w:tc>
          <w:tcPr>
            <w:tcW w:w="9760" w:type="dxa"/>
            <w:vAlign w:val="bottom"/>
          </w:tcPr>
          <w:p>
            <w:pPr>
              <w:ind w:left="140"/>
              <w:spacing w:after="0"/>
              <w:rPr>
                <w:rFonts w:ascii="Arial" w:cs="Arial" w:eastAsia="Arial" w:hAnsi="Arial"/>
                <w:sz w:val="18"/>
                <w:szCs w:val="18"/>
                <w:color w:val="0000FF"/>
              </w:rPr>
            </w:pPr>
            <w:hyperlink w:anchor="page23">
              <w:r>
                <w:rPr>
                  <w:rFonts w:ascii="Arial" w:cs="Arial" w:eastAsia="Arial" w:hAnsi="Arial"/>
                  <w:sz w:val="18"/>
                  <w:szCs w:val="18"/>
                  <w:color w:val="0000FF"/>
                </w:rPr>
                <w:t>Item 4. Controls and Procedures</w:t>
              </w:r>
            </w:hyperlink>
          </w:p>
        </w:tc>
        <w:tc>
          <w:tcPr>
            <w:tcW w:w="1460" w:type="dxa"/>
            <w:vAlign w:val="bottom"/>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20" w:type="dxa"/>
            <w:vAlign w:val="bottom"/>
          </w:tcPr>
          <w:p>
            <w:pPr>
              <w:spacing w:after="0"/>
              <w:rPr>
                <w:sz w:val="19"/>
                <w:szCs w:val="19"/>
                <w:color w:val="auto"/>
              </w:rPr>
            </w:pPr>
          </w:p>
        </w:tc>
      </w:tr>
      <w:tr>
        <w:trPr>
          <w:trHeight w:val="229"/>
        </w:trPr>
        <w:tc>
          <w:tcPr>
            <w:tcW w:w="9760" w:type="dxa"/>
            <w:vAlign w:val="bottom"/>
          </w:tcPr>
          <w:p>
            <w:pPr>
              <w:ind w:left="20"/>
              <w:spacing w:after="0"/>
              <w:rPr>
                <w:rFonts w:ascii="Arial" w:cs="Arial" w:eastAsia="Arial" w:hAnsi="Arial"/>
                <w:sz w:val="18"/>
                <w:szCs w:val="18"/>
                <w:color w:val="0000FF"/>
              </w:rPr>
            </w:pPr>
            <w:hyperlink w:anchor="page23">
              <w:r>
                <w:rPr>
                  <w:rFonts w:ascii="Arial" w:cs="Arial" w:eastAsia="Arial" w:hAnsi="Arial"/>
                  <w:sz w:val="18"/>
                  <w:szCs w:val="18"/>
                  <w:color w:val="0000FF"/>
                </w:rPr>
                <w:t>PART II. Other Information</w:t>
              </w:r>
            </w:hyperlink>
          </w:p>
        </w:tc>
        <w:tc>
          <w:tcPr>
            <w:tcW w:w="1460" w:type="dxa"/>
            <w:vAlign w:val="bottom"/>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24</w:t>
              </w:r>
            </w:hyperlink>
          </w:p>
        </w:tc>
        <w:tc>
          <w:tcPr>
            <w:tcW w:w="20" w:type="dxa"/>
            <w:vAlign w:val="bottom"/>
          </w:tcPr>
          <w:p>
            <w:pPr>
              <w:spacing w:after="0"/>
              <w:rPr>
                <w:sz w:val="19"/>
                <w:szCs w:val="19"/>
                <w:color w:val="auto"/>
              </w:rPr>
            </w:pPr>
          </w:p>
        </w:tc>
      </w:tr>
      <w:tr>
        <w:trPr>
          <w:trHeight w:val="229"/>
        </w:trPr>
        <w:tc>
          <w:tcPr>
            <w:tcW w:w="9760" w:type="dxa"/>
            <w:vAlign w:val="bottom"/>
          </w:tcPr>
          <w:p>
            <w:pPr>
              <w:ind w:left="140"/>
              <w:spacing w:after="0"/>
              <w:rPr>
                <w:rFonts w:ascii="Arial" w:cs="Arial" w:eastAsia="Arial" w:hAnsi="Arial"/>
                <w:sz w:val="18"/>
                <w:szCs w:val="18"/>
                <w:color w:val="0000FF"/>
              </w:rPr>
            </w:pPr>
            <w:hyperlink w:anchor="page24">
              <w:r>
                <w:rPr>
                  <w:rFonts w:ascii="Arial" w:cs="Arial" w:eastAsia="Arial" w:hAnsi="Arial"/>
                  <w:sz w:val="18"/>
                  <w:szCs w:val="18"/>
                  <w:color w:val="0000FF"/>
                </w:rPr>
                <w:t>Item 1A. Risk Factors</w:t>
              </w:r>
            </w:hyperlink>
          </w:p>
        </w:tc>
        <w:tc>
          <w:tcPr>
            <w:tcW w:w="1460" w:type="dxa"/>
            <w:vAlign w:val="bottom"/>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20" w:type="dxa"/>
            <w:vAlign w:val="bottom"/>
          </w:tcPr>
          <w:p>
            <w:pPr>
              <w:spacing w:after="0"/>
              <w:rPr>
                <w:sz w:val="19"/>
                <w:szCs w:val="19"/>
                <w:color w:val="auto"/>
              </w:rPr>
            </w:pPr>
          </w:p>
        </w:tc>
      </w:tr>
      <w:tr>
        <w:trPr>
          <w:trHeight w:val="230"/>
        </w:trPr>
        <w:tc>
          <w:tcPr>
            <w:tcW w:w="9760" w:type="dxa"/>
            <w:vAlign w:val="bottom"/>
          </w:tcPr>
          <w:p>
            <w:pPr>
              <w:ind w:left="140"/>
              <w:spacing w:after="0"/>
              <w:rPr>
                <w:rFonts w:ascii="Arial" w:cs="Arial" w:eastAsia="Arial" w:hAnsi="Arial"/>
                <w:sz w:val="18"/>
                <w:szCs w:val="18"/>
                <w:color w:val="0000FF"/>
              </w:rPr>
            </w:pPr>
            <w:hyperlink w:anchor="page24">
              <w:r>
                <w:rPr>
                  <w:rFonts w:ascii="Arial" w:cs="Arial" w:eastAsia="Arial" w:hAnsi="Arial"/>
                  <w:sz w:val="18"/>
                  <w:szCs w:val="18"/>
                  <w:color w:val="0000FF"/>
                </w:rPr>
                <w:t>Item 2. Unregistered Sales of Equity Securities and Use of Proceeds</w:t>
              </w:r>
            </w:hyperlink>
          </w:p>
        </w:tc>
        <w:tc>
          <w:tcPr>
            <w:tcW w:w="1460" w:type="dxa"/>
            <w:vAlign w:val="bottom"/>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c>
          <w:tcPr>
            <w:tcW w:w="20" w:type="dxa"/>
            <w:vAlign w:val="bottom"/>
          </w:tcPr>
          <w:p>
            <w:pPr>
              <w:spacing w:after="0"/>
              <w:rPr>
                <w:sz w:val="19"/>
                <w:szCs w:val="19"/>
                <w:color w:val="auto"/>
              </w:rPr>
            </w:pPr>
          </w:p>
        </w:tc>
      </w:tr>
      <w:tr>
        <w:trPr>
          <w:trHeight w:val="229"/>
        </w:trPr>
        <w:tc>
          <w:tcPr>
            <w:tcW w:w="9760" w:type="dxa"/>
            <w:vAlign w:val="bottom"/>
          </w:tcPr>
          <w:p>
            <w:pPr>
              <w:ind w:left="140"/>
              <w:spacing w:after="0"/>
              <w:rPr>
                <w:rFonts w:ascii="Arial" w:cs="Arial" w:eastAsia="Arial" w:hAnsi="Arial"/>
                <w:sz w:val="18"/>
                <w:szCs w:val="18"/>
                <w:color w:val="0000FF"/>
              </w:rPr>
            </w:pPr>
            <w:hyperlink w:anchor="page25">
              <w:r>
                <w:rPr>
                  <w:rFonts w:ascii="Arial" w:cs="Arial" w:eastAsia="Arial" w:hAnsi="Arial"/>
                  <w:sz w:val="18"/>
                  <w:szCs w:val="18"/>
                  <w:color w:val="0000FF"/>
                </w:rPr>
                <w:t>Item 6. Exhibits</w:t>
              </w:r>
            </w:hyperlink>
          </w:p>
        </w:tc>
        <w:tc>
          <w:tcPr>
            <w:tcW w:w="1460" w:type="dxa"/>
            <w:vAlign w:val="bottom"/>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20" w:type="dxa"/>
            <w:vAlign w:val="bottom"/>
          </w:tcPr>
          <w:p>
            <w:pPr>
              <w:spacing w:after="0"/>
              <w:rPr>
                <w:sz w:val="19"/>
                <w:szCs w:val="19"/>
                <w:color w:val="auto"/>
              </w:rPr>
            </w:pPr>
          </w:p>
        </w:tc>
      </w:tr>
      <w:tr>
        <w:trPr>
          <w:trHeight w:val="230"/>
        </w:trPr>
        <w:tc>
          <w:tcPr>
            <w:tcW w:w="9760" w:type="dxa"/>
            <w:vAlign w:val="bottom"/>
          </w:tcPr>
          <w:p>
            <w:pPr>
              <w:ind w:left="140"/>
              <w:spacing w:after="0"/>
              <w:rPr>
                <w:rFonts w:ascii="Arial" w:cs="Arial" w:eastAsia="Arial" w:hAnsi="Arial"/>
                <w:sz w:val="18"/>
                <w:szCs w:val="18"/>
                <w:color w:val="0000FF"/>
              </w:rPr>
            </w:pPr>
            <w:hyperlink w:anchor="page25">
              <w:r>
                <w:rPr>
                  <w:rFonts w:ascii="Arial" w:cs="Arial" w:eastAsia="Arial" w:hAnsi="Arial"/>
                  <w:sz w:val="18"/>
                  <w:szCs w:val="18"/>
                  <w:color w:val="0000FF"/>
                </w:rPr>
                <w:t>Signatures</w:t>
              </w:r>
            </w:hyperlink>
          </w:p>
        </w:tc>
        <w:tc>
          <w:tcPr>
            <w:tcW w:w="1460" w:type="dxa"/>
            <w:vAlign w:val="bottom"/>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c>
          <w:tcPr>
            <w:tcW w:w="20" w:type="dxa"/>
            <w:vAlign w:val="bottom"/>
          </w:tcPr>
          <w:p>
            <w:pPr>
              <w:spacing w:after="0"/>
              <w:rPr>
                <w:sz w:val="20"/>
                <w:szCs w:val="20"/>
                <w:color w:val="auto"/>
              </w:rPr>
            </w:pPr>
          </w:p>
        </w:tc>
      </w:tr>
      <w:tr>
        <w:trPr>
          <w:trHeight w:val="850"/>
        </w:trPr>
        <w:tc>
          <w:tcPr>
            <w:tcW w:w="9760" w:type="dxa"/>
            <w:vAlign w:val="bottom"/>
          </w:tcPr>
          <w:p>
            <w:pPr>
              <w:jc w:val="center"/>
              <w:ind w:left="1390"/>
              <w:spacing w:after="0"/>
              <w:rPr>
                <w:sz w:val="20"/>
                <w:szCs w:val="20"/>
                <w:color w:val="auto"/>
              </w:rPr>
            </w:pPr>
            <w:r>
              <w:rPr>
                <w:rFonts w:ascii="Arial" w:cs="Arial" w:eastAsia="Arial" w:hAnsi="Arial"/>
                <w:sz w:val="18"/>
                <w:szCs w:val="18"/>
                <w:color w:val="auto"/>
                <w:w w:val="79"/>
              </w:rPr>
              <w:t>2</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7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ITEM 1.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31, 2020</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2020</w:t>
            </w:r>
          </w:p>
        </w:tc>
        <w:tc>
          <w:tcPr>
            <w:tcW w:w="0" w:type="dxa"/>
            <w:vAlign w:val="bottom"/>
          </w:tcPr>
          <w:p>
            <w:pPr>
              <w:spacing w:after="0"/>
              <w:rPr>
                <w:sz w:val="1"/>
                <w:szCs w:val="1"/>
                <w:color w:val="auto"/>
              </w:rPr>
            </w:pPr>
          </w:p>
        </w:tc>
      </w:tr>
      <w:tr>
        <w:trPr>
          <w:trHeight w:val="210"/>
        </w:trPr>
        <w:tc>
          <w:tcPr>
            <w:tcW w:w="79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8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217,643</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Accounts receivable, net of allowance for credit losses of $7,704 and $7,157, respectively</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156,735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146,181</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135,662</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9,962</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544,777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509,448</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Property, plant and equipment—net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119,960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115,068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412,718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416,034</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20,910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22,334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8,845</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41,013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41,899</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27,353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28,838</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1,175,707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1,142,466</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shd w:val="clear" w:color="auto" w:fill="CCEEFF"/>
          </w:tcPr>
          <w:p>
            <w:pPr>
              <w:ind w:left="22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62,547</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55,410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41,546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other than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8,057</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Accrued income taxes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10,707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8,652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operating lease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15,304</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51,343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49,782</w:t>
            </w:r>
          </w:p>
        </w:tc>
        <w:tc>
          <w:tcPr>
            <w:tcW w:w="0" w:type="dxa"/>
            <w:vAlign w:val="bottom"/>
          </w:tcPr>
          <w:p>
            <w:pPr>
              <w:spacing w:after="0"/>
              <w:rPr>
                <w:sz w:val="1"/>
                <w:szCs w:val="1"/>
                <w:color w:val="auto"/>
              </w:rPr>
            </w:pPr>
          </w:p>
        </w:tc>
      </w:tr>
      <w:tr>
        <w:trPr>
          <w:trHeight w:val="213"/>
        </w:trPr>
        <w:tc>
          <w:tcPr>
            <w:tcW w:w="7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185,888</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29,951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31,982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60,394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61,524</w:t>
            </w:r>
          </w:p>
        </w:tc>
        <w:tc>
          <w:tcPr>
            <w:tcW w:w="0" w:type="dxa"/>
            <w:vAlign w:val="bottom"/>
          </w:tcPr>
          <w:p>
            <w:pPr>
              <w:spacing w:after="0"/>
              <w:rPr>
                <w:sz w:val="1"/>
                <w:szCs w:val="1"/>
                <w:color w:val="auto"/>
              </w:rPr>
            </w:pPr>
          </w:p>
        </w:tc>
      </w:tr>
      <w:tr>
        <w:trPr>
          <w:trHeight w:val="206"/>
        </w:trPr>
        <w:tc>
          <w:tcPr>
            <w:tcW w:w="794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295,306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279,394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940" w:type="dxa"/>
            <w:vAlign w:val="bottom"/>
          </w:tcPr>
          <w:p>
            <w:pPr>
              <w:ind w:left="360"/>
              <w:spacing w:after="0" w:line="166" w:lineRule="exact"/>
              <w:rPr>
                <w:sz w:val="20"/>
                <w:szCs w:val="20"/>
                <w:color w:val="auto"/>
              </w:rPr>
            </w:pPr>
            <w:r>
              <w:rPr>
                <w:rFonts w:ascii="Arial" w:cs="Arial" w:eastAsia="Arial" w:hAnsi="Arial"/>
                <w:sz w:val="16"/>
                <w:szCs w:val="16"/>
                <w:color w:val="auto"/>
                <w:w w:val="92"/>
              </w:rPr>
              <w:t>Class A nonvoting common stock—Issued 51,261,487 shares, and outstanding 48,497,649 and 48,456,954 shares,</w:t>
            </w: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09"/>
        </w:trPr>
        <w:tc>
          <w:tcPr>
            <w:tcW w:w="7940" w:type="dxa"/>
            <w:vAlign w:val="bottom"/>
          </w:tcPr>
          <w:p>
            <w:pPr>
              <w:ind w:left="360"/>
              <w:spacing w:after="0"/>
              <w:rPr>
                <w:sz w:val="20"/>
                <w:szCs w:val="20"/>
                <w:color w:val="auto"/>
              </w:rPr>
            </w:pPr>
            <w:r>
              <w:rPr>
                <w:rFonts w:ascii="Arial" w:cs="Arial" w:eastAsia="Arial" w:hAnsi="Arial"/>
                <w:sz w:val="16"/>
                <w:szCs w:val="16"/>
                <w:color w:val="auto"/>
              </w:rPr>
              <w:t>respectively</w:t>
            </w: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Class B voting common stock—Issued and outstanding, 3,538,628 shares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332,121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331,761</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726,546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704,456</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w w:val="98"/>
              </w:rPr>
              <w:t>Treasury stock—2,763,838 and 2,804,533 shares, respectively, of Class A nonvoting common stock, at cost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(109,146)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(107,216)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(69,668)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(66,477)</w:t>
            </w:r>
          </w:p>
        </w:tc>
        <w:tc>
          <w:tcPr>
            <w:tcW w:w="0" w:type="dxa"/>
            <w:vAlign w:val="bottom"/>
          </w:tcPr>
          <w:p>
            <w:pPr>
              <w:spacing w:after="0"/>
              <w:rPr>
                <w:sz w:val="1"/>
                <w:szCs w:val="1"/>
                <w:color w:val="auto"/>
              </w:rPr>
            </w:pPr>
          </w:p>
        </w:tc>
      </w:tr>
      <w:tr>
        <w:trPr>
          <w:trHeight w:val="206"/>
        </w:trPr>
        <w:tc>
          <w:tcPr>
            <w:tcW w:w="79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880,401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863,072</w:t>
            </w:r>
          </w:p>
        </w:tc>
        <w:tc>
          <w:tcPr>
            <w:tcW w:w="0" w:type="dxa"/>
            <w:vAlign w:val="bottom"/>
          </w:tcPr>
          <w:p>
            <w:pPr>
              <w:spacing w:after="0"/>
              <w:rPr>
                <w:sz w:val="1"/>
                <w:szCs w:val="1"/>
                <w:color w:val="auto"/>
              </w:rPr>
            </w:pPr>
          </w:p>
        </w:tc>
      </w:tr>
      <w:tr>
        <w:trPr>
          <w:trHeight w:val="23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1,175,707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1,142,466</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Except Per Share Amounts, 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w w:val="93"/>
              </w:rPr>
              <w:t>Three months ended October 31,</w:t>
            </w:r>
          </w:p>
        </w:tc>
      </w:tr>
      <w:tr>
        <w:trPr>
          <w:trHeight w:val="210"/>
        </w:trPr>
        <w:tc>
          <w:tcPr>
            <w:tcW w:w="8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286,947</w:t>
            </w:r>
          </w:p>
        </w:tc>
      </w:tr>
      <w:tr>
        <w:trPr>
          <w:trHeight w:val="21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141,799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145,542</w:t>
            </w:r>
          </w:p>
        </w:tc>
      </w:tr>
      <w:tr>
        <w:trPr>
          <w:trHeight w:val="213"/>
        </w:trPr>
        <w:tc>
          <w:tcPr>
            <w:tcW w:w="8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Gross margin</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141,405</w:t>
            </w: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8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10,967</w:t>
            </w:r>
          </w:p>
        </w:tc>
      </w:tr>
      <w:tr>
        <w:trPr>
          <w:trHeight w:val="213"/>
        </w:trPr>
        <w:tc>
          <w:tcPr>
            <w:tcW w:w="84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83,037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89,547</w:t>
            </w:r>
          </w:p>
        </w:tc>
      </w:tr>
      <w:tr>
        <w:trPr>
          <w:trHeight w:val="21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100,514</w:t>
            </w: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42,188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40,891</w:t>
            </w: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400" w:type="dxa"/>
            <w:vAlign w:val="bottom"/>
          </w:tcPr>
          <w:p>
            <w:pPr>
              <w:ind w:left="400"/>
              <w:spacing w:after="0"/>
              <w:rPr>
                <w:sz w:val="20"/>
                <w:szCs w:val="20"/>
                <w:color w:val="auto"/>
              </w:rPr>
            </w:pPr>
            <w:r>
              <w:rPr>
                <w:rFonts w:ascii="Arial" w:cs="Arial" w:eastAsia="Arial" w:hAnsi="Arial"/>
                <w:sz w:val="16"/>
                <w:szCs w:val="16"/>
                <w:color w:val="auto"/>
              </w:rPr>
              <w:t>Investment and other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1,380</w:t>
            </w:r>
          </w:p>
        </w:tc>
      </w:tr>
      <w:tr>
        <w:trPr>
          <w:trHeight w:val="219"/>
        </w:trPr>
        <w:tc>
          <w:tcPr>
            <w:tcW w:w="8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w:t>
            </w: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Income before income taxes and losses of unconsolidated affiliate</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42,237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41,570</w:t>
            </w: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4,072</w:t>
            </w: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Income before losses of unconsolidated affiliate</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33,655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37,498</w:t>
            </w: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losses of unconsolidated affiliate</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33,481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37,498</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8400" w:type="dxa"/>
            <w:vAlign w:val="bottom"/>
          </w:tcPr>
          <w:p>
            <w:pPr>
              <w:ind w:left="40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0.71</w:t>
            </w:r>
          </w:p>
        </w:tc>
      </w:tr>
      <w:tr>
        <w:trPr>
          <w:trHeight w:val="219"/>
        </w:trPr>
        <w:tc>
          <w:tcPr>
            <w:tcW w:w="8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r>
      <w:tr>
        <w:trPr>
          <w:trHeight w:val="213"/>
        </w:trPr>
        <w:tc>
          <w:tcPr>
            <w:tcW w:w="8400" w:type="dxa"/>
            <w:vAlign w:val="bottom"/>
          </w:tcPr>
          <w:p>
            <w:pPr>
              <w:ind w:left="400"/>
              <w:spacing w:after="0"/>
              <w:rPr>
                <w:sz w:val="20"/>
                <w:szCs w:val="20"/>
                <w:color w:val="auto"/>
              </w:rPr>
            </w:pPr>
            <w:r>
              <w:rPr>
                <w:rFonts w:ascii="Arial" w:cs="Arial" w:eastAsia="Arial" w:hAnsi="Arial"/>
                <w:sz w:val="16"/>
                <w:szCs w:val="16"/>
                <w:color w:val="auto"/>
              </w:rPr>
              <w:t>Dividends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0.22</w:t>
            </w: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400" w:type="dxa"/>
            <w:vAlign w:val="bottom"/>
          </w:tcPr>
          <w:p>
            <w:pPr>
              <w:ind w:left="40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0.63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0.69</w:t>
            </w:r>
          </w:p>
        </w:tc>
      </w:tr>
      <w:tr>
        <w:trPr>
          <w:trHeight w:val="219"/>
        </w:trPr>
        <w:tc>
          <w:tcPr>
            <w:tcW w:w="8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0.68</w:t>
            </w:r>
          </w:p>
        </w:tc>
      </w:tr>
      <w:tr>
        <w:trPr>
          <w:trHeight w:val="213"/>
        </w:trPr>
        <w:tc>
          <w:tcPr>
            <w:tcW w:w="8400" w:type="dxa"/>
            <w:vAlign w:val="bottom"/>
          </w:tcPr>
          <w:p>
            <w:pPr>
              <w:ind w:left="400"/>
              <w:spacing w:after="0"/>
              <w:rPr>
                <w:sz w:val="20"/>
                <w:szCs w:val="20"/>
                <w:color w:val="auto"/>
              </w:rPr>
            </w:pPr>
            <w:r>
              <w:rPr>
                <w:rFonts w:ascii="Arial" w:cs="Arial" w:eastAsia="Arial" w:hAnsi="Arial"/>
                <w:sz w:val="16"/>
                <w:szCs w:val="16"/>
                <w:color w:val="auto"/>
              </w:rPr>
              <w:t>Dividends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0.20</w:t>
            </w: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400" w:type="dxa"/>
            <w:vAlign w:val="bottom"/>
          </w:tcPr>
          <w:p>
            <w:pPr>
              <w:ind w:left="38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52,021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53,143</w:t>
            </w:r>
          </w:p>
        </w:tc>
      </w:tr>
      <w:tr>
        <w:trPr>
          <w:trHeight w:val="219"/>
        </w:trPr>
        <w:tc>
          <w:tcPr>
            <w:tcW w:w="8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53,736</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40" w:type="dxa"/>
            <w:vAlign w:val="bottom"/>
          </w:tcPr>
          <w:p>
            <w:pPr>
              <w:spacing w:after="0"/>
              <w:rPr>
                <w:sz w:val="20"/>
                <w:szCs w:val="20"/>
                <w:color w:val="auto"/>
              </w:rPr>
            </w:pPr>
            <w:r>
              <w:rPr>
                <w:rFonts w:ascii="Arial" w:cs="Arial" w:eastAsia="Arial" w:hAnsi="Arial"/>
                <w:sz w:val="16"/>
                <w:szCs w:val="16"/>
                <w:color w:val="auto"/>
              </w:rPr>
              <w:t>(Dollars in Thousands, Unaudited)</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2"/>
        </w:trPr>
        <w:tc>
          <w:tcPr>
            <w:tcW w:w="8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w w:val="93"/>
              </w:rPr>
              <w:t>Three months ended October 31,</w:t>
            </w:r>
          </w:p>
        </w:tc>
      </w:tr>
      <w:tr>
        <w:trPr>
          <w:trHeight w:val="210"/>
        </w:trPr>
        <w:tc>
          <w:tcPr>
            <w:tcW w:w="8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212"/>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37,498</w:t>
            </w: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6"/>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40" w:type="dxa"/>
            <w:vAlign w:val="bottom"/>
          </w:tcPr>
          <w:p>
            <w:pPr>
              <w:ind w:left="680"/>
              <w:spacing w:after="0"/>
              <w:rPr>
                <w:sz w:val="20"/>
                <w:szCs w:val="20"/>
                <w:color w:val="auto"/>
              </w:rPr>
            </w:pPr>
            <w:r>
              <w:rPr>
                <w:rFonts w:ascii="Arial" w:cs="Arial" w:eastAsia="Arial" w:hAnsi="Arial"/>
                <w:sz w:val="16"/>
                <w:szCs w:val="16"/>
                <w:color w:val="auto"/>
              </w:rPr>
              <w:t>Net gain recognized in other comprehensive loss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16"/>
        </w:trPr>
        <w:tc>
          <w:tcPr>
            <w:tcW w:w="8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Reclassification adjustment for losses (gains) included in net income</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r>
      <w:tr>
        <w:trPr>
          <w:trHeight w:val="209"/>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9"/>
        </w:trPr>
        <w:tc>
          <w:tcPr>
            <w:tcW w:w="8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tcPr>
          <w:p>
            <w:pPr>
              <w:ind w:left="680"/>
              <w:spacing w:after="0"/>
              <w:rPr>
                <w:sz w:val="20"/>
                <w:szCs w:val="20"/>
                <w:color w:val="auto"/>
              </w:rPr>
            </w:pPr>
            <w:r>
              <w:rPr>
                <w:rFonts w:ascii="Arial" w:cs="Arial" w:eastAsia="Arial" w:hAnsi="Arial"/>
                <w:sz w:val="16"/>
                <w:szCs w:val="16"/>
                <w:color w:val="auto"/>
              </w:rPr>
              <w:t>Pension and other post-retirement benefits actuarial gain amortization</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19"/>
        </w:trPr>
        <w:tc>
          <w:tcPr>
            <w:tcW w:w="8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Other comprehensive loss, before tax</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related to items of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07"/>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loss, net of tax</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3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30,290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37,469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w w:val="96"/>
              </w:rPr>
              <w:t>Three months ended October 31,</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33,481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37,498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5,634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3,618</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Equity in losses of unconsolidated affiliate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1,533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(11,371)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(4,362)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Income taxes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38,848</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(7,724)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06"/>
        </w:trPr>
        <w:tc>
          <w:tcPr>
            <w:tcW w:w="8180" w:type="dxa"/>
            <w:vAlign w:val="bottom"/>
          </w:tcPr>
          <w:p>
            <w:pPr>
              <w:ind w:left="15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(9,202)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(7,197)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Payment of dividends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(11,533)</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3,411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Payments for employee taxes withheld from stock-based awards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(7,269)</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Purchase of treasury stock</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6"/>
        </w:trPr>
        <w:tc>
          <w:tcPr>
            <w:tcW w:w="8180" w:type="dxa"/>
            <w:vAlign w:val="bottom"/>
          </w:tcPr>
          <w:p>
            <w:pPr>
              <w:ind w:left="152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(16,551)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(15,326)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38,690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16,021</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217,643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279,072</w:t>
            </w: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256,333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295,093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See Notes to Condensed Consolidated Financial Statements.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8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October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October 31, 2020 and July 31, 2020, its results of operations and comprehensive income for the three months ended October 31, 2020 and 2019, and cash flows for the three months ended October 31, 2020 and 2019. The condensed consolidated balance sheet as of July 31, 2020,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2020.</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NOTE B — 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Adopted Standards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which changes the impairment model for most financial instruments. Prior guidance required the recognition of credit losses based on an incurred loss impairment methodology that reflected losses once the losses were probable. Under ASU 2016-13, the Company is required to use a current expected credit loss model ("CECL") that immediately recognizes an estimate of credit losses that are expected to occur over the life of the financial instruments that are in the scope of this update, including trade receivables. The CECL model uses a broader range of reasonable and supportable information in the development of credit loss estimates. The guidance is effective for interim periods in fiscal years beginning after December 15, 2019. The Company adopted ASU 2016-13 effective August 1, 2020, which did not have a material impact on its consolidated financial statements.</w:t>
      </w:r>
    </w:p>
    <w:p>
      <w:pPr>
        <w:spacing w:after="0" w:line="11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January 2017, the FASB issued ASU 2017-04, "Goodwill and Other, Simplifying the Test for Goodwill Impairment." The new guidance removes Step 2 of the goodwill impairment test, which required a hypothetical purchase price allocation. A goodwill impairment is now the amount by which a reporting unit’s carrying value exceeds its fair value, not to exceed the carrying amount of goodwill. All other goodwill impairment guidance remains largely unchanged. The guidance is effective for interim periods in fiscal years beginning after December 15, 2019. The Company adopted ASC 2017-04 effective August 1, 2020. This guidance only impacts the Company's consolidated financial statements if there is a future impairment of goodwill.</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Standards not yet adopted</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2019, the FASB issued ASU 2019-12, "Income Taxes - Simplifying the Accounting for Income Taxes (Topic 740)." The new guidance removes certain exceptions to the general principles in ASC 740 such as recognizing deferred taxes for equity investments, the incremental approach to performing intraperiod tax allocation and calculating income taxes in interim periods. The standard also simplifies accounting for income taxes under U.S. GAAP by clarifying and amending existing guidance, including the recognition of deferred taxes for goodwill, the allocation of taxes to members of a consolidated group and requiring that an entity reflect the effect of enacted changes in tax laws or rates in the annual effective tax rate computation in the interim period that includes the enactment date. This guidance is effective for annual periods beginning after December 15, 2020, and interim periods thereafter. Early adoption is permitted. The Company is currently evaluating the impact that the adoption of this ASU will have on the consolidated financial statements and related disclosures.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March 2020, the FASB issued ASU 2020-04, "Reference Rate Reform (Topic 848): Facilitation of the Effects of Reference Rate Reform on Financial Reporting." Subject to meeting certain criteria, the new guidance provides optional expedients and exceptions to applying contract modification accounting under existing U.S. GAAP, to address the expected phase out of the London Inter-bank Offered Rate ("LIBOR") by the end of 2021. This guidance is effective upon issuance and allows application to contract changes as early as January 1, 2020. Some of the Company's contracts with respect to its borrowing agreements already contain comparable alternative reference rates that would automatically take effect upon the phasing out of LIBOR. The Company is in the process of reviewing its bank facilities and commercial contracts that utilize LIBOR as the reference rate and is currently evaluating the potential impact that the adoption of this ASU will have on the consolidated financial statements and related disclosures.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NOTE C — Additional Balance Sheet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as of October 31, 2020, and July 31, 2020, consisted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31,</w:t>
            </w:r>
          </w:p>
        </w:tc>
        <w:tc>
          <w:tcPr>
            <w:tcW w:w="120" w:type="dxa"/>
            <w:vAlign w:val="bottom"/>
          </w:tcPr>
          <w:p>
            <w:pPr>
              <w:spacing w:after="0"/>
              <w:rPr>
                <w:sz w:val="16"/>
                <w:szCs w:val="16"/>
                <w:color w:val="auto"/>
              </w:rPr>
            </w:pPr>
          </w:p>
        </w:tc>
        <w:tc>
          <w:tcPr>
            <w:tcW w:w="10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3"/>
              </w:rPr>
              <w:t>July 31, 2020</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products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85,547</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20,815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24,044</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 and supplies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26,071</w:t>
            </w:r>
          </w:p>
        </w:tc>
        <w:tc>
          <w:tcPr>
            <w:tcW w:w="0" w:type="dxa"/>
            <w:vAlign w:val="bottom"/>
          </w:tcPr>
          <w:p>
            <w:pPr>
              <w:spacing w:after="0"/>
              <w:rPr>
                <w:sz w:val="1"/>
                <w:szCs w:val="1"/>
                <w:color w:val="auto"/>
              </w:rPr>
            </w:pPr>
          </w:p>
        </w:tc>
      </w:tr>
      <w:tr>
        <w:trPr>
          <w:trHeight w:val="206"/>
        </w:trPr>
        <w:tc>
          <w:tcPr>
            <w:tcW w:w="8720" w:type="dxa"/>
            <w:vAlign w:val="bottom"/>
          </w:tcPr>
          <w:p>
            <w:pPr>
              <w:ind w:left="220"/>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120,220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135,662</w:t>
            </w:r>
          </w:p>
        </w:tc>
        <w:tc>
          <w:tcPr>
            <w:tcW w:w="0" w:type="dxa"/>
            <w:vAlign w:val="bottom"/>
          </w:tcPr>
          <w:p>
            <w:pPr>
              <w:spacing w:after="0"/>
              <w:rPr>
                <w:sz w:val="1"/>
                <w:szCs w:val="1"/>
                <w:color w:val="auto"/>
              </w:rPr>
            </w:pPr>
          </w:p>
        </w:tc>
      </w:tr>
      <w:tr>
        <w:trPr>
          <w:trHeight w:val="24"/>
        </w:trPr>
        <w:tc>
          <w:tcPr>
            <w:tcW w:w="8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Property, plant and equipment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Property, plant and equipment is presented net of accumulated depreciation in the amount of $269,510 and $276,248 as of October 31, 2020, and July 31, 2020, respectively.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NOTE D — Other Intangible Assets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intangible assets as of October 31, 2020, and July 31, 2020,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October 31, 2020</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July 31, 2020</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1"/>
              </w:rPr>
              <w:t>Book</w:t>
            </w:r>
          </w:p>
        </w:tc>
        <w:tc>
          <w:tcPr>
            <w:tcW w:w="10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1"/>
              </w:rPr>
              <w:t>Book</w:t>
            </w: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Period (Years)</w:t>
            </w:r>
          </w:p>
        </w:tc>
        <w:tc>
          <w:tcPr>
            <w:tcW w:w="1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Period (Years)</w:t>
            </w:r>
          </w:p>
        </w:tc>
        <w:tc>
          <w:tcPr>
            <w:tcW w:w="12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0"/>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Definite-lived other intangible assets:</w:t>
            </w: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220"/>
              <w:spacing w:after="0"/>
              <w:rPr>
                <w:sz w:val="20"/>
                <w:szCs w:val="20"/>
                <w:color w:val="auto"/>
              </w:rPr>
            </w:pPr>
            <w:r>
              <w:rPr>
                <w:rFonts w:ascii="Arial" w:cs="Arial" w:eastAsia="Arial" w:hAnsi="Arial"/>
                <w:sz w:val="14"/>
                <w:szCs w:val="14"/>
                <w:color w:val="auto"/>
              </w:rPr>
              <w:t>Customer relationships and tradenames</w:t>
            </w:r>
          </w:p>
        </w:tc>
        <w:tc>
          <w:tcPr>
            <w:tcW w:w="110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45,346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(33,986)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11,360</w:t>
            </w:r>
          </w:p>
        </w:tc>
        <w:tc>
          <w:tcPr>
            <w:tcW w:w="1200" w:type="dxa"/>
            <w:vAlign w:val="bottom"/>
            <w:gridSpan w:val="2"/>
          </w:tcPr>
          <w:p>
            <w:pPr>
              <w:jc w:val="center"/>
              <w:ind w:lef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45,385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(32,670)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12,715</w:t>
            </w:r>
          </w:p>
        </w:tc>
        <w:tc>
          <w:tcPr>
            <w:tcW w:w="0" w:type="dxa"/>
            <w:vAlign w:val="bottom"/>
          </w:tcPr>
          <w:p>
            <w:pPr>
              <w:spacing w:after="0"/>
              <w:rPr>
                <w:sz w:val="1"/>
                <w:szCs w:val="1"/>
                <w:color w:val="auto"/>
              </w:rPr>
            </w:pPr>
          </w:p>
        </w:tc>
      </w:tr>
      <w:tr>
        <w:trPr>
          <w:trHeight w:val="192"/>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Indefinite-lived other intangible assets:</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220"/>
              <w:spacing w:after="0"/>
              <w:rPr>
                <w:sz w:val="20"/>
                <w:szCs w:val="20"/>
                <w:color w:val="auto"/>
              </w:rPr>
            </w:pPr>
            <w:r>
              <w:rPr>
                <w:rFonts w:ascii="Arial" w:cs="Arial" w:eastAsia="Arial" w:hAnsi="Arial"/>
                <w:sz w:val="14"/>
                <w:szCs w:val="14"/>
                <w:color w:val="auto"/>
              </w:rPr>
              <w:t>Tradenames</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9,550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9,550</w:t>
            </w: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9,619</w:t>
            </w:r>
          </w:p>
        </w:tc>
        <w:tc>
          <w:tcPr>
            <w:tcW w:w="0" w:type="dxa"/>
            <w:vAlign w:val="bottom"/>
          </w:tcPr>
          <w:p>
            <w:pPr>
              <w:spacing w:after="0"/>
              <w:rPr>
                <w:sz w:val="1"/>
                <w:szCs w:val="1"/>
                <w:color w:val="auto"/>
              </w:rPr>
            </w:pPr>
          </w:p>
        </w:tc>
      </w:tr>
      <w:tr>
        <w:trPr>
          <w:trHeight w:val="208"/>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54,896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(33,986)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55,004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22,334</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the gross carrying amount of other intangible assets as of October 31, 2020 compared to July 31, 2020 was due to the effect of currency fluctuations during the three-month period.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expense on intangible assets was $1,351 and $1,291 for the three months ended October 31, 2020 and 2019, respectively. Amortization expense over each of the next five fiscal years is projected to be $5,404, $5,116, and $2,191 for the fiscal years ending July 31, 2021, 2022, and 2023, respectively. No amortization expense for intangible assets is projected after July 31, 2023.</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NOTE E — Leases</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leases certain manufacturing facilities, warehouses and office space, computer equipment, and vehicles accounted for as operating leases. Lease terms typically range from one year to ten years. As of October 31, 2020, the Company did not have any finance leases.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lease expense was $4,073 and $5,405 for the three months ended October 31, 2020 and 2019, respectively, which was recognized in either "Cost of goods sold" or "Selling, general and administrative expenses" in the condensed consolidated statements of income, based on the nature of the lease. Short-term lease expense, variable lease expenses, and sublease income was immaterial to the condensed consolidated statements of income for the three months ended October 31, 2020 and 2019.</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Supplemental cash flow information related to the Company's operating leases for the three months ended October 31, 2020 and 2019, was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Pr>
          <w:p>
            <w:pPr>
              <w:spacing w:after="0"/>
              <w:rPr>
                <w:sz w:val="18"/>
                <w:szCs w:val="18"/>
                <w:color w:val="auto"/>
              </w:rPr>
            </w:pPr>
          </w:p>
        </w:tc>
        <w:tc>
          <w:tcPr>
            <w:tcW w:w="3220" w:type="dxa"/>
            <w:vAlign w:val="bottom"/>
            <w:tcBorders>
              <w:bottom w:val="single" w:sz="8" w:color="auto"/>
            </w:tcBorders>
            <w:gridSpan w:val="4"/>
          </w:tcPr>
          <w:p>
            <w:pPr>
              <w:ind w:left="900"/>
              <w:spacing w:after="0"/>
              <w:rPr>
                <w:sz w:val="20"/>
                <w:szCs w:val="20"/>
                <w:color w:val="auto"/>
              </w:rPr>
            </w:pPr>
            <w:r>
              <w:rPr>
                <w:rFonts w:ascii="Arial" w:cs="Arial" w:eastAsia="Arial" w:hAnsi="Arial"/>
                <w:sz w:val="16"/>
                <w:szCs w:val="16"/>
                <w:b w:val="1"/>
                <w:bCs w:val="1"/>
                <w:color w:val="auto"/>
                <w:w w:val="92"/>
              </w:rPr>
              <w:t>Three months ended October 31,</w:t>
            </w:r>
          </w:p>
        </w:tc>
        <w:tc>
          <w:tcPr>
            <w:tcW w:w="500" w:type="dxa"/>
            <w:vAlign w:val="bottom"/>
            <w:tcBorders>
              <w:bottom w:val="single" w:sz="8" w:color="auto"/>
            </w:tcBorders>
          </w:tcPr>
          <w:p>
            <w:pPr>
              <w:spacing w:after="0"/>
              <w:rPr>
                <w:sz w:val="18"/>
                <w:szCs w:val="18"/>
                <w:color w:val="auto"/>
              </w:rPr>
            </w:pPr>
          </w:p>
        </w:tc>
      </w:tr>
      <w:tr>
        <w:trPr>
          <w:trHeight w:val="210"/>
        </w:trPr>
        <w:tc>
          <w:tcPr>
            <w:tcW w:w="75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18"/>
                <w:szCs w:val="18"/>
                <w:color w:val="auto"/>
              </w:rPr>
            </w:pPr>
          </w:p>
        </w:tc>
      </w:tr>
      <w:tr>
        <w:trPr>
          <w:trHeight w:val="212"/>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cash flows from operating leases</w:t>
            </w:r>
          </w:p>
        </w:tc>
        <w:tc>
          <w:tcPr>
            <w:tcW w:w="130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4,297</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4,010</w:t>
            </w:r>
          </w:p>
        </w:tc>
      </w:tr>
      <w:tr>
        <w:trPr>
          <w:trHeight w:val="210"/>
        </w:trPr>
        <w:tc>
          <w:tcPr>
            <w:tcW w:w="7520" w:type="dxa"/>
            <w:vAlign w:val="bottom"/>
          </w:tcPr>
          <w:p>
            <w:pPr>
              <w:ind w:left="360"/>
              <w:spacing w:after="0"/>
              <w:rPr>
                <w:sz w:val="20"/>
                <w:szCs w:val="20"/>
                <w:color w:val="auto"/>
              </w:rPr>
            </w:pPr>
            <w:r>
              <w:rPr>
                <w:rFonts w:ascii="Arial" w:cs="Arial" w:eastAsia="Arial" w:hAnsi="Arial"/>
                <w:sz w:val="16"/>
                <w:szCs w:val="16"/>
                <w:color w:val="auto"/>
              </w:rPr>
              <w:t>Operating lease assets obtained in exchange for new operating lease liabilities</w:t>
            </w: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2,936</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9,952</w:t>
            </w: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F – Stockholders' Equity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illustrates the changes in the balances of each component of stockholders' equity for the three months ended October 31, 2020:</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6"/>
                <w:szCs w:val="16"/>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 Other</w:t>
            </w:r>
          </w:p>
        </w:tc>
        <w:tc>
          <w:tcPr>
            <w:tcW w:w="160" w:type="dxa"/>
            <w:vAlign w:val="bottom"/>
          </w:tcPr>
          <w:p>
            <w:pPr>
              <w:spacing w:after="0"/>
              <w:rPr>
                <w:sz w:val="16"/>
                <w:szCs w:val="16"/>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Comprehensive</w:t>
            </w:r>
          </w:p>
        </w:tc>
        <w:tc>
          <w:tcPr>
            <w:tcW w:w="160" w:type="dxa"/>
            <w:vAlign w:val="bottom"/>
          </w:tcPr>
          <w:p>
            <w:pPr>
              <w:spacing w:after="0"/>
              <w:rPr>
                <w:sz w:val="14"/>
                <w:szCs w:val="14"/>
                <w:color w:val="auto"/>
              </w:rPr>
            </w:pPr>
          </w:p>
        </w:tc>
        <w:tc>
          <w:tcPr>
            <w:tcW w:w="11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1400" w:type="dxa"/>
            <w:vAlign w:val="bottom"/>
            <w:gridSpan w:val="2"/>
          </w:tcPr>
          <w:p>
            <w:pPr>
              <w:ind w:left="420"/>
              <w:spacing w:after="0"/>
              <w:rPr>
                <w:sz w:val="20"/>
                <w:szCs w:val="20"/>
                <w:color w:val="auto"/>
              </w:rPr>
            </w:pPr>
            <w:r>
              <w:rPr>
                <w:rFonts w:ascii="Arial" w:cs="Arial" w:eastAsia="Arial" w:hAnsi="Arial"/>
                <w:sz w:val="16"/>
                <w:szCs w:val="16"/>
                <w:b w:val="1"/>
                <w:bCs w:val="1"/>
                <w:color w:val="auto"/>
              </w:rPr>
              <w:t>Loss</w:t>
            </w:r>
          </w:p>
        </w:tc>
        <w:tc>
          <w:tcPr>
            <w:tcW w:w="16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July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704,456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(107,216)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863,072</w:t>
            </w:r>
          </w:p>
        </w:tc>
        <w:tc>
          <w:tcPr>
            <w:tcW w:w="0" w:type="dxa"/>
            <w:vAlign w:val="bottom"/>
          </w:tcPr>
          <w:p>
            <w:pPr>
              <w:spacing w:after="0"/>
              <w:rPr>
                <w:sz w:val="1"/>
                <w:szCs w:val="1"/>
                <w:color w:val="auto"/>
              </w:rPr>
            </w:pPr>
          </w:p>
        </w:tc>
      </w:tr>
      <w:tr>
        <w:trPr>
          <w:trHeight w:val="207"/>
        </w:trPr>
        <w:tc>
          <w:tcPr>
            <w:tcW w:w="3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33,481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33,481</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(3,191)</w:t>
            </w:r>
          </w:p>
        </w:tc>
        <w:tc>
          <w:tcPr>
            <w:tcW w:w="0" w:type="dxa"/>
            <w:vAlign w:val="bottom"/>
          </w:tcPr>
          <w:p>
            <w:pPr>
              <w:spacing w:after="0"/>
              <w:rPr>
                <w:sz w:val="1"/>
                <w:szCs w:val="1"/>
                <w:color w:val="auto"/>
              </w:rPr>
            </w:pPr>
          </w:p>
        </w:tc>
      </w:tr>
      <w:tr>
        <w:trPr>
          <w:trHeight w:val="166"/>
        </w:trPr>
        <w:tc>
          <w:tcPr>
            <w:tcW w:w="3680" w:type="dxa"/>
            <w:vAlign w:val="bottom"/>
          </w:tcPr>
          <w:p>
            <w:pPr>
              <w:ind w:left="20"/>
              <w:spacing w:after="0" w:line="166" w:lineRule="exact"/>
              <w:rPr>
                <w:sz w:val="20"/>
                <w:szCs w:val="20"/>
                <w:color w:val="auto"/>
              </w:rPr>
            </w:pPr>
            <w:r>
              <w:rPr>
                <w:rFonts w:ascii="Arial" w:cs="Arial" w:eastAsia="Arial" w:hAnsi="Arial"/>
                <w:sz w:val="16"/>
                <w:szCs w:val="16"/>
                <w:color w:val="auto"/>
                <w:w w:val="98"/>
              </w:rPr>
              <w:t>Issuance of shares of Class A Common Stock under</w:t>
            </w:r>
          </w:p>
        </w:tc>
        <w:tc>
          <w:tcPr>
            <w:tcW w:w="16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(3,246)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ind w:left="10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(2,456)</w:t>
            </w:r>
          </w:p>
        </w:tc>
        <w:tc>
          <w:tcPr>
            <w:tcW w:w="0" w:type="dxa"/>
            <w:vAlign w:val="bottom"/>
          </w:tcPr>
          <w:p>
            <w:pPr>
              <w:spacing w:after="0"/>
              <w:rPr>
                <w:sz w:val="1"/>
                <w:szCs w:val="1"/>
                <w:color w:val="auto"/>
              </w:rPr>
            </w:pPr>
          </w:p>
        </w:tc>
      </w:tr>
      <w:tr>
        <w:trPr>
          <w:trHeight w:val="209"/>
        </w:trPr>
        <w:tc>
          <w:tcPr>
            <w:tcW w:w="3680" w:type="dxa"/>
            <w:vAlign w:val="bottom"/>
          </w:tcPr>
          <w:p>
            <w:pPr>
              <w:ind w:left="2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6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Tax benefit and withholdings from deferred</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25"/>
        </w:trPr>
        <w:tc>
          <w:tcPr>
            <w:tcW w:w="36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compensation distributions</w:t>
            </w:r>
          </w:p>
        </w:tc>
        <w:tc>
          <w:tcPr>
            <w:tcW w:w="16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68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3,574</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Class A — $0.22 per share</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(10,671)</w:t>
            </w:r>
          </w:p>
        </w:tc>
        <w:tc>
          <w:tcPr>
            <w:tcW w:w="0" w:type="dxa"/>
            <w:vAlign w:val="bottom"/>
          </w:tcPr>
          <w:p>
            <w:pPr>
              <w:spacing w:after="0"/>
              <w:rPr>
                <w:sz w:val="1"/>
                <w:szCs w:val="1"/>
                <w:color w:val="auto"/>
              </w:rPr>
            </w:pPr>
          </w:p>
        </w:tc>
      </w:tr>
      <w:tr>
        <w:trPr>
          <w:trHeight w:val="213"/>
        </w:trPr>
        <w:tc>
          <w:tcPr>
            <w:tcW w:w="3680" w:type="dxa"/>
            <w:vAlign w:val="bottom"/>
          </w:tcPr>
          <w:p>
            <w:pPr>
              <w:ind w:left="140"/>
              <w:spacing w:after="0"/>
              <w:rPr>
                <w:sz w:val="20"/>
                <w:szCs w:val="20"/>
                <w:color w:val="auto"/>
              </w:rPr>
            </w:pPr>
            <w:r>
              <w:rPr>
                <w:rFonts w:ascii="Arial" w:cs="Arial" w:eastAsia="Arial" w:hAnsi="Arial"/>
                <w:sz w:val="16"/>
                <w:szCs w:val="16"/>
                <w:color w:val="auto"/>
              </w:rPr>
              <w:t>Class B — $0.20 per share</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35"/>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October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332,121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726,546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880,401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three months ended October 31,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54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1400" w:type="dxa"/>
            <w:vAlign w:val="bottom"/>
            <w:gridSpan w:val="2"/>
          </w:tcPr>
          <w:p>
            <w:pPr>
              <w:ind w:left="420"/>
              <w:spacing w:after="0"/>
              <w:rPr>
                <w:sz w:val="20"/>
                <w:szCs w:val="20"/>
                <w:color w:val="auto"/>
              </w:rPr>
            </w:pPr>
            <w:r>
              <w:rPr>
                <w:rFonts w:ascii="Arial" w:cs="Arial" w:eastAsia="Arial" w:hAnsi="Arial"/>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July 31,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329,969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637,843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(46,332)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(71,254)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850,774</w:t>
            </w:r>
          </w:p>
        </w:tc>
        <w:tc>
          <w:tcPr>
            <w:tcW w:w="0" w:type="dxa"/>
            <w:vAlign w:val="bottom"/>
          </w:tcPr>
          <w:p>
            <w:pPr>
              <w:spacing w:after="0"/>
              <w:rPr>
                <w:sz w:val="1"/>
                <w:szCs w:val="1"/>
                <w:color w:val="auto"/>
              </w:rPr>
            </w:pPr>
          </w:p>
        </w:tc>
      </w:tr>
      <w:tr>
        <w:trPr>
          <w:trHeight w:val="207"/>
        </w:trPr>
        <w:tc>
          <w:tcPr>
            <w:tcW w:w="37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37,498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37,498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66"/>
        </w:trPr>
        <w:tc>
          <w:tcPr>
            <w:tcW w:w="3700" w:type="dxa"/>
            <w:vAlign w:val="bottom"/>
          </w:tcPr>
          <w:p>
            <w:pPr>
              <w:ind w:left="20"/>
              <w:spacing w:after="0" w:line="166" w:lineRule="exact"/>
              <w:rPr>
                <w:sz w:val="20"/>
                <w:szCs w:val="20"/>
                <w:color w:val="auto"/>
              </w:rPr>
            </w:pPr>
            <w:r>
              <w:rPr>
                <w:rFonts w:ascii="Arial" w:cs="Arial" w:eastAsia="Arial" w:hAnsi="Arial"/>
                <w:sz w:val="16"/>
                <w:szCs w:val="16"/>
                <w:color w:val="auto"/>
                <w:w w:val="98"/>
              </w:rPr>
              <w:t>Issuance of shares of Class A Common Stock under</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(6,410)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2,553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(3,857)</w:t>
            </w:r>
          </w:p>
        </w:tc>
        <w:tc>
          <w:tcPr>
            <w:tcW w:w="0" w:type="dxa"/>
            <w:vAlign w:val="bottom"/>
          </w:tcPr>
          <w:p>
            <w:pPr>
              <w:spacing w:after="0"/>
              <w:rPr>
                <w:sz w:val="1"/>
                <w:szCs w:val="1"/>
                <w:color w:val="auto"/>
              </w:rPr>
            </w:pP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7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Tax benefit and withholdings from deferred</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25"/>
        </w:trPr>
        <w:tc>
          <w:tcPr>
            <w:tcW w:w="37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compensation distributions</w:t>
            </w:r>
          </w:p>
        </w:tc>
        <w:tc>
          <w:tcPr>
            <w:tcW w:w="16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70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3,618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Class A — $0.22 per share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(10,822)</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Class B — $0.20 per share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234"/>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October 31,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327,241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663,808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876,535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Incentive Stock Plans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 Certain awards may be subject to pre-established performance goals. The majority of the Company’s annual share-based awards are granted in the first quarter of the fiscal year.</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Total stock-based compensation expense recognized during the three months ended October 31, 2020 and 2019, was $3,574 ($3,300 net of taxes) and $3,618 ($3,089 net of taxes), respectively. As of October 31, 2020, total unrecognized compensation cost related to share-based awards was $14,460 pre-tax, net of estimated forfeitures, which the Company expects to recognize over a weighted-average period of 2.2 years.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stock options issued under the plan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 plan, referred to herein as “time-based” options, generally expire 10 years from the date of grant.</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estimated the fair value of its time-based option awards granted during the three months ended October 31, 2020 and 2019, using the Black-Scholes option valuation model. The weighted-average assumptions used in the Black-Scholes valuation model are reflected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Three months ended October 31,</w:t>
            </w:r>
          </w:p>
        </w:tc>
      </w:tr>
      <w:tr>
        <w:trPr>
          <w:trHeight w:val="213"/>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Black-Scholes Option Valuation Assumptions</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2019</w:t>
            </w:r>
          </w:p>
        </w:tc>
      </w:tr>
      <w:tr>
        <w:trPr>
          <w:trHeight w:val="21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term (in years)</w:t>
            </w: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r>
      <w:tr>
        <w:trPr>
          <w:trHeight w:val="213"/>
        </w:trPr>
        <w:tc>
          <w:tcPr>
            <w:tcW w:w="7100" w:type="dxa"/>
            <w:vAlign w:val="bottom"/>
            <w:gridSpan w:val="2"/>
          </w:tcPr>
          <w:p>
            <w:pPr>
              <w:ind w:left="20"/>
              <w:spacing w:after="0"/>
              <w:rPr>
                <w:sz w:val="20"/>
                <w:szCs w:val="20"/>
                <w:color w:val="auto"/>
              </w:rPr>
            </w:pPr>
            <w:r>
              <w:rPr>
                <w:rFonts w:ascii="Arial" w:cs="Arial" w:eastAsia="Arial" w:hAnsi="Arial"/>
                <w:sz w:val="16"/>
                <w:szCs w:val="16"/>
                <w:color w:val="auto"/>
              </w:rPr>
              <w:t>Expected volatility</w:t>
            </w: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30.71 %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25.85 %</w:t>
            </w:r>
          </w:p>
        </w:tc>
      </w:tr>
      <w:tr>
        <w:trPr>
          <w:trHeight w:val="21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2.63 %</w:t>
            </w:r>
          </w:p>
        </w:tc>
      </w:tr>
      <w:tr>
        <w:trPr>
          <w:trHeight w:val="213"/>
        </w:trPr>
        <w:tc>
          <w:tcPr>
            <w:tcW w:w="710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0.38 %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1.64 %</w:t>
            </w:r>
          </w:p>
        </w:tc>
      </w:tr>
      <w:tr>
        <w:trPr>
          <w:trHeight w:val="21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Weighted-average market value of underlying stock at grant date</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54.05</w:t>
            </w:r>
          </w:p>
        </w:tc>
      </w:tr>
      <w:tr>
        <w:trPr>
          <w:trHeight w:val="213"/>
        </w:trPr>
        <w:tc>
          <w:tcPr>
            <w:tcW w:w="7100" w:type="dxa"/>
            <w:vAlign w:val="bottom"/>
            <w:gridSpan w:val="2"/>
          </w:tcPr>
          <w:p>
            <w:pPr>
              <w:ind w:left="20"/>
              <w:spacing w:after="0"/>
              <w:rPr>
                <w:sz w:val="20"/>
                <w:szCs w:val="20"/>
                <w:color w:val="auto"/>
              </w:rPr>
            </w:pPr>
            <w:r>
              <w:rPr>
                <w:rFonts w:ascii="Arial" w:cs="Arial" w:eastAsia="Arial" w:hAnsi="Arial"/>
                <w:sz w:val="16"/>
                <w:szCs w:val="16"/>
                <w:color w:val="auto"/>
              </w:rPr>
              <w:t>Weighted-average exercise price</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39.92</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54.05</w:t>
            </w:r>
          </w:p>
        </w:tc>
      </w:tr>
      <w:tr>
        <w:trPr>
          <w:trHeight w:val="21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Weighted-average fair value of options granted during the period</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8.65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10.63</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stock option activity for the three months ended October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8"/>
              </w:rPr>
              <w:t>Weighted</w:t>
            </w:r>
          </w:p>
        </w:tc>
        <w:tc>
          <w:tcPr>
            <w:tcW w:w="13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Average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2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0"/>
              </w:rPr>
              <w:t>Remaining</w:t>
            </w:r>
          </w:p>
        </w:tc>
        <w:tc>
          <w:tcPr>
            <w:tcW w:w="180" w:type="dxa"/>
            <w:vAlign w:val="bottom"/>
          </w:tcPr>
          <w:p>
            <w:pPr>
              <w:spacing w:after="0"/>
              <w:rPr>
                <w:sz w:val="14"/>
                <w:szCs w:val="14"/>
                <w:color w:val="auto"/>
              </w:rPr>
            </w:pPr>
          </w:p>
        </w:tc>
        <w:tc>
          <w:tcPr>
            <w:tcW w:w="10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5"/>
              </w:rPr>
              <w:t>Aggregate</w:t>
            </w:r>
          </w:p>
        </w:tc>
        <w:tc>
          <w:tcPr>
            <w:tcW w:w="0" w:type="dxa"/>
            <w:vAlign w:val="bottom"/>
          </w:tcPr>
          <w:p>
            <w:pPr>
              <w:spacing w:after="0"/>
              <w:rPr>
                <w:sz w:val="1"/>
                <w:szCs w:val="1"/>
                <w:color w:val="auto"/>
              </w:rPr>
            </w:pPr>
          </w:p>
        </w:tc>
      </w:tr>
      <w:tr>
        <w:trPr>
          <w:trHeight w:val="162"/>
        </w:trPr>
        <w:tc>
          <w:tcPr>
            <w:tcW w:w="6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Time-Based Options</w:t>
            </w:r>
          </w:p>
        </w:tc>
        <w:tc>
          <w:tcPr>
            <w:tcW w:w="100" w:type="dxa"/>
            <w:vAlign w:val="bottom"/>
            <w:vMerge w:val="restart"/>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8"/>
              </w:rPr>
              <w:t>Average</w:t>
            </w:r>
          </w:p>
        </w:tc>
        <w:tc>
          <w:tcPr>
            <w:tcW w:w="13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Contractual</w:t>
            </w: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1"/>
              </w:rPr>
              <w:t>Exercise Price</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Term</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12"/>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July 31, 2020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1,273,382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New grants</w:t>
            </w:r>
          </w:p>
        </w:tc>
        <w:tc>
          <w:tcPr>
            <w:tcW w:w="1220" w:type="dxa"/>
            <w:vAlign w:val="bottom"/>
          </w:tcPr>
          <w:p>
            <w:pPr>
              <w:jc w:val="right"/>
              <w:spacing w:after="0"/>
              <w:rPr>
                <w:sz w:val="20"/>
                <w:szCs w:val="20"/>
                <w:color w:val="auto"/>
              </w:rPr>
            </w:pPr>
            <w:r>
              <w:rPr>
                <w:rFonts w:ascii="Arial" w:cs="Arial" w:eastAsia="Arial" w:hAnsi="Arial"/>
                <w:sz w:val="16"/>
                <w:szCs w:val="16"/>
                <w:color w:val="auto"/>
              </w:rPr>
              <w:t>303,052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39.92</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Forfeited or expired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October 31, 2020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1,554,134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38.37</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Exercisable at October 31, 2020</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34.88</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100" w:type="dxa"/>
            <w:vAlign w:val="bottom"/>
            <w:gridSpan w:val="2"/>
            <w:vMerge w:val="continue"/>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1,004,641</w:t>
            </w:r>
          </w:p>
        </w:tc>
        <w:tc>
          <w:tcPr>
            <w:tcW w:w="2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5,410</w:t>
            </w:r>
          </w:p>
        </w:tc>
        <w:tc>
          <w:tcPr>
            <w:tcW w:w="0" w:type="dxa"/>
            <w:vAlign w:val="bottom"/>
          </w:tcPr>
          <w:p>
            <w:pPr>
              <w:spacing w:after="0"/>
              <w:rPr>
                <w:sz w:val="1"/>
                <w:szCs w:val="1"/>
                <w:color w:val="auto"/>
              </w:rPr>
            </w:pPr>
          </w:p>
        </w:tc>
      </w:tr>
      <w:tr>
        <w:trPr>
          <w:trHeight w:val="23"/>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total fair value of stock options vested during the three months ended October 31, 2020 and 2019, was $2,371 and $2,537, respectively. The total intrinsic value of stock options exercised during the three months ended October 31, 2020 and 2019, based upon the average market price at the time of exercise during the period, was $373 and $10,225,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cash received from the exercise of stock options during the three months ended October 31, 2020 and 2019, was $160 and $3,411,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tax benefit from the exercise of stock options during the three months ended October 31, 2020 and 2019, was $93 and $2,541, respectively.</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RSUs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RSUs issued under the plan have a grant date fair value equal to the fair market value of the underlying stock at the date of grant. Shares issued under the plan are referred to herein as either "time-based" or "performance-based" RSUs. The time-based RSUs issued under the plan generally vest ratably over a three-year period, with one-third vesting one year after the grant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one-third additional in each of the succeeding two years. The performance-based RSUs granted under the plan vest at the end of a three-year service period provided specified financial performance metrics are met.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RSU activity for the three months ended October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7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Time-Based RSUs</w:t>
            </w:r>
          </w:p>
        </w:tc>
        <w:tc>
          <w:tcPr>
            <w:tcW w:w="120" w:type="dxa"/>
            <w:vAlign w:val="bottom"/>
            <w:vMerge w:val="restart"/>
          </w:tcPr>
          <w:p>
            <w:pPr>
              <w:spacing w:after="0"/>
              <w:rPr>
                <w:sz w:val="14"/>
                <w:szCs w:val="14"/>
                <w:color w:val="auto"/>
              </w:rPr>
            </w:pPr>
          </w:p>
        </w:tc>
        <w:tc>
          <w:tcPr>
            <w:tcW w:w="154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July 31, 2020</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154,960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47.39</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New grants</w:t>
            </w:r>
          </w:p>
        </w:tc>
        <w:tc>
          <w:tcPr>
            <w:tcW w:w="1540" w:type="dxa"/>
            <w:vAlign w:val="bottom"/>
          </w:tcPr>
          <w:p>
            <w:pPr>
              <w:jc w:val="right"/>
              <w:spacing w:after="0"/>
              <w:rPr>
                <w:sz w:val="20"/>
                <w:szCs w:val="20"/>
                <w:color w:val="auto"/>
              </w:rPr>
            </w:pPr>
            <w:r>
              <w:rPr>
                <w:rFonts w:ascii="Arial" w:cs="Arial" w:eastAsia="Arial" w:hAnsi="Arial"/>
                <w:sz w:val="16"/>
                <w:szCs w:val="16"/>
                <w:color w:val="auto"/>
              </w:rPr>
              <w:t>75,352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39.92</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44.85</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October 31, 2020</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166,973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time-based RSUs granted during the three months ended October 31, 2019, had a weighted-average grant date fair value of $54.10.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7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Performance-Based RSUs</w:t>
            </w:r>
          </w:p>
        </w:tc>
        <w:tc>
          <w:tcPr>
            <w:tcW w:w="100" w:type="dxa"/>
            <w:vAlign w:val="bottom"/>
            <w:vMerge w:val="restart"/>
          </w:tcPr>
          <w:p>
            <w:pPr>
              <w:spacing w:after="0"/>
              <w:rPr>
                <w:sz w:val="14"/>
                <w:szCs w:val="14"/>
                <w:color w:val="auto"/>
              </w:rPr>
            </w:pPr>
          </w:p>
        </w:tc>
        <w:tc>
          <w:tcPr>
            <w:tcW w:w="156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July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126,060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New grants </w:t>
            </w:r>
            <w:r>
              <w:rPr>
                <w:rFonts w:ascii="Arial" w:cs="Arial" w:eastAsia="Arial" w:hAnsi="Arial"/>
                <w:sz w:val="21"/>
                <w:szCs w:val="21"/>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6"/>
                <w:szCs w:val="16"/>
                <w:color w:val="auto"/>
              </w:rPr>
              <w:t>64,634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60.73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33.12</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October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119,281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right="20" w:firstLine="332"/>
        <w:spacing w:after="0" w:line="246" w:lineRule="auto"/>
        <w:tabs>
          <w:tab w:leader="none" w:pos="493"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Includes 23,805 shares granted and vested during the three months ended October 31, 2020, resulting from the payout of performance-based RSUs granted in fiscal year 2018 due to achievement of performance metrics exceeding the target payout.</w:t>
      </w:r>
    </w:p>
    <w:p>
      <w:pPr>
        <w:spacing w:after="0" w:line="1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performance-based RSUs granted during the three months ended October 31, 2020, had a weighted-average grant-date fair value determined by a third-party valuation involving the use of a Monte Carlo simulation. The performance-based RSUs granted during the three months ended October 31, 2019, had a weighted-average grant date fair value of $75.00.</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aggregate intrinsic value of time-based and performance-based RSUs vested during the three months ended October 31, 2020 and 2019, was $5,844 and $8,708, respectively.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NOTE G — Accumulated Other Comprehensive Loss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comprehensive loss consists of foreign currency translation adjustments which includes the settlements of net investment hedges, unrealized gains and losses from cash flow hedges and the unamortized gain on post-retirement plans, net of their related tax effects.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three months ended October 31,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Unrealized (loss)</w:t>
            </w: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Unamortized gain</w:t>
            </w:r>
          </w:p>
        </w:tc>
        <w:tc>
          <w:tcPr>
            <w:tcW w:w="14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Foreign currency</w:t>
            </w: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320"/>
              <w:spacing w:after="0" w:line="162" w:lineRule="exact"/>
              <w:rPr>
                <w:sz w:val="20"/>
                <w:szCs w:val="20"/>
                <w:color w:val="auto"/>
              </w:rPr>
            </w:pPr>
            <w:r>
              <w:rPr>
                <w:rFonts w:ascii="Arial" w:cs="Arial" w:eastAsia="Arial" w:hAnsi="Arial"/>
                <w:sz w:val="16"/>
                <w:szCs w:val="16"/>
                <w:b w:val="1"/>
                <w:bCs w:val="1"/>
                <w:color w:val="auto"/>
              </w:rPr>
              <w:t>gain on</w:t>
            </w:r>
          </w:p>
        </w:tc>
        <w:tc>
          <w:tcPr>
            <w:tcW w:w="15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on post-retirement</w:t>
            </w:r>
          </w:p>
        </w:tc>
        <w:tc>
          <w:tcPr>
            <w:tcW w:w="180" w:type="dxa"/>
            <w:vAlign w:val="bottom"/>
          </w:tcPr>
          <w:p>
            <w:pPr>
              <w:spacing w:after="0"/>
              <w:rPr>
                <w:sz w:val="14"/>
                <w:szCs w:val="14"/>
                <w:color w:val="auto"/>
              </w:rPr>
            </w:pPr>
          </w:p>
        </w:tc>
        <w:tc>
          <w:tcPr>
            <w:tcW w:w="1300" w:type="dxa"/>
            <w:vAlign w:val="bottom"/>
            <w:gridSpan w:val="2"/>
          </w:tcPr>
          <w:p>
            <w:pPr>
              <w:ind w:left="120"/>
              <w:spacing w:after="0" w:line="162" w:lineRule="exact"/>
              <w:rPr>
                <w:sz w:val="20"/>
                <w:szCs w:val="20"/>
                <w:color w:val="auto"/>
              </w:rPr>
            </w:pPr>
            <w:r>
              <w:rPr>
                <w:rFonts w:ascii="Arial" w:cs="Arial" w:eastAsia="Arial" w:hAnsi="Arial"/>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plans</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adjustments</w:t>
            </w: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July 31,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w w:val="96"/>
              </w:rPr>
              <w:t>(200)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income (loss) before reclassification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left="839"/>
              <w:spacing w:after="0"/>
              <w:rPr>
                <w:sz w:val="20"/>
                <w:szCs w:val="20"/>
                <w:color w:val="auto"/>
              </w:rPr>
            </w:pPr>
            <w:r>
              <w:rPr>
                <w:rFonts w:ascii="Arial" w:cs="Arial" w:eastAsia="Arial" w:hAnsi="Arial"/>
                <w:sz w:val="16"/>
                <w:szCs w:val="16"/>
                <w:color w:val="auto"/>
                <w:w w:val="89"/>
              </w:rPr>
              <w:t>701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(4,185)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(3,484)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839"/>
              <w:spacing w:after="0"/>
              <w:rPr>
                <w:sz w:val="20"/>
                <w:szCs w:val="20"/>
                <w:color w:val="auto"/>
              </w:rPr>
            </w:pPr>
            <w:r>
              <w:rPr>
                <w:rFonts w:ascii="Arial" w:cs="Arial" w:eastAsia="Arial" w:hAnsi="Arial"/>
                <w:sz w:val="16"/>
                <w:szCs w:val="16"/>
                <w:color w:val="auto"/>
                <w:w w:val="89"/>
              </w:rPr>
              <w:t>159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Arial" w:cs="Arial" w:eastAsia="Arial" w:hAnsi="Arial"/>
                <w:sz w:val="16"/>
                <w:szCs w:val="16"/>
                <w:color w:val="auto"/>
              </w:rPr>
              <w:t>Ending balance, October 31,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center"/>
              <w:ind w:left="839"/>
              <w:spacing w:after="0"/>
              <w:rPr>
                <w:sz w:val="20"/>
                <w:szCs w:val="20"/>
                <w:color w:val="auto"/>
              </w:rPr>
            </w:pPr>
            <w:r>
              <w:rPr>
                <w:rFonts w:ascii="Arial" w:cs="Arial" w:eastAsia="Arial" w:hAnsi="Arial"/>
                <w:sz w:val="16"/>
                <w:szCs w:val="16"/>
                <w:color w:val="auto"/>
                <w:w w:val="89"/>
              </w:rPr>
              <w:t>660</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2,315</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(72,643)</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(69,668)</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accumulated other comprehensive loss as of October 31, 2020, compared to July 31, 2020, was primarily due to the appreciation of the U.S. dollar against certain other currencies during the three-month period.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changes in accumulated other comprehensive loss by component, net of tax, for the three months ended October 31, 2019,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w w:val="91"/>
              </w:rPr>
              <w:t>Unrealized gain on</w:t>
            </w: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Unamortized gain</w:t>
            </w:r>
          </w:p>
        </w:tc>
        <w:tc>
          <w:tcPr>
            <w:tcW w:w="14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Foreign currency</w:t>
            </w: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on post-retirement</w:t>
            </w:r>
          </w:p>
        </w:tc>
        <w:tc>
          <w:tcPr>
            <w:tcW w:w="180" w:type="dxa"/>
            <w:vAlign w:val="bottom"/>
          </w:tcPr>
          <w:p>
            <w:pPr>
              <w:spacing w:after="0"/>
              <w:rPr>
                <w:sz w:val="14"/>
                <w:szCs w:val="14"/>
                <w:color w:val="auto"/>
              </w:rPr>
            </w:pPr>
          </w:p>
        </w:tc>
        <w:tc>
          <w:tcPr>
            <w:tcW w:w="1300" w:type="dxa"/>
            <w:vAlign w:val="bottom"/>
            <w:gridSpan w:val="2"/>
          </w:tcPr>
          <w:p>
            <w:pPr>
              <w:ind w:left="120"/>
              <w:spacing w:after="0" w:line="162" w:lineRule="exact"/>
              <w:rPr>
                <w:sz w:val="20"/>
                <w:szCs w:val="20"/>
                <w:color w:val="auto"/>
              </w:rPr>
            </w:pPr>
            <w:r>
              <w:rPr>
                <w:rFonts w:ascii="Arial" w:cs="Arial" w:eastAsia="Arial" w:hAnsi="Arial"/>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plans</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adjustments</w:t>
            </w: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July 31, 2019</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(71,254)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income before reclassification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Ending balance, October 31,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2,695</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(74,535)</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(71,283)</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the accumulated other comprehensive loss as of October 31, 2019, compared to July 31, 2019, was negligible primarily due to the stability of the U.S. dollar against certain other currencies during the three-month period.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 the amounts reclassified from accumulated other comprehensive loss during the three months ended October 31, 2020 and 2019, unrealized (losses) gains on cash flow hedges were reclassified to "Cost of goods sold" and unamortized gains on post-retirement plans was reclassified into "Investment and other income" on the condensed consolidated statements of income.</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income tax benefit on the components of other comprehensive loss for the three months ended October 31, 2020 and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October 31,</w:t>
            </w:r>
          </w:p>
        </w:tc>
        <w:tc>
          <w:tcPr>
            <w:tcW w:w="340" w:type="dxa"/>
            <w:vAlign w:val="bottom"/>
            <w:tcBorders>
              <w:bottom w:val="single" w:sz="8" w:color="auto"/>
            </w:tcBorders>
          </w:tcPr>
          <w:p>
            <w:pPr>
              <w:spacing w:after="0"/>
              <w:rPr>
                <w:sz w:val="18"/>
                <w:szCs w:val="18"/>
                <w:color w:val="auto"/>
              </w:rPr>
            </w:pPr>
          </w:p>
        </w:tc>
      </w:tr>
      <w:tr>
        <w:trPr>
          <w:trHeight w:val="210"/>
        </w:trPr>
        <w:tc>
          <w:tcPr>
            <w:tcW w:w="8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18"/>
                <w:szCs w:val="18"/>
                <w:color w:val="auto"/>
              </w:rPr>
            </w:pPr>
          </w:p>
        </w:tc>
      </w:tr>
      <w:tr>
        <w:trPr>
          <w:trHeight w:val="19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related to items of other comprehensive loss:</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Cash flow hedges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Pension and other post-retirement benefits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tax adjustments and currency translation</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176</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benefit related to items of other comprehensive loss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211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NOTE H — Revenue Recognition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recognizes revenue when control of the product or service transfers to the customer at an amount that represents the consideration expected to be received in exchange for those products and services. The Company’s revenues are primarily from the sale of identification solutions and workplace safety products that are shipped and billed to customers. All revenue is from contracts with customers and is included in “Net sales” on the condensed consolidated statements of income. See Note I, “Segment Information,” for the Company’s disaggregated revenue disclosure.</w:t>
      </w:r>
    </w:p>
    <w:p>
      <w:pPr>
        <w:spacing w:after="0" w:line="1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offers extended warranty coverage that is included in the sales price of certain products, which it accounts for as service warranties. The Company accounts for the deferred revenue associated with extended service warranties as a contract liability. The balance of contract liabilities associated with service warranty performance obligations was $2,552 and $2,559 as of October 31, 2020 and July 31, 2020, respectively. The current portion and non-current portion of contract liabilities are included in “Other current liabilities” and “Other liabilities," respectively, on the condensed consolidated balance sheets. The Company recognized revenue of $297 and $315 during the three months ended October 31, 2020 and 2019, respectively, that was included in the contract liability balance at the beginning of the respective period from the amortization of extended service warranties. Of the contract liability balance outstanding at October 31, 2020, the Company expects to recognize 32% by the end of fiscal 2021, an additional 31% by the end of fiscal 2022, and the remaining balance thereafter.</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NOTE I — Segment Information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("IDS"), Workplace Safety ("WPS"), and People Identification ("PDC"), which aggregate into two reportable segments that are organized around businesses with consistent products and services: IDS and WPS. The IDS and PDC operating segments aggregate into the IDS reporting segment, while the WPS reporting segment is comprised solely of the Workplace Safety operating segment.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net sales by segment and geographic region for the three months ended October 31, 2020 and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5"/>
              </w:rPr>
              <w:t>Three months ended October 31,</w:t>
            </w: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ID Solutions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Americas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149,363</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i w:val="1"/>
                <w:iCs w:val="1"/>
                <w:color w:val="auto"/>
              </w:rPr>
              <w:t>Europe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42,582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43,381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Asia</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22,243</w:t>
            </w:r>
          </w:p>
        </w:tc>
        <w:tc>
          <w:tcPr>
            <w:tcW w:w="0" w:type="dxa"/>
            <w:vAlign w:val="bottom"/>
          </w:tcPr>
          <w:p>
            <w:pPr>
              <w:spacing w:after="0"/>
              <w:rPr>
                <w:sz w:val="1"/>
                <w:szCs w:val="1"/>
                <w:color w:val="auto"/>
              </w:rPr>
            </w:pPr>
          </w:p>
        </w:tc>
      </w:tr>
      <w:tr>
        <w:trPr>
          <w:trHeight w:val="207"/>
        </w:trPr>
        <w:tc>
          <w:tcPr>
            <w:tcW w:w="8240" w:type="dxa"/>
            <w:vAlign w:val="bottom"/>
          </w:tcPr>
          <w:p>
            <w:pPr>
              <w:ind w:left="3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198,192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214,987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Workplace Safety</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i w:val="1"/>
                <w:iCs w:val="1"/>
                <w:color w:val="auto"/>
              </w:rPr>
              <w:t>Americas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24,031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24,303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Europe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36,026</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i w:val="1"/>
                <w:iCs w:val="1"/>
                <w:color w:val="auto"/>
              </w:rPr>
              <w:t>Australia</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11,631</w:t>
            </w:r>
          </w:p>
        </w:tc>
        <w:tc>
          <w:tcPr>
            <w:tcW w:w="0" w:type="dxa"/>
            <w:vAlign w:val="bottom"/>
          </w:tcPr>
          <w:p>
            <w:pPr>
              <w:spacing w:after="0"/>
              <w:rPr>
                <w:sz w:val="1"/>
                <w:szCs w:val="1"/>
                <w:color w:val="auto"/>
              </w:rPr>
            </w:pPr>
          </w:p>
        </w:tc>
      </w:tr>
      <w:tr>
        <w:trPr>
          <w:trHeight w:val="235"/>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79,035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71,960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Americas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173,666</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i w:val="1"/>
                <w:iCs w:val="1"/>
                <w:color w:val="auto"/>
              </w:rPr>
              <w:t>Europe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83,848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79,407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Asia-Pacific</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33,874</w:t>
            </w:r>
          </w:p>
        </w:tc>
        <w:tc>
          <w:tcPr>
            <w:tcW w:w="0" w:type="dxa"/>
            <w:vAlign w:val="bottom"/>
          </w:tcPr>
          <w:p>
            <w:pPr>
              <w:spacing w:after="0"/>
              <w:rPr>
                <w:sz w:val="1"/>
                <w:szCs w:val="1"/>
                <w:color w:val="auto"/>
              </w:rPr>
            </w:pPr>
          </w:p>
        </w:tc>
      </w:tr>
      <w:tr>
        <w:trPr>
          <w:trHeight w:val="206"/>
        </w:trPr>
        <w:tc>
          <w:tcPr>
            <w:tcW w:w="8240" w:type="dxa"/>
            <w:vAlign w:val="bottom"/>
          </w:tcPr>
          <w:p>
            <w:pPr>
              <w:ind w:left="3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277,227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286,947</w:t>
            </w:r>
          </w:p>
        </w:tc>
        <w:tc>
          <w:tcPr>
            <w:tcW w:w="0" w:type="dxa"/>
            <w:vAlign w:val="bottom"/>
          </w:tcPr>
          <w:p>
            <w:pPr>
              <w:spacing w:after="0"/>
              <w:rPr>
                <w:sz w:val="1"/>
                <w:szCs w:val="1"/>
                <w:color w:val="auto"/>
              </w:rPr>
            </w:pPr>
          </w:p>
        </w:tc>
      </w:tr>
      <w:tr>
        <w:trPr>
          <w:trHeight w:val="24"/>
        </w:trPr>
        <w:tc>
          <w:tcPr>
            <w:tcW w:w="8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profit for the three months ended October 31, 2020 and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2980" w:type="dxa"/>
            <w:vAlign w:val="bottom"/>
            <w:tcBorders>
              <w:bottom w:val="single" w:sz="8" w:color="auto"/>
            </w:tcBorders>
            <w:gridSpan w:val="5"/>
          </w:tcPr>
          <w:p>
            <w:pPr>
              <w:jc w:val="right"/>
              <w:ind w:right="279"/>
              <w:spacing w:after="0"/>
              <w:rPr>
                <w:sz w:val="20"/>
                <w:szCs w:val="20"/>
                <w:color w:val="auto"/>
              </w:rPr>
            </w:pPr>
            <w:r>
              <w:rPr>
                <w:rFonts w:ascii="Arial" w:cs="Arial" w:eastAsia="Arial" w:hAnsi="Arial"/>
                <w:sz w:val="16"/>
                <w:szCs w:val="16"/>
                <w:b w:val="1"/>
                <w:bCs w:val="1"/>
                <w:color w:val="auto"/>
              </w:rPr>
              <w:t>Three months ended October 31,</w:t>
            </w:r>
          </w:p>
        </w:tc>
      </w:tr>
      <w:tr>
        <w:trPr>
          <w:trHeight w:val="210"/>
        </w:trPr>
        <w:tc>
          <w:tcPr>
            <w:tcW w:w="8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19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profit:</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ID Solutions</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40,279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42,443</w:t>
            </w: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Workplace Safety</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5,157</w:t>
            </w:r>
          </w:p>
        </w:tc>
      </w:tr>
      <w:tr>
        <w:trPr>
          <w:trHeight w:val="206"/>
        </w:trPr>
        <w:tc>
          <w:tcPr>
            <w:tcW w:w="8240" w:type="dxa"/>
            <w:vAlign w:val="bottom"/>
          </w:tcPr>
          <w:p>
            <w:pPr>
              <w:ind w:left="360"/>
              <w:spacing w:after="0"/>
              <w:rPr>
                <w:sz w:val="20"/>
                <w:szCs w:val="20"/>
                <w:color w:val="auto"/>
              </w:rPr>
            </w:pPr>
            <w:r>
              <w:rPr>
                <w:rFonts w:ascii="Arial" w:cs="Arial" w:eastAsia="Arial" w:hAnsi="Arial"/>
                <w:sz w:val="16"/>
                <w:szCs w:val="16"/>
                <w:color w:val="auto"/>
              </w:rPr>
              <w:t>Total Company</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48,267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47,600</w:t>
            </w:r>
          </w:p>
        </w:tc>
      </w:tr>
      <w:tr>
        <w:trPr>
          <w:trHeight w:val="24"/>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reconciliation of segment profit to income before income taxes and losses of unconsolidated affiliate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2020 and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2980" w:type="dxa"/>
            <w:vAlign w:val="bottom"/>
            <w:tcBorders>
              <w:bottom w:val="single" w:sz="8" w:color="auto"/>
            </w:tcBorders>
            <w:gridSpan w:val="5"/>
          </w:tcPr>
          <w:p>
            <w:pPr>
              <w:jc w:val="right"/>
              <w:ind w:right="279"/>
              <w:spacing w:after="0"/>
              <w:rPr>
                <w:sz w:val="20"/>
                <w:szCs w:val="20"/>
                <w:color w:val="auto"/>
              </w:rPr>
            </w:pPr>
            <w:r>
              <w:rPr>
                <w:rFonts w:ascii="Arial" w:cs="Arial" w:eastAsia="Arial" w:hAnsi="Arial"/>
                <w:sz w:val="16"/>
                <w:szCs w:val="16"/>
                <w:b w:val="1"/>
                <w:bCs w:val="1"/>
                <w:color w:val="auto"/>
              </w:rPr>
              <w:t>Three months ended October 31,</w:t>
            </w:r>
          </w:p>
        </w:tc>
      </w:tr>
      <w:tr>
        <w:trPr>
          <w:trHeight w:val="210"/>
        </w:trPr>
        <w:tc>
          <w:tcPr>
            <w:tcW w:w="8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profit from reportable segments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48,267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47,600</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Unallocated amounts: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Administrative costs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(6,079)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(6,709)</w:t>
            </w: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Investment and other income</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1,380</w:t>
            </w: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w:t>
            </w: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Income before income taxes and losses of unconsolidated affiliate</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42,237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41,570</w:t>
            </w:r>
          </w:p>
        </w:tc>
      </w:tr>
      <w:tr>
        <w:trPr>
          <w:trHeight w:val="23"/>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NOTE J — Net Income per Common Share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31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October 31,</w:t>
            </w:r>
          </w:p>
        </w:tc>
      </w:tr>
      <w:tr>
        <w:trPr>
          <w:trHeight w:val="210"/>
        </w:trPr>
        <w:tc>
          <w:tcPr>
            <w:tcW w:w="80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19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 (in thousands):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Net income (Numerator for basic and diluted income per Class A Nonvoting Common Share)</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33,481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37,498</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Less: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Preferential dividends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(828)</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Preferential dividends on dilutive stock options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7"/>
        </w:trPr>
        <w:tc>
          <w:tcPr>
            <w:tcW w:w="8060" w:type="dxa"/>
            <w:vAlign w:val="bottom"/>
          </w:tcPr>
          <w:p>
            <w:pPr>
              <w:ind w:left="360"/>
              <w:spacing w:after="0"/>
              <w:rPr>
                <w:sz w:val="20"/>
                <w:szCs w:val="20"/>
                <w:color w:val="auto"/>
              </w:rPr>
            </w:pPr>
            <w:r>
              <w:rPr>
                <w:rFonts w:ascii="Arial" w:cs="Arial" w:eastAsia="Arial" w:hAnsi="Arial"/>
                <w:sz w:val="16"/>
                <w:szCs w:val="16"/>
                <w:color w:val="auto"/>
              </w:rPr>
              <w:t>Numerator for basic and diluted income per Class B Voting Common Share</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32,669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36,660</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 (in thousands)</w:t>
            </w: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Denominator for basic income per share for both Class A and Class B</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52,021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53,143</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Plus: Effect of dilutive equity awards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w:t>
            </w:r>
          </w:p>
        </w:tc>
      </w:tr>
      <w:tr>
        <w:trPr>
          <w:trHeight w:val="207"/>
        </w:trPr>
        <w:tc>
          <w:tcPr>
            <w:tcW w:w="8060" w:type="dxa"/>
            <w:vAlign w:val="bottom"/>
          </w:tcPr>
          <w:p>
            <w:pPr>
              <w:ind w:left="360"/>
              <w:spacing w:after="0"/>
              <w:rPr>
                <w:sz w:val="20"/>
                <w:szCs w:val="20"/>
                <w:color w:val="auto"/>
              </w:rPr>
            </w:pPr>
            <w:r>
              <w:rPr>
                <w:rFonts w:ascii="Arial" w:cs="Arial" w:eastAsia="Arial" w:hAnsi="Arial"/>
                <w:sz w:val="16"/>
                <w:szCs w:val="16"/>
                <w:color w:val="auto"/>
              </w:rPr>
              <w:t>Denominator for diluted income per share for both Class A and Class B</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52,292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53,736</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Basic</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0.71</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Diluted</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Basic</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0.69</w:t>
            </w:r>
          </w:p>
        </w:tc>
      </w:tr>
      <w:tr>
        <w:trPr>
          <w:trHeight w:val="210"/>
        </w:trPr>
        <w:tc>
          <w:tcPr>
            <w:tcW w:w="8060" w:type="dxa"/>
            <w:vAlign w:val="bottom"/>
          </w:tcPr>
          <w:p>
            <w:pPr>
              <w:ind w:left="680"/>
              <w:spacing w:after="0"/>
              <w:rPr>
                <w:sz w:val="20"/>
                <w:szCs w:val="20"/>
                <w:color w:val="auto"/>
              </w:rPr>
            </w:pPr>
            <w:r>
              <w:rPr>
                <w:rFonts w:ascii="Arial" w:cs="Arial" w:eastAsia="Arial" w:hAnsi="Arial"/>
                <w:sz w:val="16"/>
                <w:szCs w:val="16"/>
                <w:color w:val="auto"/>
              </w:rPr>
              <w:t>Diluted</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0.68</w:t>
            </w:r>
          </w:p>
        </w:tc>
      </w:tr>
    </w:tbl>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Brady's Class A Nonvoting Common Stock because the effect would have been anti-dilutive. The amount of anti-dilutive shares were 740,745 and 323,719 for the three months ended October 31, 2020 and 2019, respectively.</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NOTE K — Fair Value Measurements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instruments that are accessible as of the reporting date.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Other significant pricing inputs that are either directly or indirectly observable.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Significant unobservable pricing inputs, which result in the use of management's own assumptions.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Company's financial assets and liabilities that were accounted for at fair value on a recurring basis at October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and July 31,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October 31, 2020</w:t>
            </w:r>
          </w:p>
        </w:tc>
        <w:tc>
          <w:tcPr>
            <w:tcW w:w="160" w:type="dxa"/>
            <w:vAlign w:val="bottom"/>
          </w:tcPr>
          <w:p>
            <w:pPr>
              <w:spacing w:after="0"/>
              <w:rPr>
                <w:sz w:val="16"/>
                <w:szCs w:val="16"/>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July 31, 2020</w:t>
            </w:r>
          </w:p>
        </w:tc>
        <w:tc>
          <w:tcPr>
            <w:tcW w:w="1320" w:type="dxa"/>
            <w:vAlign w:val="bottom"/>
          </w:tcPr>
          <w:p>
            <w:pPr>
              <w:ind w:left="30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706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tcPr>
          <w:p>
            <w:pPr>
              <w:ind w:left="300"/>
              <w:spacing w:after="0"/>
              <w:rPr>
                <w:sz w:val="20"/>
                <w:szCs w:val="20"/>
                <w:color w:val="auto"/>
              </w:rPr>
            </w:pPr>
            <w:r>
              <w:rPr>
                <w:rFonts w:ascii="Arial" w:cs="Arial" w:eastAsia="Arial" w:hAnsi="Arial"/>
                <w:sz w:val="16"/>
                <w:szCs w:val="16"/>
                <w:b w:val="1"/>
                <w:bCs w:val="1"/>
                <w:color w:val="auto"/>
              </w:rPr>
              <w:t>Hierarchy</w:t>
            </w:r>
          </w:p>
        </w:tc>
        <w:tc>
          <w:tcPr>
            <w:tcW w:w="0" w:type="dxa"/>
            <w:vAlign w:val="bottom"/>
          </w:tcPr>
          <w:p>
            <w:pPr>
              <w:spacing w:after="0"/>
              <w:rPr>
                <w:sz w:val="1"/>
                <w:szCs w:val="1"/>
                <w:color w:val="auto"/>
              </w:rPr>
            </w:pPr>
          </w:p>
        </w:tc>
      </w:tr>
      <w:tr>
        <w:trPr>
          <w:trHeight w:val="199"/>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4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Arial" w:cs="Arial" w:eastAsia="Arial" w:hAnsi="Arial"/>
                <w:sz w:val="16"/>
                <w:szCs w:val="16"/>
                <w:color w:val="auto"/>
              </w:rPr>
              <w:t>Trading securities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17,434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18,606</w:t>
            </w:r>
          </w:p>
        </w:tc>
        <w:tc>
          <w:tcPr>
            <w:tcW w:w="120" w:type="dxa"/>
            <w:vAlign w:val="bottom"/>
          </w:tcPr>
          <w:p>
            <w:pPr>
              <w:spacing w:after="0"/>
              <w:rPr>
                <w:sz w:val="18"/>
                <w:szCs w:val="18"/>
                <w:color w:val="auto"/>
              </w:rPr>
            </w:pPr>
          </w:p>
        </w:tc>
        <w:tc>
          <w:tcPr>
            <w:tcW w:w="1320" w:type="dxa"/>
            <w:vAlign w:val="bottom"/>
          </w:tcPr>
          <w:p>
            <w:pPr>
              <w:ind w:left="820"/>
              <w:spacing w:after="0"/>
              <w:rPr>
                <w:sz w:val="20"/>
                <w:szCs w:val="20"/>
                <w:color w:val="auto"/>
              </w:rPr>
            </w:pPr>
            <w:r>
              <w:rPr>
                <w:rFonts w:ascii="Arial" w:cs="Arial" w:eastAsia="Arial" w:hAnsi="Arial"/>
                <w:sz w:val="16"/>
                <w:szCs w:val="16"/>
                <w:color w:val="auto"/>
                <w:w w:val="92"/>
              </w:rPr>
              <w:t>Level 1</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820"/>
              <w:spacing w:after="0"/>
              <w:rPr>
                <w:sz w:val="20"/>
                <w:szCs w:val="20"/>
                <w:color w:val="auto"/>
              </w:rPr>
            </w:pPr>
            <w:r>
              <w:rPr>
                <w:rFonts w:ascii="Arial" w:cs="Arial" w:eastAsia="Arial" w:hAnsi="Arial"/>
                <w:sz w:val="16"/>
                <w:szCs w:val="16"/>
                <w:color w:val="auto"/>
                <w:w w:val="92"/>
              </w:rPr>
              <w:t>Level 2</w:t>
            </w:r>
          </w:p>
        </w:tc>
        <w:tc>
          <w:tcPr>
            <w:tcW w:w="0" w:type="dxa"/>
            <w:vAlign w:val="bottom"/>
          </w:tcPr>
          <w:p>
            <w:pPr>
              <w:spacing w:after="0"/>
              <w:rPr>
                <w:sz w:val="1"/>
                <w:szCs w:val="1"/>
                <w:color w:val="auto"/>
              </w:rPr>
            </w:pP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820"/>
              <w:spacing w:after="0"/>
              <w:rPr>
                <w:sz w:val="20"/>
                <w:szCs w:val="20"/>
                <w:color w:val="auto"/>
              </w:rPr>
            </w:pPr>
            <w:r>
              <w:rPr>
                <w:rFonts w:ascii="Arial" w:cs="Arial" w:eastAsia="Arial" w:hAnsi="Arial"/>
                <w:sz w:val="16"/>
                <w:szCs w:val="16"/>
                <w:color w:val="auto"/>
                <w:w w:val="92"/>
              </w:rPr>
              <w:t>Level 2</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Trading securities: </w:t>
      </w:r>
      <w:r>
        <w:rPr>
          <w:rFonts w:ascii="Arial" w:cs="Arial" w:eastAsia="Arial" w:hAnsi="Arial"/>
          <w:sz w:val="18"/>
          <w:szCs w:val="18"/>
          <w:color w:val="auto"/>
        </w:rPr>
        <w:t>The Company’s deferred compensation investments consist of investments in mutual funds, which are included in "Other assets"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condensed consolidated balance sheets. These investments were classified as Level 1 as the shares of these investments trade with sufficient frequency and volume to enable us to obtain pricing information on an ongoing basis.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 cash flows using external models that use observable inputs, such as interest rates, yield curves and foreign exchange rates. See Note L, “Derivatives and Hedging Activities,” for additional information.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of cash and cash equivalents, accounts receivable, accounts payable, and other liabilities approximated carrying values due to their short-term nature.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NOTE L — Derivatives and Hedging Activities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on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 notional amounts of outstanding forward exchange contracts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31, 2020</w:t>
            </w:r>
          </w:p>
        </w:tc>
        <w:tc>
          <w:tcPr>
            <w:tcW w:w="20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July 31, 2020</w:t>
            </w:r>
          </w:p>
        </w:tc>
      </w:tr>
      <w:tr>
        <w:trPr>
          <w:trHeight w:val="212"/>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Designated as cash flow hedges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19,247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24,600</w:t>
            </w:r>
          </w:p>
        </w:tc>
      </w:tr>
      <w:tr>
        <w:trPr>
          <w:trHeight w:val="21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Non-designated hedges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w:t>
            </w:r>
          </w:p>
        </w:tc>
      </w:tr>
      <w:tr>
        <w:trPr>
          <w:trHeight w:val="238"/>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foreign exchange contracts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27,707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income. As of October 31, 2020 and July 31, 2020, unrealized gains of $523 and losses of $385 have been included in OCI, respectively.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amount of pre-tax gains and losses related to foreign exchange contracts designated as cash flow hedging instruments: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October 31,</w:t>
            </w:r>
          </w:p>
        </w:tc>
        <w:tc>
          <w:tcPr>
            <w:tcW w:w="380" w:type="dxa"/>
            <w:vAlign w:val="bottom"/>
            <w:tcBorders>
              <w:bottom w:val="single" w:sz="8" w:color="auto"/>
            </w:tcBorders>
          </w:tcPr>
          <w:p>
            <w:pPr>
              <w:spacing w:after="0"/>
              <w:rPr>
                <w:sz w:val="18"/>
                <w:szCs w:val="18"/>
                <w:color w:val="auto"/>
              </w:rPr>
            </w:pPr>
          </w:p>
        </w:tc>
      </w:tr>
      <w:tr>
        <w:trPr>
          <w:trHeight w:val="210"/>
        </w:trPr>
        <w:tc>
          <w:tcPr>
            <w:tcW w:w="8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18"/>
                <w:szCs w:val="18"/>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recognized in OCI</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10"/>
        </w:trPr>
        <w:tc>
          <w:tcPr>
            <w:tcW w:w="8100" w:type="dxa"/>
            <w:vAlign w:val="bottom"/>
          </w:tcPr>
          <w:p>
            <w:pPr>
              <w:ind w:left="20"/>
              <w:spacing w:after="0"/>
              <w:rPr>
                <w:sz w:val="20"/>
                <w:szCs w:val="20"/>
                <w:color w:val="auto"/>
              </w:rPr>
            </w:pPr>
            <w:r>
              <w:rPr>
                <w:rFonts w:ascii="Arial" w:cs="Arial" w:eastAsia="Arial" w:hAnsi="Arial"/>
                <w:sz w:val="16"/>
                <w:szCs w:val="16"/>
                <w:color w:val="auto"/>
              </w:rPr>
              <w:t>(Losses) gains reclassified from OCI into cost of goods sold</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381</w:t>
            </w: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October 31, 2020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July 31, 2020</w:t>
            </w:r>
          </w:p>
        </w:tc>
        <w:tc>
          <w:tcPr>
            <w:tcW w:w="0" w:type="dxa"/>
            <w:vAlign w:val="bottom"/>
          </w:tcPr>
          <w:p>
            <w:pPr>
              <w:spacing w:after="0"/>
              <w:rPr>
                <w:sz w:val="1"/>
                <w:szCs w:val="1"/>
                <w:color w:val="auto"/>
              </w:rPr>
            </w:pPr>
          </w:p>
        </w:tc>
      </w:tr>
      <w:tr>
        <w:trPr>
          <w:trHeight w:val="159"/>
        </w:trPr>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86"/>
              </w:rPr>
              <w:t>Prepaid expenses</w:t>
            </w:r>
          </w:p>
        </w:tc>
        <w:tc>
          <w:tcPr>
            <w:tcW w:w="200" w:type="dxa"/>
            <w:vAlign w:val="bottom"/>
          </w:tcPr>
          <w:p>
            <w:pPr>
              <w:spacing w:after="0"/>
              <w:rPr>
                <w:sz w:val="13"/>
                <w:szCs w:val="13"/>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5"/>
              </w:rPr>
              <w:t>Other current</w:t>
            </w:r>
          </w:p>
        </w:tc>
        <w:tc>
          <w:tcPr>
            <w:tcW w:w="140" w:type="dxa"/>
            <w:vAlign w:val="bottom"/>
          </w:tcPr>
          <w:p>
            <w:pPr>
              <w:spacing w:after="0"/>
              <w:rPr>
                <w:sz w:val="13"/>
                <w:szCs w:val="13"/>
                <w:color w:val="auto"/>
              </w:rPr>
            </w:pPr>
          </w:p>
        </w:tc>
        <w:tc>
          <w:tcPr>
            <w:tcW w:w="14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8"/>
              </w:rPr>
              <w:t>Prepaid expenses</w:t>
            </w:r>
          </w:p>
        </w:tc>
        <w:tc>
          <w:tcPr>
            <w:tcW w:w="200" w:type="dxa"/>
            <w:vAlign w:val="bottom"/>
          </w:tcPr>
          <w:p>
            <w:pPr>
              <w:spacing w:after="0"/>
              <w:rPr>
                <w:sz w:val="13"/>
                <w:szCs w:val="13"/>
                <w:color w:val="auto"/>
              </w:rPr>
            </w:pPr>
          </w:p>
        </w:tc>
        <w:tc>
          <w:tcPr>
            <w:tcW w:w="13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Other current</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and</w:t>
            </w:r>
          </w:p>
        </w:tc>
        <w:tc>
          <w:tcPr>
            <w:tcW w:w="2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and</w:t>
            </w:r>
          </w:p>
        </w:tc>
        <w:tc>
          <w:tcPr>
            <w:tcW w:w="2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880" w:type="dxa"/>
            <w:vAlign w:val="bottom"/>
          </w:tcPr>
          <w:p>
            <w:pPr>
              <w:spacing w:after="0"/>
              <w:rPr>
                <w:sz w:val="18"/>
                <w:szCs w:val="18"/>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other current assets</w:t>
            </w: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liabilities</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other current assets</w:t>
            </w:r>
          </w:p>
        </w:tc>
        <w:tc>
          <w:tcPr>
            <w:tcW w:w="200" w:type="dxa"/>
            <w:vAlign w:val="bottom"/>
          </w:tcPr>
          <w:p>
            <w:pPr>
              <w:spacing w:after="0"/>
              <w:rPr>
                <w:sz w:val="18"/>
                <w:szCs w:val="18"/>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99"/>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80" w:type="dxa"/>
            <w:vAlign w:val="bottom"/>
          </w:tcPr>
          <w:p>
            <w:pPr>
              <w:ind w:left="220"/>
              <w:spacing w:after="0"/>
              <w:rPr>
                <w:sz w:val="20"/>
                <w:szCs w:val="20"/>
                <w:color w:val="auto"/>
              </w:rPr>
            </w:pPr>
            <w:r>
              <w:rPr>
                <w:rFonts w:ascii="Arial" w:cs="Arial" w:eastAsia="Arial" w:hAnsi="Arial"/>
                <w:sz w:val="16"/>
                <w:szCs w:val="16"/>
                <w:color w:val="auto"/>
              </w:rPr>
              <w:t>Foreign exchange contracts (cash flow hedges)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80" w:type="dxa"/>
            <w:vAlign w:val="bottom"/>
          </w:tcPr>
          <w:p>
            <w:pPr>
              <w:ind w:left="220"/>
              <w:spacing w:after="0"/>
              <w:rPr>
                <w:sz w:val="20"/>
                <w:szCs w:val="20"/>
                <w:color w:val="auto"/>
              </w:rPr>
            </w:pPr>
            <w:r>
              <w:rPr>
                <w:rFonts w:ascii="Arial" w:cs="Arial" w:eastAsia="Arial" w:hAnsi="Arial"/>
                <w:sz w:val="16"/>
                <w:szCs w:val="16"/>
                <w:color w:val="auto"/>
              </w:rPr>
              <w:t>Foreign exchange contracts (non-designated hedges)</w:t>
            </w: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8"/>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derivative instruments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NOTE M – Income Taxes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effective income tax rate for the three months ended October 31, 2020 and 2019 was 20.3% and 9.8%, respectively. The Company expects its ongoing annual effective income tax rate to be approximately 20% based on its current global business mix. The effective income tax rate for the three months ended October 31, 2019 was lower than the expected income tax rate due to the favorable settlement of a domestic income tax audit and tax benefits from stock-based compensation.</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NOTE N — Subsequent Events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November 17, 2020, the Board of Directors declared a quarterly cash dividend to shareholders of the Company’s Class A and Class B Common Stock of $0.22 per share payable on January 29, 2021, to shareholders of record at the close of business on January 8, 2020.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60"/>
        <w:spacing w:after="0" w:line="438" w:lineRule="auto"/>
        <w:rPr>
          <w:sz w:val="20"/>
          <w:szCs w:val="20"/>
          <w:color w:val="auto"/>
        </w:rPr>
      </w:pPr>
      <w:r>
        <w:rPr>
          <w:rFonts w:ascii="Arial" w:cs="Arial" w:eastAsia="Arial" w:hAnsi="Arial"/>
          <w:sz w:val="18"/>
          <w:szCs w:val="18"/>
          <w:color w:val="auto"/>
        </w:rPr>
        <w:t xml:space="preserve">ITEM 2. MANAGEMENT’S DISCUSSION AND ANALYSIS OF RESULTS OF OPERATIONS AND FINANCIAL CONDITION </w:t>
      </w:r>
      <w:r>
        <w:rPr>
          <w:rFonts w:ascii="Arial" w:cs="Arial" w:eastAsia="Arial" w:hAnsi="Arial"/>
          <w:sz w:val="18"/>
          <w:szCs w:val="18"/>
          <w:u w:val="single" w:color="auto"/>
          <w:color w:val="auto"/>
        </w:rPr>
        <w:t>Overview</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safety, identification and healthcare products. The WPS segment provides workplace safety, identification and compliance products, approximately half of which are internally manufactured and half of which are externally sourced.</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ability to provide customers with a broad range of proprietary, customized and diverse products for use in various applications across multiple industries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the efficiency of our global operations, deliver a high level of customer service, develop and market innovative new products, and to advance our digital capabilities. In our IDS business, our strategy for growth includes an increased focus on certain industries and products, a focus on improving the customer buying experience, and the development of technologically advanced, innovative and proprietary products. In our WPS business, our strategy for growth includes a focus on workplace safety critical industries, innovative new product offerings, compliance expertise, customization expertise, and improving our digital capabilities.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key initiatives supporting our strategy in fiscal 2021:</w:t>
      </w:r>
    </w:p>
    <w:p>
      <w:pPr>
        <w:spacing w:after="0" w:line="171" w:lineRule="exact"/>
        <w:rPr>
          <w:sz w:val="20"/>
          <w:szCs w:val="20"/>
          <w:color w:val="auto"/>
        </w:rPr>
      </w:pPr>
    </w:p>
    <w:p>
      <w:pPr>
        <w:ind w:left="660" w:right="20" w:hanging="328"/>
        <w:spacing w:after="0" w:line="25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Investing in organic growth by enhancing our research and development process and utilizing customer feedback to develop innovative new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our customers with the highest level of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Expanding and enhancing our sales capabilities through an improved digital presence and the use of data-driven marketing automation tools.</w:t>
      </w:r>
    </w:p>
    <w:p>
      <w:pPr>
        <w:spacing w:after="0" w:line="32"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Driving operational excellence and executing sustainable efficiency gains within our global operations and within our selling, general and administrative structures.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Building on our culture of diversity and inclusion to increase employee engagement and enhance recruitment and retention practices.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the COVID-19 Pandemic on Our Business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impact of the COVID-19 pandemic on the global economic environment has resulted in reduced demand across the majority of our end markets. In the near-term, the COVID-19 pandemic is expected to continue to have adverse effects on our sales, overall profitability, and cash provided by operating activities. As of the date of this filing, significant uncertainty exists concerning the magnitude of the impact and duration of the COVID-19 pandemic.</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Brady Corporation is deemed an essential business under the majority of local government orders. Our products support first responders, healthcare workers, food processing companies, and many other critical industries. During the quarter ended October 31, 2020, our facilities were operating globally with enhanced safety protocols designed to protect the health and safety of our employees.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taken actions throughout our business to reduce controllable costs, including actions to reduce labor costs, eliminating non-essential travel, and reducing discretionary spend. We believe we have the financial strength to continue to invest in organic sales growth opportunities and research and development ("R&amp;D"), while continuing to drive sustainable efficiencies and automation in our operations and selling, general and administrative expenses ("SG&amp;A") functions. At October 31, 2020, we had cash of $256.3 million, an undrawn credit facility of $200 million, which can be increased up to $400 million at the Company's option and subject to certain conditions, and outstanding letters of credit of $3.5 million, for total available liquidity of approximately $653 million.</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Due to the speed with which the COVID-19 pandemic developed and the resulting uncertainty, including the depth and duration of any disruptions to customers and suppliers, its future effect on our business, results of operations, and financial condition cannot be predicted. Despite this uncertainty, we believe that our financial resources, liquidity levels and debt-free status, along with various contingency plans to reduce costs are sufficient to manage the impact of the COVID-19 pandemic, which may result in reduced sales, reduced net income, and reduced cash provided by operating activities. Refer to Risk Factors, included in Part I, Item 1A of our Annual Report on Form 10-K for the year ended July 31, 2020, for further discussion of the possible impact of the COVID-19 pandemic on our business.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comparison of results of operating income for the three months ended October 31, 2020 and 2019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Three months ended October 31,</w:t>
            </w:r>
          </w:p>
        </w:tc>
        <w:tc>
          <w:tcPr>
            <w:tcW w:w="1220" w:type="dxa"/>
            <w:vAlign w:val="bottom"/>
            <w:tcBorders>
              <w:bottom w:val="single" w:sz="8" w:color="auto"/>
            </w:tcBorders>
          </w:tcPr>
          <w:p>
            <w:pPr>
              <w:spacing w:after="0"/>
              <w:rPr>
                <w:sz w:val="18"/>
                <w:szCs w:val="18"/>
                <w:color w:val="auto"/>
              </w:rPr>
            </w:pPr>
          </w:p>
        </w:tc>
      </w:tr>
      <w:tr>
        <w:trPr>
          <w:trHeight w:val="21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Sales</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Sales</w:t>
            </w:r>
          </w:p>
        </w:tc>
      </w:tr>
      <w:tr>
        <w:trPr>
          <w:trHeight w:val="212"/>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277,227</w:t>
            </w: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286,947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Gross margin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135,428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48.9 %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141,405</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49.3 %</w:t>
            </w: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590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10,203</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10,967</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3.8 %</w:t>
            </w:r>
          </w:p>
        </w:tc>
      </w:tr>
      <w:tr>
        <w:trPr>
          <w:trHeight w:val="219"/>
        </w:trPr>
        <w:tc>
          <w:tcPr>
            <w:tcW w:w="5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83,037</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89,547</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31.2 %</w:t>
            </w:r>
          </w:p>
        </w:tc>
      </w:tr>
      <w:tr>
        <w:trPr>
          <w:trHeight w:val="207"/>
        </w:trPr>
        <w:tc>
          <w:tcPr>
            <w:tcW w:w="5900" w:type="dxa"/>
            <w:vAlign w:val="bottom"/>
            <w:tcBorders>
              <w:bottom w:val="single" w:sz="8" w:color="CCEEFF"/>
            </w:tcBorders>
          </w:tcPr>
          <w:p>
            <w:pPr>
              <w:ind w:left="58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93,240</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33.6 %</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100,514</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35.0 %</w:t>
            </w:r>
          </w:p>
        </w:tc>
      </w:tr>
      <w:tr>
        <w:trPr>
          <w:trHeight w:val="232"/>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42,188</w:t>
            </w:r>
          </w:p>
        </w:tc>
        <w:tc>
          <w:tcPr>
            <w:tcW w:w="12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15.2 %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40,891</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References in this Form 10-Q to “organic sales” refer to sales calculated in accordance with GAAP, excluding the impact of foreign currency translation.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sales for the three months ended October 31, 2020, decreased 3.4% to $277.2 million, compared to $286.9 million in the same period in the prior year. The decrease consisted of an organic sales decline of 4.9% and an increase from foreign currency translation of 1.5%. Organic sales declined 8.4% in the IDS segment and grew 5.5% in the WPS segment during the three months ended October 31, 2020, compared to the same period in the prior year.</w:t>
      </w:r>
    </w:p>
    <w:p>
      <w:pPr>
        <w:spacing w:after="0" w:line="9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COVID-19 pandemic had a significant impact on organic sales during the three months ended October 31, 2020, with the impact varying between the IDS and WPS segments. The IDS segment realized reduced demand across all major product lines, while the WPS segment realized increased demand globally for personal protective equipment and other pandemic-related safety and identification products during this same period.</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Gross margin for the three months ended October 31, 2020, decreased 4.2% to $135.4 million, compared to $141.4 million in the same period in the prior year. As a percentage of net sales, gross margin decreased to 48.9% for the three months ended October 31, 2020, from 49.3% in the same period in the prior year. The decrease in gross margin as a percentage of net sales was primarily due to the decline in sales volumes in the IDS segment resulting from the economic slowdown caused by the COVID-19 pandemic as well as product mix in our WPS segment, which was partially mitigated by our ongoing efforts to streamline manufacturing processes and drive sustainable operational efficiencies.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R&amp;D expenses for the three months ended October 31, 2020, declined 7.0% to $10.2 million, compared to $11.0 million in the same period in the prior year. As a percentage of sales, R&amp;D expenses declined slightly to 3.7% for the three months ended October 31, 2020, compared to 3.8% in the same period in the prior year. The decrease in R&amp;D spending was due to a decrease in headcount, improved efficiency, and the timing of expenditures related to ongoing new product development costs compared to the same period in the prior year. The Company remains committed to investing in new product development to increase sales within our IDS and WPS businesses. Investments in new printers and materials continue to be the primary focus of R&amp;D expenditures.</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SG&amp;A expenses include selling and administrative costs directly attributed to the IDS and WPS segments, as well as certain other corporate administrative expenses including finance, information technology, human resources, and other administrative expenses. SG&amp;A expenses declined 7.3% to $83.0 million for the three months ended October 31, 2020, compared to $89.5 million in the same period in the prior year. As a percentage of sales, SG&amp;A was 30.0% for the three months ended October 31, 2020, compared to 31.2% in the same period in the prior year. The decrease in both SG&amp;A expenses and SG&amp;A expenses as a percentage of net sales from the same period of the prior year was primarily due to ongoing efficiency gains, a reduction in the SG&amp;A cost structure, along with a reduction in discretionary spend, including travel for our sales people, which was partially offset by the impact of foreign currency translation.</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Operating income increased 3.2% to $42.2 million for three months ended October 31, 2020, compared to $40.9 million in the same period in the prior year. The increase in operating income was primarily due to increased segment profit in the WPS segment as a result of organic sales growth as well as a reduction in the SG&amp;A cost structure in both segments.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Three months ended October 31,</w:t>
            </w:r>
          </w:p>
        </w:tc>
        <w:tc>
          <w:tcPr>
            <w:tcW w:w="1220" w:type="dxa"/>
            <w:vAlign w:val="bottom"/>
            <w:tcBorders>
              <w:bottom w:val="single" w:sz="8" w:color="auto"/>
            </w:tcBorders>
          </w:tcPr>
          <w:p>
            <w:pPr>
              <w:spacing w:after="0"/>
              <w:rPr>
                <w:sz w:val="18"/>
                <w:szCs w:val="18"/>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20" w:type="dxa"/>
            <w:vAlign w:val="bottom"/>
            <w:gridSpan w:val="2"/>
          </w:tcPr>
          <w:p>
            <w:pPr>
              <w:ind w:left="320"/>
              <w:spacing w:after="0"/>
              <w:rPr>
                <w:sz w:val="20"/>
                <w:szCs w:val="20"/>
                <w:color w:val="auto"/>
              </w:rPr>
            </w:pPr>
            <w:r>
              <w:rPr>
                <w:rFonts w:ascii="Arial" w:cs="Arial" w:eastAsia="Arial" w:hAnsi="Arial"/>
                <w:sz w:val="16"/>
                <w:szCs w:val="16"/>
                <w:b w:val="1"/>
                <w:bCs w:val="1"/>
                <w:color w:val="auto"/>
              </w:rPr>
              <w:t>% Sales</w:t>
            </w: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20" w:type="dxa"/>
            <w:vAlign w:val="bottom"/>
          </w:tcPr>
          <w:p>
            <w:pPr>
              <w:jc w:val="right"/>
              <w:ind w:right="259"/>
              <w:spacing w:after="0"/>
              <w:rPr>
                <w:sz w:val="20"/>
                <w:szCs w:val="20"/>
                <w:color w:val="auto"/>
              </w:rPr>
            </w:pPr>
            <w:r>
              <w:rPr>
                <w:rFonts w:ascii="Arial" w:cs="Arial" w:eastAsia="Arial" w:hAnsi="Arial"/>
                <w:sz w:val="16"/>
                <w:szCs w:val="16"/>
                <w:b w:val="1"/>
                <w:bCs w:val="1"/>
                <w:color w:val="auto"/>
              </w:rPr>
              <w:t>% Sales</w:t>
            </w:r>
          </w:p>
        </w:tc>
      </w:tr>
      <w:tr>
        <w:trPr>
          <w:trHeight w:val="212"/>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42,188</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40,891</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14.3 %</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59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Investment and other income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13"/>
        </w:trPr>
        <w:tc>
          <w:tcPr>
            <w:tcW w:w="590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2"/>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 and losses of unconsolidated affiliate</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42,237</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41,570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14.5 %</w:t>
            </w:r>
          </w:p>
        </w:tc>
      </w:tr>
      <w:tr>
        <w:trPr>
          <w:trHeight w:val="21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8,582</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4,072</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r>
      <w:tr>
        <w:trPr>
          <w:trHeight w:val="213"/>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losses of unconsolidated affiliate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33,655</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13.1 %</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Equity in losses of unconsolidated affiliate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8"/>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 and other income was $0.2 million for the three months ended October 31, 2020, compared to $1.4 million for the same period in the prior year. The decrease was primarily due to reduced interest income as a result of the decline in interest rates.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decreased to $0.1 million for the three months ended October 31, 2020, compared to $0.7 million for the same period in the prior year. The decrease in interest expense was due to the repayment of the Company's remaining principal balance under its private placement debt agreement during the fourth quarter of the fiscal year ended July 31, 2020.</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income tax rate was 20.3% for the three months ended October 31, 2020, compared to 9.8% in the same period in the prior year. Refer to Note M "Income Taxes" for additional information on the Company's effective income tax rate.</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Equity in losses of unconsolidated affiliate of $0.2 million for the three months ended October 31, 2020 represented the Company's proportionate share of the loss in its equity interest in React Mobile, Inc., an employee safety software and hardware company based in the United States.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Segment Operating Results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evaluates short-term segment performance based on segment profit and customer sales. Interest expense, investment and other income, income tax expense, equity in losses of unconsolidated affiliate, and certain corporate administrative expenses are excluded when evaluating segment performance.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months ended October 31, 2020 and 2019:</w:t>
      </w:r>
    </w:p>
    <w:p>
      <w:pPr>
        <w:spacing w:after="0" w:line="212"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Three months ended October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SALES GROWTH INFORMATION</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9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ID Solutions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9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Organic</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8940" w:type="dxa"/>
            <w:vAlign w:val="bottom"/>
            <w:gridSpan w:val="2"/>
          </w:tcPr>
          <w:p>
            <w:pPr>
              <w:ind w:left="360"/>
              <w:spacing w:after="0"/>
              <w:rPr>
                <w:sz w:val="20"/>
                <w:szCs w:val="20"/>
                <w:color w:val="auto"/>
              </w:rPr>
            </w:pPr>
            <w:r>
              <w:rPr>
                <w:rFonts w:ascii="Arial" w:cs="Arial" w:eastAsia="Arial" w:hAnsi="Arial"/>
                <w:sz w:val="16"/>
                <w:szCs w:val="16"/>
                <w:color w:val="auto"/>
              </w:rPr>
              <w:t>Currency</w:t>
            </w:r>
          </w:p>
        </w:tc>
        <w:tc>
          <w:tcPr>
            <w:tcW w:w="580" w:type="dxa"/>
            <w:vAlign w:val="bottom"/>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5"/>
        </w:trPr>
        <w:tc>
          <w:tcPr>
            <w:tcW w:w="7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Workplace Safety</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9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Organic</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3"/>
        </w:trPr>
        <w:tc>
          <w:tcPr>
            <w:tcW w:w="8940" w:type="dxa"/>
            <w:vAlign w:val="bottom"/>
            <w:gridSpan w:val="2"/>
          </w:tcPr>
          <w:p>
            <w:pPr>
              <w:ind w:left="360"/>
              <w:spacing w:after="0"/>
              <w:rPr>
                <w:sz w:val="20"/>
                <w:szCs w:val="20"/>
                <w:color w:val="auto"/>
              </w:rPr>
            </w:pPr>
            <w:r>
              <w:rPr>
                <w:rFonts w:ascii="Arial" w:cs="Arial" w:eastAsia="Arial" w:hAnsi="Arial"/>
                <w:sz w:val="16"/>
                <w:szCs w:val="16"/>
                <w:color w:val="auto"/>
              </w:rPr>
              <w:t>Currency</w:t>
            </w:r>
          </w:p>
        </w:tc>
        <w:tc>
          <w:tcPr>
            <w:tcW w:w="58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5"/>
        </w:trPr>
        <w:tc>
          <w:tcPr>
            <w:tcW w:w="7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9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Organic</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8940" w:type="dxa"/>
            <w:vAlign w:val="bottom"/>
            <w:gridSpan w:val="2"/>
          </w:tcPr>
          <w:p>
            <w:pPr>
              <w:ind w:left="360"/>
              <w:spacing w:after="0"/>
              <w:rPr>
                <w:sz w:val="20"/>
                <w:szCs w:val="20"/>
                <w:color w:val="auto"/>
              </w:rPr>
            </w:pPr>
            <w:r>
              <w:rPr>
                <w:rFonts w:ascii="Arial" w:cs="Arial" w:eastAsia="Arial" w:hAnsi="Arial"/>
                <w:sz w:val="16"/>
                <w:szCs w:val="16"/>
                <w:color w:val="auto"/>
              </w:rPr>
              <w:t>Currency</w:t>
            </w:r>
          </w:p>
        </w:tc>
        <w:tc>
          <w:tcPr>
            <w:tcW w:w="58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4"/>
        </w:trPr>
        <w:tc>
          <w:tcPr>
            <w:tcW w:w="7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SEGMENT PROFIT AS A PERCENT OF NET SALES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9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ID Solutions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19.7 %</w:t>
            </w:r>
          </w:p>
        </w:tc>
        <w:tc>
          <w:tcPr>
            <w:tcW w:w="0" w:type="dxa"/>
            <w:vAlign w:val="bottom"/>
          </w:tcPr>
          <w:p>
            <w:pPr>
              <w:spacing w:after="0"/>
              <w:rPr>
                <w:sz w:val="1"/>
                <w:szCs w:val="1"/>
                <w:color w:val="auto"/>
              </w:rPr>
            </w:pPr>
          </w:p>
        </w:tc>
      </w:tr>
      <w:tr>
        <w:trPr>
          <w:trHeight w:val="213"/>
        </w:trPr>
        <w:tc>
          <w:tcPr>
            <w:tcW w:w="8940" w:type="dxa"/>
            <w:vAlign w:val="bottom"/>
            <w:gridSpan w:val="2"/>
          </w:tcPr>
          <w:p>
            <w:pPr>
              <w:ind w:left="360"/>
              <w:spacing w:after="0"/>
              <w:rPr>
                <w:sz w:val="20"/>
                <w:szCs w:val="20"/>
                <w:color w:val="auto"/>
              </w:rPr>
            </w:pPr>
            <w:r>
              <w:rPr>
                <w:rFonts w:ascii="Arial" w:cs="Arial" w:eastAsia="Arial" w:hAnsi="Arial"/>
                <w:sz w:val="16"/>
                <w:szCs w:val="16"/>
                <w:color w:val="auto"/>
              </w:rPr>
              <w:t>Workplace Safety</w:t>
            </w:r>
          </w:p>
        </w:tc>
        <w:tc>
          <w:tcPr>
            <w:tcW w:w="580" w:type="dxa"/>
            <w:vAlign w:val="bottom"/>
          </w:tcPr>
          <w:p>
            <w:pPr>
              <w:jc w:val="right"/>
              <w:spacing w:after="0"/>
              <w:rPr>
                <w:sz w:val="20"/>
                <w:szCs w:val="20"/>
                <w:color w:val="auto"/>
              </w:rPr>
            </w:pPr>
            <w:r>
              <w:rPr>
                <w:rFonts w:ascii="Arial" w:cs="Arial" w:eastAsia="Arial" w:hAnsi="Arial"/>
                <w:sz w:val="16"/>
                <w:szCs w:val="16"/>
                <w:color w:val="auto"/>
              </w:rPr>
              <w:t>10.1 %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7.2 %</w:t>
            </w:r>
          </w:p>
        </w:tc>
        <w:tc>
          <w:tcPr>
            <w:tcW w:w="0" w:type="dxa"/>
            <w:vAlign w:val="bottom"/>
          </w:tcPr>
          <w:p>
            <w:pPr>
              <w:spacing w:after="0"/>
              <w:rPr>
                <w:sz w:val="1"/>
                <w:szCs w:val="1"/>
                <w:color w:val="auto"/>
              </w:rPr>
            </w:pPr>
          </w:p>
        </w:tc>
      </w:tr>
      <w:tr>
        <w:trPr>
          <w:trHeight w:val="235"/>
        </w:trPr>
        <w:tc>
          <w:tcPr>
            <w:tcW w:w="7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IDS net sales decreased 7.8% for the three months ended October 31, 2020, compared to the same period in the prior year, which consisted of an organic sales decline of 8.4% and an increase from foreign currency translation of 0.6%. The economic slowdown caused by the COVID-19 pandemic had a significant impact on organic sales during the quarter, which resulted in organic sales declines across all major product lines for the three months ended October 31, 2020.</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Organic sales in the Americas declined in the high-single digits for the three months ended October 31, 2020, compared to the same period in the prior year. Organic sales declined across all major product lines due to the economic slowdown caused by the COVID-19 pandemic. Organic sales declined by approximately 10% in the United States and declined in the low-single digits in remainder of the Americas region.</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Europe declined in the mid-single digits for the three months ended October 31, 2020, as compared to the same period in the prior year. Organic sales declined across all major product lines due to the economic slowdown caused by the COVID-19 pandemic. The organic sales decline was broad-based throughout Western Europe, which was partially offset by mid-single digit organic sales growth for certain businesses based in emerging geographies.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Organic sales in Asia declined in the low-single digits for the three months ended October 31, 2020, as compared to the same period in the prior year. Organic sales growth in the safety and facility identification and wire identification product lines was offset by an organic sales decline in the product identification product line. The low-single digit decline was broad-based throughout Asia.</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Segment profit decreased 5.1% to $40.3 million for the three months ended October 31, 2020, compared to $42.4 million in the same period in the prior year. As a percentage of net sales, segment profit was 20.3% for the three months ended October 31, 2020, compared to 19.7% in the same period in the prior year. The increase in segment profit as a percentage of sales was primarily driven by the reduced cost structure throughout the IDS segment and a reduction in discretionary spending in response to the decline in revenue from the impact of the COVID-19 pandemic.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WPS net sales increased 9.8% for the three months ended October 31, 2020, compared to the same period in the prior year, which consisted of organic sales growth of 5.5% and an increase from foreign currency translation of 4.3%. Sales through the digital channel increased in the mid-teens and sales through the traditional catalog channel increased in the low-single digits. The WPS business realized increased demand globally for personal protective equipment, social distancing signage and floor markings, and other COVID-19 pandemic-related products.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Organic sales in Europe increased in the high-single digits for the three months ended October 31, 2020, compared to the same period in the prior year. Sales through the digital channel increased in the mid-teens, which was driven by digital marketing campaigns emphasizing personal protective equipment and other COVID-19 pandemic-related products. Sales through the traditional catalog channel increased in the mid-single digits. Organic sales growth in Europe was led by businesses in France followed by growth in Norway and the U.K., which was partially offset by a decline in organic sales in Germany.</w:t>
      </w:r>
    </w:p>
    <w:p>
      <w:pPr>
        <w:spacing w:after="0" w:line="10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Organic sales in North America declined in the low-single digits for the three months ended October 31, 2020, compared to the same period in the prior year. This decrease was driven by a low-single digit decline in traditional catalog sales, which was partially offset by low-single digit growth in sales through the digital channel. The increase in digital sales was primarily due to increased sales of personal protective equipment, social distancing signage and floor markings, and other COVID-19 pandemic-related products.</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Organic sales in Australia increased just over 10% for the three months ended October 31, 2020, compared to the same period of the prior year. Digital channel sales grew approximately 40% over the same period in the prior year, which was driven by digital marketing campaigns emphasizing personal protective equipment along with floor markings and signage related to social distancing and personal hygiene. Sales through the traditional catalog channel increased in the mid-single digits. Our Australian business generated increased sales in a variety of product categories related to mitigating the COVID-19 pandemic, including various types of personal protective equipment and other healthcare supplies.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profit increased to $8.0 million for the three months ended October 31, 2020, compared to $5.2 million in the same period of the prior year. As a percentage of net sales, segment profit increased to 10.1% for the three months ended October 31, 2020, compared to 7.2% in the same period of the prior year. The increase in segment profit was primarily driven by increased organic sales volumes combined with the reduced SG&amp;A cost structure, and to a lesser extent foreign currency translation.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cash balances are generated and held in numerous locations throughout the world. At October 31, 2020, approximately 66% of the Company's cash and cash equivalents were held outside the United States. The Company's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common stock repurchases, and dividend payments for the next 12 months. Although the Company believes these sources of cash are currently sufficient to fund domestic operations, annual cash needs could require repatriation of cash to the U.S. from foreign jurisdictions, which may result in additional tax payments.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were $256.3 million at October 31, 2020, an increase of $38.7 million from July 31, 2020. The significant changes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w w:val="96"/>
              </w:rPr>
              <w:t>Three months ended October 31,</w:t>
            </w:r>
          </w:p>
        </w:tc>
      </w:tr>
      <w:tr>
        <w:trPr>
          <w:trHeight w:val="21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19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 provided by (used in):</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100" w:type="dxa"/>
            <w:vAlign w:val="bottom"/>
          </w:tcPr>
          <w:p>
            <w:pPr>
              <w:ind w:left="360"/>
              <w:spacing w:after="0"/>
              <w:rPr>
                <w:sz w:val="20"/>
                <w:szCs w:val="20"/>
                <w:color w:val="auto"/>
              </w:rPr>
            </w:pPr>
            <w:r>
              <w:rPr>
                <w:rFonts w:ascii="Arial" w:cs="Arial" w:eastAsia="Arial" w:hAnsi="Arial"/>
                <w:sz w:val="16"/>
                <w:szCs w:val="16"/>
                <w:color w:val="auto"/>
              </w:rPr>
              <w:t>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62,838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38,848</w:t>
            </w:r>
          </w:p>
        </w:tc>
      </w:tr>
      <w:tr>
        <w:trPr>
          <w:trHeight w:val="219"/>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Investing activities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(7,197)</w:t>
            </w:r>
          </w:p>
        </w:tc>
      </w:tr>
      <w:tr>
        <w:trPr>
          <w:trHeight w:val="213"/>
        </w:trPr>
        <w:tc>
          <w:tcPr>
            <w:tcW w:w="8100" w:type="dxa"/>
            <w:vAlign w:val="bottom"/>
          </w:tcPr>
          <w:p>
            <w:pPr>
              <w:ind w:left="360"/>
              <w:spacing w:after="0"/>
              <w:rPr>
                <w:sz w:val="20"/>
                <w:szCs w:val="20"/>
                <w:color w:val="auto"/>
              </w:rPr>
            </w:pPr>
            <w:r>
              <w:rPr>
                <w:rFonts w:ascii="Arial" w:cs="Arial" w:eastAsia="Arial" w:hAnsi="Arial"/>
                <w:sz w:val="16"/>
                <w:szCs w:val="16"/>
                <w:color w:val="auto"/>
              </w:rPr>
              <w:t>Financing activities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(16,551)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(15,326)</w:t>
            </w:r>
          </w:p>
        </w:tc>
      </w:tr>
      <w:tr>
        <w:trPr>
          <w:trHeight w:val="219"/>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07"/>
        </w:trPr>
        <w:tc>
          <w:tcPr>
            <w:tcW w:w="810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38,690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16,021</w:t>
            </w:r>
          </w:p>
        </w:tc>
      </w:tr>
      <w:tr>
        <w:trPr>
          <w:trHeight w:val="23"/>
        </w:trPr>
        <w:tc>
          <w:tcPr>
            <w:tcW w:w="8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provided by operating activities was $62.8 million for the three months ended October 31, 2020, compared to $38.8 million in the same period of the prior year. The increase was primarily due to an increase in cash provided by working capital. Inventory levels were reduced which resulted in the majority of the increase in cash provided by operating activities, which was due to a planned reduction in inventory following a period of increased balances to reduce the risk of supply chain disruption resulting from the COVID-19 pandemic. In addition, the timing of accounts payable and other compensation-related withholding increased cash provided by working capital, which was partially offset by a decrease in cash provided by accounts receivable due to increasing sequential sales during the quarter.</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was $9.2 million for the three months ended October 31, 2020, compared to $7.2 million used in the same period of the prior year. The increase in cash used in investing activities was primarily driven by an increase in capital expenditures for the purchase of facility upgrades and manufacturing equipment in Europe, the United States, and Mexico.</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was $16.6 million during the three months ended October 31, 2020, compared to $15.3 million used in the same period of the prior year. The increase in cash used in financing activities was primarily driven by $2.7 million of share repurchases and a decrease in cash proceeds from the exercise of stock options, which was largely offset by a decrease in cash payments for employee taxes withheld from stock-based awards.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August 1, 2019, the Company and certain of its subsidiaries entered into an unsecured $200 million multi-currency revolving loan agreement with a group of five banks that replaced and terminated the Company’s previous loan agreement that had been entered into on September 25, 2015. Under the new revolving loan agreement, the Company has the option to select either a Eurocurrency rate loan that bears interest at the LIBOR rate plus a margin based on the Company's consolidated net leverage ratio or a base interest rate (based upon the higher of the federal funds rate plus 0.5%, the prime rate of the Bank of Montreal plus a margin based on the Company’s consolidated net leverage ratio, or the Eurocurrency base rate at the LIBOR rate plus a margin based on the Company’s consolidated net leverage ratio plus 1%). At the Company's option, and subject to certain conditions, the available amount under the revolving loan agreement may be increased from $200 million to $400 million. The maximum amount outstanding on the Company's revolving loan agreement during the three months ended October 31, 2020 was $10.6 million. As of October 31, 2020, there were no borrowings outstanding on the credit facility. The Company had letters of credit outstanding under the loan agreement of $3.5 million as of October 31, 2020 and there was $196.5 million available for future borrowing, which can be increased to $396.5 million at the Company's option, subject to</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conditions. The revolving loan agreement has a final maturity date of August 1, 2024, as such, any borrowing would be classified as long-term on the accompanying condensed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Compliance</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Company's revolving loan agreement requires it to maintain certain financial covenants, including a ratio of debt to the trailing twelve months EBITDA, as defined in the debt agreements, of not more than a 3.5 to 1.0 ratio (leverage ratio) and the trailing twelve months EBITDA to interest expense of not less than a 3.0 to 1.0 ratio (interest expense coverage). As of October 31, 2020, the Company was in compliance with these financial covenants.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impacts of the novel coronavirus ("COVID-19") pandemic or other pandemics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compete effectively or to successfully execute its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develop technologically advanced products that meet customer demands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Raw material and other cost increases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protecting websites, networks, and systems against security breaches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self-regulatory entities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Divestitures, contingent liabilities from divestitures and the failure to identify, integrate, and grow acquired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write-offs of goodwill and other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legislation and tax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9"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2020.</w:t>
      </w:r>
    </w:p>
    <w:p>
      <w:pPr>
        <w:spacing w:after="0" w:line="13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2020. There has been no material change in this information since July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&amp; Chief Executive Officer and Chief Financial Officer and Treasurer concluded that the Company’s disclosure controls and procedures are effective as of the end of the period covered by this report.</w:t>
      </w:r>
    </w:p>
    <w:p>
      <w:pPr>
        <w:spacing w:after="0" w:line="1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business, results of operations, financial condition, and cash flows are subject to various risks and uncertainties, including those described in Part I, Item 1A, “Risk Factors” of Brady's Annual Report on Form 10-K for the year ended July 31, 2020. Other than as set forth below, there have been no material changes from the risk factors set forth in the 2020 Form 10-K.</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Our results of operations have been and will in the future be adversely impacted by the COVID-19 pandemic or other pandemics, and the duration and extent to which it will impact our business and financial results remains uncertain.</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global spread of COVID-19 has resulted in significant economic disruption, has negatively impacted our financial results, and significantly increased future uncertainty. The extent to which the COVID-19 pandemic will continue to impact our business, results of operations, and financial condition will depend on numerous evolving factors and future developments, which are highly uncertain and cannot be predicted at this time. Such factors and developments may include the geographic spread, severity and duration of the COVID-19 pandemic, including whether there are periods of increased COVID-19 cases, disruption to our operations resulting from employee illnesses, the development and availability of effective treatment or vaccines, the extent and duration of the impact on the U.S. or global economy, including the pace and extent of recovery when the pandemic subsides, and the actions that have been and may be taken by various governmental authorities in response to the outbreak, including mandatory facility closures of non-essential businesses, stay-at-home orders, or similar restrictions, all of which may continue to effect our customers and customers' demand for our services and products, reduce demand for healthcare services, impact our suppliers or cause disruptions in the global supply chain, and impact our ability to sell and manufacture our products. Certain jurisdictions have begun lifting stay-at-home orders only to impose further restrictions in the wake of increases in new COVID-19 cases. As such, there is considerable uncertainty regarding how current and future health and safety measures implemented in response to the COVID-19 pandemic will impact our business. In addition, the deterioration of macroeconomic conditions may impact the proper functioning of financial and capital markets, foreign currency exchange rates, commodity and energy prices, and interest rates. Even after the COVID-19 pandemic subsides, we may continue to experience adverse impacts to our business and financial results due to any economic recession or depression that has occurred, and due to any major public health crises that may occur in the future.</w:t>
      </w:r>
    </w:p>
    <w:p>
      <w:pPr>
        <w:spacing w:after="0" w:line="11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Although our current accounting estimates contemplate current and expected future conditions, as applicable, it is reasonably possible that actual conditions could differ from our expectations, which could materially affect our results of operations and financial position. In particular, a number of estimates have been and will continue to be affected by the ongoing COVID-19 pandemic. The severity, magnitude and duration, as well as the economic consequences of the COVID-19 pandemic, are uncertain, rapidly changing and difficult to predict. As a result, our accounting estimates and assumptions may change over time in response to COVID-19. Such changes could result in future impairments of goodwill, intangible assets, long-lived assets, incremental credit losses on accounts receivable, excess and obsolete inventory, or a decrease in the carrying amount of our deferred tax assets. Any of these events could amplify the other risks and uncertainties described in our Annual Report on Form 10-K for the fiscal year ended July 31, 2020 and could have an adverse effect on our business and financial results.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has a share repurchase program for the Company's Class A Nonvoting Common Stock. The plan may be implemented by purchasing shares in the open market or in privately negotiated transactions, with repurchased shares available for use in connection with the Company's stock-based plans and for other corporate purposes. On February 16, 2016, the Company's Board of Directors authorized a share repurchase program of 2,000,000 shares. As of October 31, 2020, 369,142 shares remained authorized to purchase in connection with this share repurchase program.</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information with respect to the purchase of Class A Nonvoting Common Stock during the three months ended October 31, 2020:</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Number of Shares</w:t>
            </w:r>
          </w:p>
        </w:tc>
        <w:tc>
          <w:tcPr>
            <w:tcW w:w="18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Maximum Number of</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4"/>
                <w:szCs w:val="14"/>
                <w:color w:val="auto"/>
              </w:rPr>
            </w:pPr>
          </w:p>
        </w:tc>
        <w:tc>
          <w:tcPr>
            <w:tcW w:w="1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Average Price Paid per</w:t>
            </w:r>
          </w:p>
        </w:tc>
        <w:tc>
          <w:tcPr>
            <w:tcW w:w="19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Purchased as Part of</w:t>
            </w:r>
          </w:p>
        </w:tc>
        <w:tc>
          <w:tcPr>
            <w:tcW w:w="18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162"/>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96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1840" w:type="dxa"/>
            <w:vAlign w:val="bottom"/>
            <w:gridSpan w:val="2"/>
          </w:tcPr>
          <w:p>
            <w:pPr>
              <w:jc w:val="center"/>
              <w:ind w:right="20"/>
              <w:spacing w:after="0" w:line="162" w:lineRule="exact"/>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13"/>
        </w:trPr>
        <w:tc>
          <w:tcPr>
            <w:tcW w:w="256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Purchased</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Share</w:t>
            </w:r>
          </w:p>
        </w:tc>
        <w:tc>
          <w:tcPr>
            <w:tcW w:w="8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Plans</w:t>
            </w: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88"/>
              </w:rPr>
              <w:t>Plans</w:t>
            </w:r>
          </w:p>
        </w:tc>
        <w:tc>
          <w:tcPr>
            <w:tcW w:w="0" w:type="dxa"/>
            <w:vAlign w:val="bottom"/>
          </w:tcPr>
          <w:p>
            <w:pPr>
              <w:spacing w:after="0"/>
              <w:rPr>
                <w:sz w:val="1"/>
                <w:szCs w:val="1"/>
                <w:color w:val="auto"/>
              </w:rPr>
            </w:pPr>
          </w:p>
        </w:tc>
      </w:tr>
      <w:tr>
        <w:trPr>
          <w:trHeight w:val="212"/>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August 1, 2020 - August 31, 2020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461,796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0" w:type="dxa"/>
            <w:vAlign w:val="bottom"/>
            <w:gridSpan w:val="3"/>
          </w:tcPr>
          <w:p>
            <w:pPr>
              <w:ind w:left="20"/>
              <w:spacing w:after="0"/>
              <w:rPr>
                <w:sz w:val="20"/>
                <w:szCs w:val="20"/>
                <w:color w:val="auto"/>
              </w:rPr>
            </w:pPr>
            <w:r>
              <w:rPr>
                <w:rFonts w:ascii="Arial" w:cs="Arial" w:eastAsia="Arial" w:hAnsi="Arial"/>
                <w:sz w:val="16"/>
                <w:szCs w:val="16"/>
                <w:color w:val="auto"/>
                <w:w w:val="93"/>
              </w:rPr>
              <w:t>September 1, 2020 - September 30, 2020</w:t>
            </w:r>
          </w:p>
        </w:tc>
        <w:tc>
          <w:tcPr>
            <w:tcW w:w="2620" w:type="dxa"/>
            <w:vAlign w:val="bottom"/>
            <w:gridSpan w:val="3"/>
          </w:tcPr>
          <w:p>
            <w:pPr>
              <w:jc w:val="right"/>
              <w:spacing w:after="0"/>
              <w:rPr>
                <w:sz w:val="20"/>
                <w:szCs w:val="20"/>
                <w:color w:val="auto"/>
              </w:rPr>
            </w:pPr>
            <w:r>
              <w:rPr>
                <w:rFonts w:ascii="Arial" w:cs="Arial" w:eastAsia="Arial" w:hAnsi="Arial"/>
                <w:sz w:val="16"/>
                <w:szCs w:val="16"/>
                <w:color w:val="auto"/>
              </w:rPr>
              <w:t>62,364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39.11</w:t>
            </w:r>
          </w:p>
        </w:tc>
        <w:tc>
          <w:tcPr>
            <w:tcW w:w="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62,364</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399,432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9"/>
              </w:rPr>
              <w:t>October 1, 2020 - October 31, 2020</w:t>
            </w:r>
          </w:p>
        </w:tc>
        <w:tc>
          <w:tcPr>
            <w:tcW w:w="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30,290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38.10</w:t>
            </w:r>
          </w:p>
        </w:tc>
        <w:tc>
          <w:tcPr>
            <w:tcW w:w="8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30,290</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369,142</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5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17"/>
                <w:szCs w:val="17"/>
                <w:color w:val="auto"/>
              </w:rPr>
            </w:pPr>
          </w:p>
        </w:tc>
        <w:tc>
          <w:tcPr>
            <w:tcW w:w="2620" w:type="dxa"/>
            <w:vAlign w:val="bottom"/>
            <w:gridSpan w:val="3"/>
          </w:tcPr>
          <w:p>
            <w:pPr>
              <w:jc w:val="right"/>
              <w:spacing w:after="0"/>
              <w:rPr>
                <w:sz w:val="20"/>
                <w:szCs w:val="20"/>
                <w:color w:val="auto"/>
              </w:rPr>
            </w:pPr>
            <w:r>
              <w:rPr>
                <w:rFonts w:ascii="Arial" w:cs="Arial" w:eastAsia="Arial" w:hAnsi="Arial"/>
                <w:sz w:val="16"/>
                <w:szCs w:val="16"/>
                <w:color w:val="auto"/>
              </w:rPr>
              <w:t>92,654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38.78</w:t>
            </w:r>
          </w:p>
        </w:tc>
        <w:tc>
          <w:tcPr>
            <w:tcW w:w="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92,654</w:t>
            </w:r>
          </w:p>
        </w:tc>
        <w:tc>
          <w:tcPr>
            <w:tcW w:w="1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369,142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560" w:type="dxa"/>
            <w:vAlign w:val="bottom"/>
            <w:gridSpan w:val="2"/>
            <w:vMerge w:val="restart"/>
          </w:tcPr>
          <w:p>
            <w:pPr>
              <w:spacing w:after="0"/>
              <w:rPr>
                <w:sz w:val="20"/>
                <w:szCs w:val="20"/>
                <w:color w:val="auto"/>
              </w:rPr>
            </w:pPr>
            <w:r>
              <w:rPr>
                <w:rFonts w:ascii="Arial" w:cs="Arial" w:eastAsia="Arial" w:hAnsi="Arial"/>
                <w:sz w:val="18"/>
                <w:szCs w:val="18"/>
                <w:color w:val="auto"/>
              </w:rPr>
              <w:t>ITEM 6. EXHIBITS</w:t>
            </w: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2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5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2720" w:type="dxa"/>
            <w:vAlign w:val="bottom"/>
            <w:gridSpan w:val="4"/>
          </w:tcPr>
          <w:p>
            <w:pPr>
              <w:ind w:left="100"/>
              <w:spacing w:after="0"/>
              <w:rPr>
                <w:sz w:val="20"/>
                <w:szCs w:val="20"/>
                <w:color w:val="auto"/>
              </w:rPr>
            </w:pPr>
            <w:r>
              <w:rPr>
                <w:rFonts w:ascii="Arial" w:cs="Arial" w:eastAsia="Arial" w:hAnsi="Arial"/>
                <w:sz w:val="18"/>
                <w:szCs w:val="18"/>
                <w:b w:val="1"/>
                <w:bCs w:val="1"/>
                <w:color w:val="auto"/>
              </w:rPr>
              <w:t>Exhibit Description</w:t>
            </w: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4880" w:type="dxa"/>
            <w:vAlign w:val="bottom"/>
            <w:tcBorders>
              <w:top w:val="single" w:sz="8" w:color="auto"/>
            </w:tcBorders>
            <w:gridSpan w:val="8"/>
          </w:tcPr>
          <w:p>
            <w:pPr>
              <w:ind w:left="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Rule 13a-14(a)/15d-14(a) Certification of J. Michael Nauman</w:t>
              </w:r>
            </w:hyperlink>
          </w:p>
        </w:tc>
        <w:tc>
          <w:tcPr>
            <w:tcW w:w="18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20" w:type="dxa"/>
            <w:vAlign w:val="bottom"/>
          </w:tcPr>
          <w:p>
            <w:pPr>
              <w:ind w:left="2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4880" w:type="dxa"/>
            <w:vAlign w:val="bottom"/>
            <w:gridSpan w:val="8"/>
          </w:tcPr>
          <w:p>
            <w:pPr>
              <w:ind w:left="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Rule 13a-14(a)/15d-14(a) Certification of Aaron J. Pearce</w:t>
              </w:r>
            </w:hyperlink>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20" w:type="dxa"/>
            <w:vAlign w:val="bottom"/>
          </w:tcPr>
          <w:p>
            <w:pPr>
              <w:ind w:left="2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4880" w:type="dxa"/>
            <w:vAlign w:val="bottom"/>
            <w:gridSpan w:val="8"/>
          </w:tcPr>
          <w:p>
            <w:pPr>
              <w:ind w:left="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Section 1350 Certification of J. Michael Nauman</w:t>
              </w:r>
            </w:hyperlink>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320" w:type="dxa"/>
            <w:vAlign w:val="bottom"/>
          </w:tcPr>
          <w:p>
            <w:pPr>
              <w:ind w:left="2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4880" w:type="dxa"/>
            <w:vAlign w:val="bottom"/>
            <w:gridSpan w:val="8"/>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Section 1350 Certification of Aaron J. Pearce</w:t>
              </w:r>
            </w:hyperlink>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8680" w:type="dxa"/>
            <w:vAlign w:val="bottom"/>
            <w:gridSpan w:val="12"/>
          </w:tcPr>
          <w:p>
            <w:pPr>
              <w:ind w:left="20"/>
              <w:spacing w:after="0"/>
              <w:rPr>
                <w:sz w:val="20"/>
                <w:szCs w:val="20"/>
                <w:color w:val="auto"/>
              </w:rPr>
            </w:pPr>
            <w:r>
              <w:rPr>
                <w:rFonts w:ascii="Arial" w:cs="Arial" w:eastAsia="Arial" w:hAnsi="Arial"/>
                <w:sz w:val="18"/>
                <w:szCs w:val="18"/>
                <w:color w:val="auto"/>
                <w:w w:val="92"/>
              </w:rPr>
              <w:t>XBRL Instance Document (The instance document does not appear in the interactive data file because its XBRL tags</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80" w:type="dxa"/>
            <w:vAlign w:val="bottom"/>
            <w:gridSpan w:val="8"/>
          </w:tcPr>
          <w:p>
            <w:pPr>
              <w:ind w:left="20"/>
              <w:spacing w:after="0"/>
              <w:rPr>
                <w:sz w:val="20"/>
                <w:szCs w:val="20"/>
                <w:color w:val="auto"/>
              </w:rPr>
            </w:pPr>
            <w:r>
              <w:rPr>
                <w:rFonts w:ascii="Arial" w:cs="Arial" w:eastAsia="Arial" w:hAnsi="Arial"/>
                <w:sz w:val="18"/>
                <w:szCs w:val="18"/>
                <w:color w:val="auto"/>
              </w:rPr>
              <w:t>are embedded within the inline XBRL document.)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960" w:type="dxa"/>
            <w:vAlign w:val="bottom"/>
            <w:gridSpan w:val="5"/>
          </w:tcPr>
          <w:p>
            <w:pPr>
              <w:ind w:left="20"/>
              <w:spacing w:after="0"/>
              <w:rPr>
                <w:sz w:val="20"/>
                <w:szCs w:val="20"/>
                <w:color w:val="auto"/>
              </w:rPr>
            </w:pPr>
            <w:r>
              <w:rPr>
                <w:rFonts w:ascii="Arial" w:cs="Arial" w:eastAsia="Arial" w:hAnsi="Arial"/>
                <w:sz w:val="18"/>
                <w:szCs w:val="18"/>
                <w:color w:val="auto"/>
                <w:w w:val="99"/>
              </w:rPr>
              <w:t>XBRL Taxonomy Schema Document</w:t>
            </w: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4880" w:type="dxa"/>
            <w:vAlign w:val="bottom"/>
            <w:gridSpan w:val="8"/>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4880" w:type="dxa"/>
            <w:vAlign w:val="bottom"/>
            <w:gridSpan w:val="8"/>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4880" w:type="dxa"/>
            <w:vAlign w:val="bottom"/>
            <w:gridSpan w:val="8"/>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4880" w:type="dxa"/>
            <w:vAlign w:val="bottom"/>
            <w:gridSpan w:val="8"/>
          </w:tcPr>
          <w:p>
            <w:pPr>
              <w:ind w:left="20"/>
              <w:spacing w:after="0"/>
              <w:rPr>
                <w:sz w:val="20"/>
                <w:szCs w:val="20"/>
                <w:color w:val="auto"/>
              </w:rPr>
            </w:pPr>
            <w:r>
              <w:rPr>
                <w:rFonts w:ascii="Arial" w:cs="Arial" w:eastAsia="Arial" w:hAnsi="Arial"/>
                <w:sz w:val="18"/>
                <w:szCs w:val="18"/>
                <w:color w:val="auto"/>
              </w:rPr>
              <w:t>XBRL Taxonomy Presentation Label Linkbase Document</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32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4880" w:type="dxa"/>
            <w:vAlign w:val="bottom"/>
            <w:gridSpan w:val="8"/>
          </w:tcPr>
          <w:p>
            <w:pPr>
              <w:ind w:left="20"/>
              <w:spacing w:after="0"/>
              <w:rPr>
                <w:sz w:val="20"/>
                <w:szCs w:val="20"/>
                <w:color w:val="auto"/>
              </w:rPr>
            </w:pPr>
            <w:r>
              <w:rPr>
                <w:rFonts w:ascii="Arial" w:cs="Arial" w:eastAsia="Arial" w:hAnsi="Arial"/>
                <w:sz w:val="18"/>
                <w:szCs w:val="18"/>
                <w:color w:val="auto"/>
              </w:rPr>
              <w:t>Cover Page Inline XBRL data (contained in Exhibit 101)</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760" w:type="dxa"/>
            <w:vAlign w:val="bottom"/>
            <w:gridSpan w:val="2"/>
          </w:tcPr>
          <w:p>
            <w:pPr>
              <w:ind w:left="1600"/>
              <w:spacing w:after="0"/>
              <w:rPr>
                <w:sz w:val="20"/>
                <w:szCs w:val="20"/>
                <w:color w:val="auto"/>
              </w:rPr>
            </w:pPr>
            <w:r>
              <w:rPr>
                <w:rFonts w:ascii="Arial" w:cs="Arial" w:eastAsia="Arial" w:hAnsi="Arial"/>
                <w:sz w:val="18"/>
                <w:szCs w:val="18"/>
                <w:color w:val="auto"/>
              </w:rPr>
              <w:t>SIGNATURES</w:t>
            </w:r>
          </w:p>
        </w:tc>
      </w:tr>
      <w:tr>
        <w:trPr>
          <w:trHeight w:val="338"/>
        </w:trPr>
        <w:tc>
          <w:tcPr>
            <w:tcW w:w="3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BRADY CORPORATION</w:t>
            </w:r>
          </w:p>
        </w:tc>
      </w:tr>
      <w:tr>
        <w:trPr>
          <w:trHeight w:val="499"/>
        </w:trPr>
        <w:tc>
          <w:tcPr>
            <w:tcW w:w="3460" w:type="dxa"/>
            <w:vAlign w:val="bottom"/>
          </w:tcPr>
          <w:p>
            <w:pPr>
              <w:spacing w:after="0"/>
              <w:rPr>
                <w:sz w:val="20"/>
                <w:szCs w:val="20"/>
                <w:color w:val="auto"/>
              </w:rPr>
            </w:pPr>
            <w:r>
              <w:rPr>
                <w:rFonts w:ascii="Arial" w:cs="Arial" w:eastAsia="Arial" w:hAnsi="Arial"/>
                <w:sz w:val="18"/>
                <w:szCs w:val="18"/>
                <w:color w:val="auto"/>
              </w:rPr>
              <w:t>Date: November 19, 2020</w:t>
            </w:r>
          </w:p>
        </w:tc>
        <w:tc>
          <w:tcPr>
            <w:tcW w:w="3700" w:type="dxa"/>
            <w:vAlign w:val="bottom"/>
          </w:tcPr>
          <w:p>
            <w:pPr>
              <w:spacing w:after="0"/>
              <w:rPr>
                <w:sz w:val="24"/>
                <w:szCs w:val="24"/>
                <w:color w:val="auto"/>
              </w:rPr>
            </w:pPr>
          </w:p>
        </w:tc>
        <w:tc>
          <w:tcPr>
            <w:tcW w:w="40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J. MICHAEL NAUMAN</w:t>
            </w:r>
          </w:p>
        </w:tc>
      </w:tr>
      <w:tr>
        <w:trPr>
          <w:trHeight w:val="222"/>
        </w:trPr>
        <w:tc>
          <w:tcPr>
            <w:tcW w:w="34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J. Michael Nauman</w:t>
            </w:r>
          </w:p>
        </w:tc>
      </w:tr>
      <w:tr>
        <w:trPr>
          <w:trHeight w:val="229"/>
        </w:trPr>
        <w:tc>
          <w:tcPr>
            <w:tcW w:w="34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4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r>
      <w:tr>
        <w:trPr>
          <w:trHeight w:val="742"/>
        </w:trPr>
        <w:tc>
          <w:tcPr>
            <w:tcW w:w="3460" w:type="dxa"/>
            <w:vAlign w:val="bottom"/>
          </w:tcPr>
          <w:p>
            <w:pPr>
              <w:spacing w:after="0"/>
              <w:rPr>
                <w:sz w:val="20"/>
                <w:szCs w:val="20"/>
                <w:color w:val="auto"/>
              </w:rPr>
            </w:pPr>
            <w:r>
              <w:rPr>
                <w:rFonts w:ascii="Arial" w:cs="Arial" w:eastAsia="Arial" w:hAnsi="Arial"/>
                <w:sz w:val="18"/>
                <w:szCs w:val="18"/>
                <w:color w:val="auto"/>
              </w:rPr>
              <w:t>Date: November 19, 2020</w:t>
            </w:r>
          </w:p>
        </w:tc>
        <w:tc>
          <w:tcPr>
            <w:tcW w:w="3700" w:type="dxa"/>
            <w:vAlign w:val="bottom"/>
          </w:tcPr>
          <w:p>
            <w:pPr>
              <w:spacing w:after="0"/>
              <w:rPr>
                <w:sz w:val="24"/>
                <w:szCs w:val="24"/>
                <w:color w:val="auto"/>
              </w:rPr>
            </w:pPr>
          </w:p>
        </w:tc>
        <w:tc>
          <w:tcPr>
            <w:tcW w:w="40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AARON J. PEARCE</w:t>
            </w:r>
          </w:p>
        </w:tc>
      </w:tr>
      <w:tr>
        <w:trPr>
          <w:trHeight w:val="222"/>
        </w:trPr>
        <w:tc>
          <w:tcPr>
            <w:tcW w:w="34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Aaron J. Pearce</w:t>
            </w:r>
          </w:p>
        </w:tc>
      </w:tr>
      <w:tr>
        <w:trPr>
          <w:trHeight w:val="230"/>
        </w:trPr>
        <w:tc>
          <w:tcPr>
            <w:tcW w:w="34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4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104" w:lineRule="exact"/>
        <w:rPr>
          <w:sz w:val="20"/>
          <w:szCs w:val="20"/>
          <w:color w:val="auto"/>
        </w:rPr>
      </w:pPr>
    </w:p>
    <w:p>
      <w:pPr>
        <w:ind w:left="700" w:hanging="247"/>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53"/>
        <w:spacing w:after="0" w:line="342" w:lineRule="auto"/>
        <w:tabs>
          <w:tab w:leader="none" w:pos="70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702"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53"/>
        <w:spacing w:after="0" w:line="308" w:lineRule="auto"/>
        <w:tabs>
          <w:tab w:leader="none" w:pos="702" w:val="left"/>
        </w:tabs>
        <w:numPr>
          <w:ilvl w:val="0"/>
          <w:numId w:val="6"/>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53"/>
        <w:spacing w:after="0" w:line="263" w:lineRule="auto"/>
        <w:tabs>
          <w:tab w:leader="none" w:pos="65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3"/>
        <w:spacing w:after="0" w:line="263" w:lineRule="auto"/>
        <w:tabs>
          <w:tab w:leader="none" w:pos="679"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453"/>
        <w:spacing w:after="0" w:line="277" w:lineRule="auto"/>
        <w:tabs>
          <w:tab w:leader="none" w:pos="677"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58"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3"/>
        <w:spacing w:after="0" w:line="277" w:lineRule="auto"/>
        <w:tabs>
          <w:tab w:leader="none" w:pos="73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sz w:val="20"/>
          <w:szCs w:val="20"/>
          <w:color w:val="auto"/>
        </w:rPr>
      </w:pPr>
    </w:p>
    <w:p>
      <w:pPr>
        <w:ind w:right="20" w:firstLine="453"/>
        <w:spacing w:after="0" w:line="277" w:lineRule="auto"/>
        <w:tabs>
          <w:tab w:leader="none" w:pos="644"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3"/>
        <w:spacing w:after="0" w:line="277" w:lineRule="auto"/>
        <w:tabs>
          <w:tab w:leader="none" w:pos="651"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19, 2020</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&amp;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104" w:lineRule="exact"/>
        <w:rPr>
          <w:sz w:val="20"/>
          <w:szCs w:val="20"/>
          <w:color w:val="auto"/>
        </w:rPr>
      </w:pPr>
    </w:p>
    <w:p>
      <w:pPr>
        <w:ind w:left="700" w:hanging="247"/>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53"/>
        <w:spacing w:after="0" w:line="342"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7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53"/>
        <w:spacing w:after="0" w:line="308" w:lineRule="auto"/>
        <w:tabs>
          <w:tab w:leader="none" w:pos="70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53"/>
        <w:spacing w:after="0" w:line="263" w:lineRule="auto"/>
        <w:tabs>
          <w:tab w:leader="none" w:pos="6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3"/>
        <w:spacing w:after="0" w:line="263" w:lineRule="auto"/>
        <w:tabs>
          <w:tab w:leader="none" w:pos="6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453"/>
        <w:spacing w:after="0" w:line="277" w:lineRule="auto"/>
        <w:tabs>
          <w:tab w:leader="none" w:pos="677"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3"/>
        <w:spacing w:after="0" w:line="277" w:lineRule="auto"/>
        <w:tabs>
          <w:tab w:leader="none" w:pos="7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sz w:val="20"/>
          <w:szCs w:val="20"/>
          <w:color w:val="auto"/>
        </w:rPr>
      </w:pPr>
    </w:p>
    <w:p>
      <w:pPr>
        <w:ind w:right="20" w:firstLine="453"/>
        <w:spacing w:after="0" w:line="277" w:lineRule="auto"/>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3"/>
        <w:spacing w:after="0" w:line="277" w:lineRule="auto"/>
        <w:tabs>
          <w:tab w:leader="none" w:pos="65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19, 2020</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49" w:lineRule="exact"/>
        <w:rPr>
          <w:sz w:val="20"/>
          <w:szCs w:val="20"/>
          <w:color w:val="auto"/>
        </w:rPr>
      </w:pPr>
    </w:p>
    <w:p>
      <w:pPr>
        <w:ind w:right="20" w:firstLine="453"/>
        <w:spacing w:after="0" w:line="277" w:lineRule="auto"/>
        <w:tabs>
          <w:tab w:leader="none" w:pos="7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2020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3"/>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19, 2020</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&amp;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9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49" w:lineRule="exact"/>
        <w:rPr>
          <w:sz w:val="20"/>
          <w:szCs w:val="20"/>
          <w:color w:val="auto"/>
        </w:rPr>
      </w:pPr>
    </w:p>
    <w:p>
      <w:pPr>
        <w:ind w:right="20" w:firstLine="453"/>
        <w:spacing w:after="0" w:line="277" w:lineRule="auto"/>
        <w:tabs>
          <w:tab w:leader="none" w:pos="7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2020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3"/>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19, 2020</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6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2020-11-19T06:15:10Z</dcterms:created>
  <dcterms:modified xsi:type="dcterms:W3CDTF">2020-11-19T06:15:10Z</dcterms:modified>
</cp:coreProperties>
</file>