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55880</wp:posOffset>
            </wp:positionV>
            <wp:extent cx="159448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70485</wp:posOffset>
            </wp:positionV>
            <wp:extent cx="159448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August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70485</wp:posOffset>
            </wp:positionV>
            <wp:extent cx="159448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BRADY CORPORATION</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37465</wp:posOffset>
            </wp:positionV>
            <wp:extent cx="159448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186" w:lineRule="exact"/>
        <w:rPr>
          <w:sz w:val="24"/>
          <w:szCs w:val="24"/>
          <w:color w:val="auto"/>
        </w:rPr>
      </w:pPr>
    </w:p>
    <w:tbl>
      <w:tblPr>
        <w:tblLayout w:type="fixed"/>
        <w:tblInd w:w="1520" w:type="dxa"/>
        <w:tblCellMar>
          <w:top w:w="0" w:type="dxa"/>
          <w:left w:w="0" w:type="dxa"/>
          <w:bottom w:w="0" w:type="dxa"/>
          <w:right w:w="0" w:type="dxa"/>
        </w:tblCellMar>
      </w:tblPr>
      <w:tr>
        <w:trPr>
          <w:trHeight w:val="159"/>
        </w:trPr>
        <w:tc>
          <w:tcPr>
            <w:tcW w:w="2860" w:type="dxa"/>
            <w:vAlign w:val="bottom"/>
          </w:tcPr>
          <w:p>
            <w:pPr>
              <w:spacing w:after="0"/>
              <w:rPr>
                <w:sz w:val="13"/>
                <w:szCs w:val="13"/>
                <w:color w:val="auto"/>
              </w:rPr>
            </w:pPr>
          </w:p>
        </w:tc>
        <w:tc>
          <w:tcPr>
            <w:tcW w:w="4900" w:type="dxa"/>
            <w:vAlign w:val="bottom"/>
            <w:gridSpan w:val="2"/>
          </w:tcPr>
          <w:p>
            <w:pPr>
              <w:jc w:val="center"/>
              <w:ind w:right="2312"/>
              <w:spacing w:after="0"/>
              <w:rPr>
                <w:sz w:val="20"/>
                <w:szCs w:val="20"/>
                <w:color w:val="auto"/>
              </w:rPr>
            </w:pPr>
            <w:r>
              <w:rPr>
                <w:rFonts w:ascii="Times New Roman" w:cs="Times New Roman" w:eastAsia="Times New Roman" w:hAnsi="Times New Roman"/>
                <w:sz w:val="12"/>
                <w:szCs w:val="12"/>
                <w:b w:val="1"/>
                <w:bCs w:val="1"/>
                <w:color w:val="auto"/>
                <w:w w:val="99"/>
              </w:rPr>
              <w:t>Commission File Number 1-14959</w:t>
            </w:r>
          </w:p>
        </w:tc>
      </w:tr>
      <w:tr>
        <w:trPr>
          <w:trHeight w:val="299"/>
        </w:trPr>
        <w:tc>
          <w:tcPr>
            <w:tcW w:w="2860" w:type="dxa"/>
            <w:vAlign w:val="bottom"/>
          </w:tcPr>
          <w:p>
            <w:pPr>
              <w:jc w:val="center"/>
              <w:ind w:right="326"/>
              <w:spacing w:after="0"/>
              <w:rPr>
                <w:sz w:val="20"/>
                <w:szCs w:val="20"/>
                <w:color w:val="auto"/>
              </w:rPr>
            </w:pPr>
            <w:r>
              <w:rPr>
                <w:rFonts w:ascii="Times New Roman" w:cs="Times New Roman" w:eastAsia="Times New Roman" w:hAnsi="Times New Roman"/>
                <w:sz w:val="12"/>
                <w:szCs w:val="12"/>
                <w:b w:val="1"/>
                <w:bCs w:val="1"/>
                <w:color w:val="auto"/>
                <w:w w:val="98"/>
              </w:rPr>
              <w:t>Wisconsin</w:t>
            </w:r>
          </w:p>
        </w:tc>
        <w:tc>
          <w:tcPr>
            <w:tcW w:w="4900" w:type="dxa"/>
            <w:vAlign w:val="bottom"/>
            <w:gridSpan w:val="2"/>
          </w:tcPr>
          <w:p>
            <w:pPr>
              <w:jc w:val="right"/>
              <w:ind w:right="372"/>
              <w:spacing w:after="0"/>
              <w:rPr>
                <w:sz w:val="20"/>
                <w:szCs w:val="20"/>
                <w:color w:val="auto"/>
              </w:rPr>
            </w:pPr>
            <w:r>
              <w:rPr>
                <w:rFonts w:ascii="Times New Roman" w:cs="Times New Roman" w:eastAsia="Times New Roman" w:hAnsi="Times New Roman"/>
                <w:sz w:val="12"/>
                <w:szCs w:val="12"/>
                <w:b w:val="1"/>
                <w:bCs w:val="1"/>
                <w:color w:val="auto"/>
              </w:rPr>
              <w:t>39-0178960</w:t>
            </w:r>
          </w:p>
        </w:tc>
      </w:tr>
      <w:tr>
        <w:trPr>
          <w:trHeight w:val="125"/>
        </w:trPr>
        <w:tc>
          <w:tcPr>
            <w:tcW w:w="2860" w:type="dxa"/>
            <w:vAlign w:val="bottom"/>
          </w:tcPr>
          <w:p>
            <w:pPr>
              <w:jc w:val="center"/>
              <w:ind w:right="326"/>
              <w:spacing w:after="0"/>
              <w:rPr>
                <w:sz w:val="20"/>
                <w:szCs w:val="20"/>
                <w:color w:val="auto"/>
              </w:rPr>
            </w:pPr>
            <w:r>
              <w:rPr>
                <w:rFonts w:ascii="Times New Roman" w:cs="Times New Roman" w:eastAsia="Times New Roman" w:hAnsi="Times New Roman"/>
                <w:sz w:val="10"/>
                <w:szCs w:val="10"/>
                <w:b w:val="1"/>
                <w:bCs w:val="1"/>
                <w:color w:val="auto"/>
                <w:w w:val="96"/>
              </w:rPr>
              <w:t>(State or other jurisdiction of incorporation or organization)</w:t>
            </w:r>
          </w:p>
        </w:tc>
        <w:tc>
          <w:tcPr>
            <w:tcW w:w="2520" w:type="dxa"/>
            <w:vAlign w:val="bottom"/>
          </w:tcPr>
          <w:p>
            <w:pPr>
              <w:spacing w:after="0"/>
              <w:rPr>
                <w:sz w:val="10"/>
                <w:szCs w:val="10"/>
                <w:color w:val="auto"/>
              </w:rPr>
            </w:pPr>
          </w:p>
        </w:tc>
        <w:tc>
          <w:tcPr>
            <w:tcW w:w="2380" w:type="dxa"/>
            <w:vAlign w:val="bottom"/>
          </w:tcPr>
          <w:p>
            <w:pPr>
              <w:jc w:val="center"/>
              <w:ind w:left="932"/>
              <w:spacing w:after="0"/>
              <w:rPr>
                <w:sz w:val="20"/>
                <w:szCs w:val="20"/>
                <w:color w:val="auto"/>
              </w:rPr>
            </w:pPr>
            <w:r>
              <w:rPr>
                <w:rFonts w:ascii="Times New Roman" w:cs="Times New Roman" w:eastAsia="Times New Roman" w:hAnsi="Times New Roman"/>
                <w:sz w:val="10"/>
                <w:szCs w:val="10"/>
                <w:b w:val="1"/>
                <w:bCs w:val="1"/>
                <w:color w:val="auto"/>
                <w:w w:val="96"/>
              </w:rPr>
              <w:t>(IRS Employer Identification No.)</w:t>
            </w:r>
          </w:p>
        </w:tc>
      </w:tr>
      <w:tr>
        <w:trPr>
          <w:trHeight w:val="281"/>
        </w:trPr>
        <w:tc>
          <w:tcPr>
            <w:tcW w:w="2860" w:type="dxa"/>
            <w:vAlign w:val="bottom"/>
          </w:tcPr>
          <w:p>
            <w:pPr>
              <w:spacing w:after="0"/>
              <w:rPr>
                <w:sz w:val="24"/>
                <w:szCs w:val="24"/>
                <w:color w:val="auto"/>
              </w:rPr>
            </w:pPr>
          </w:p>
        </w:tc>
        <w:tc>
          <w:tcPr>
            <w:tcW w:w="4900" w:type="dxa"/>
            <w:vAlign w:val="bottom"/>
            <w:gridSpan w:val="2"/>
          </w:tcPr>
          <w:p>
            <w:pPr>
              <w:jc w:val="center"/>
              <w:ind w:right="2332"/>
              <w:spacing w:after="0"/>
              <w:rPr>
                <w:sz w:val="20"/>
                <w:szCs w:val="20"/>
                <w:color w:val="auto"/>
              </w:rPr>
            </w:pPr>
            <w:r>
              <w:rPr>
                <w:rFonts w:ascii="Times New Roman" w:cs="Times New Roman" w:eastAsia="Times New Roman" w:hAnsi="Times New Roman"/>
                <w:sz w:val="12"/>
                <w:szCs w:val="12"/>
                <w:b w:val="1"/>
                <w:bCs w:val="1"/>
                <w:color w:val="auto"/>
                <w:w w:val="99"/>
              </w:rPr>
              <w:t>6555 West Good Hope Road</w:t>
            </w:r>
          </w:p>
        </w:tc>
      </w:tr>
      <w:tr>
        <w:trPr>
          <w:trHeight w:val="142"/>
        </w:trPr>
        <w:tc>
          <w:tcPr>
            <w:tcW w:w="2860" w:type="dxa"/>
            <w:vAlign w:val="bottom"/>
          </w:tcPr>
          <w:p>
            <w:pPr>
              <w:spacing w:after="0"/>
              <w:rPr>
                <w:sz w:val="12"/>
                <w:szCs w:val="12"/>
                <w:color w:val="auto"/>
              </w:rPr>
            </w:pPr>
          </w:p>
        </w:tc>
        <w:tc>
          <w:tcPr>
            <w:tcW w:w="4900" w:type="dxa"/>
            <w:vAlign w:val="bottom"/>
            <w:gridSpan w:val="2"/>
          </w:tcPr>
          <w:p>
            <w:pPr>
              <w:jc w:val="center"/>
              <w:ind w:right="2332"/>
              <w:spacing w:after="0"/>
              <w:rPr>
                <w:sz w:val="20"/>
                <w:szCs w:val="20"/>
                <w:color w:val="auto"/>
              </w:rPr>
            </w:pPr>
            <w:r>
              <w:rPr>
                <w:rFonts w:ascii="Times New Roman" w:cs="Times New Roman" w:eastAsia="Times New Roman" w:hAnsi="Times New Roman"/>
                <w:sz w:val="12"/>
                <w:szCs w:val="12"/>
                <w:b w:val="1"/>
                <w:bCs w:val="1"/>
                <w:color w:val="auto"/>
                <w:w w:val="99"/>
              </w:rPr>
              <w:t>Milwaukee, Wisconsin 53223</w:t>
            </w:r>
          </w:p>
        </w:tc>
      </w:tr>
      <w:tr>
        <w:trPr>
          <w:trHeight w:val="125"/>
        </w:trPr>
        <w:tc>
          <w:tcPr>
            <w:tcW w:w="2860" w:type="dxa"/>
            <w:vAlign w:val="bottom"/>
          </w:tcPr>
          <w:p>
            <w:pPr>
              <w:spacing w:after="0"/>
              <w:rPr>
                <w:sz w:val="10"/>
                <w:szCs w:val="10"/>
                <w:color w:val="auto"/>
              </w:rPr>
            </w:pPr>
          </w:p>
        </w:tc>
        <w:tc>
          <w:tcPr>
            <w:tcW w:w="4900" w:type="dxa"/>
            <w:vAlign w:val="bottom"/>
            <w:gridSpan w:val="2"/>
          </w:tcPr>
          <w:p>
            <w:pPr>
              <w:jc w:val="center"/>
              <w:ind w:right="2312"/>
              <w:spacing w:after="0"/>
              <w:rPr>
                <w:sz w:val="20"/>
                <w:szCs w:val="20"/>
                <w:color w:val="auto"/>
              </w:rPr>
            </w:pPr>
            <w:r>
              <w:rPr>
                <w:rFonts w:ascii="Times New Roman" w:cs="Times New Roman" w:eastAsia="Times New Roman" w:hAnsi="Times New Roman"/>
                <w:sz w:val="10"/>
                <w:szCs w:val="10"/>
                <w:b w:val="1"/>
                <w:bCs w:val="1"/>
                <w:color w:val="auto"/>
                <w:w w:val="95"/>
              </w:rPr>
              <w:t>(Address of Principal Executive Offices and Zip Code)</w:t>
            </w:r>
          </w:p>
        </w:tc>
      </w:tr>
      <w:tr>
        <w:trPr>
          <w:trHeight w:val="199"/>
        </w:trPr>
        <w:tc>
          <w:tcPr>
            <w:tcW w:w="2860" w:type="dxa"/>
            <w:vAlign w:val="bottom"/>
          </w:tcPr>
          <w:p>
            <w:pPr>
              <w:spacing w:after="0"/>
              <w:rPr>
                <w:sz w:val="17"/>
                <w:szCs w:val="17"/>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(414) 358-6600</w:t>
            </w:r>
          </w:p>
        </w:tc>
        <w:tc>
          <w:tcPr>
            <w:tcW w:w="2380" w:type="dxa"/>
            <w:vAlign w:val="bottom"/>
          </w:tcPr>
          <w:p>
            <w:pPr>
              <w:spacing w:after="0"/>
              <w:rPr>
                <w:sz w:val="17"/>
                <w:szCs w:val="17"/>
                <w:color w:val="auto"/>
              </w:rPr>
            </w:pPr>
          </w:p>
        </w:tc>
      </w:tr>
      <w:tr>
        <w:trPr>
          <w:trHeight w:val="125"/>
        </w:trPr>
        <w:tc>
          <w:tcPr>
            <w:tcW w:w="2860" w:type="dxa"/>
            <w:vAlign w:val="bottom"/>
          </w:tcPr>
          <w:p>
            <w:pPr>
              <w:spacing w:after="0"/>
              <w:rPr>
                <w:sz w:val="10"/>
                <w:szCs w:val="10"/>
                <w:color w:val="auto"/>
              </w:rPr>
            </w:pPr>
          </w:p>
        </w:tc>
        <w:tc>
          <w:tcPr>
            <w:tcW w:w="4900" w:type="dxa"/>
            <w:vAlign w:val="bottom"/>
            <w:gridSpan w:val="2"/>
          </w:tcPr>
          <w:p>
            <w:pPr>
              <w:jc w:val="center"/>
              <w:ind w:right="2332"/>
              <w:spacing w:after="0"/>
              <w:rPr>
                <w:sz w:val="20"/>
                <w:szCs w:val="20"/>
                <w:color w:val="auto"/>
              </w:rPr>
            </w:pPr>
            <w:r>
              <w:rPr>
                <w:rFonts w:ascii="Times New Roman" w:cs="Times New Roman" w:eastAsia="Times New Roman" w:hAnsi="Times New Roman"/>
                <w:sz w:val="10"/>
                <w:szCs w:val="10"/>
                <w:b w:val="1"/>
                <w:bCs w:val="1"/>
                <w:color w:val="auto"/>
                <w:w w:val="94"/>
              </w:rPr>
              <w:t>(Registrant’s Telephone Number)</w:t>
            </w:r>
          </w:p>
        </w:tc>
      </w:tr>
      <w:tr>
        <w:trPr>
          <w:trHeight w:val="62"/>
        </w:trPr>
        <w:tc>
          <w:tcPr>
            <w:tcW w:w="2860" w:type="dxa"/>
            <w:vAlign w:val="bottom"/>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2380" w:type="dxa"/>
            <w:vAlign w:val="bottom"/>
          </w:tcPr>
          <w:p>
            <w:pPr>
              <w:spacing w:after="0"/>
              <w:rPr>
                <w:sz w:val="5"/>
                <w:szCs w:val="5"/>
                <w:color w:val="auto"/>
              </w:rPr>
            </w:pPr>
          </w:p>
        </w:tc>
      </w:tr>
    </w:tbl>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32" w:lineRule="exact"/>
        <w:rPr>
          <w:sz w:val="24"/>
          <w:szCs w:val="2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14"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05"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14" w:lineRule="exact"/>
        <w:rPr>
          <w:rFonts w:ascii="MS PGothic" w:cs="MS PGothic" w:eastAsia="MS PGothic" w:hAnsi="MS PGothic"/>
          <w:sz w:val="14"/>
          <w:szCs w:val="14"/>
          <w:color w:val="auto"/>
        </w:rPr>
      </w:pPr>
    </w:p>
    <w:p>
      <w:pPr>
        <w:ind w:left="680" w:hanging="676"/>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14"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6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1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34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42"/>
        </w:trPr>
        <w:tc>
          <w:tcPr>
            <w:tcW w:w="6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Class A Nonvoting Common Stock, par value $0.01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BRC</w:t>
            </w:r>
          </w:p>
        </w:tc>
        <w:tc>
          <w:tcPr>
            <w:tcW w:w="3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New York Stock Exchange</w:t>
            </w:r>
          </w:p>
        </w:tc>
      </w:tr>
    </w:tbl>
    <w:p>
      <w:pPr>
        <w:spacing w:after="0" w:line="142" w:lineRule="exact"/>
        <w:rPr>
          <w:sz w:val="24"/>
          <w:szCs w:val="24"/>
          <w:color w:val="auto"/>
        </w:rPr>
      </w:pPr>
    </w:p>
    <w:p>
      <w:pPr>
        <w:ind w:right="440"/>
        <w:spacing w:after="0" w:line="205"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an emerging growth company as defined in Rule 405 of the Securities Act of 1933 (17 CFR 230.405) or Rule 12b-2 or the Securities Exchange Act of 1934 (17 CFR 240.12b-2). Emerging growth company </w:t>
      </w:r>
      <w:r>
        <w:rPr>
          <w:rFonts w:ascii="MS PGothic" w:cs="MS PGothic" w:eastAsia="MS PGothic" w:hAnsi="MS PGothic"/>
          <w:sz w:val="14"/>
          <w:szCs w:val="14"/>
          <w:color w:val="auto"/>
        </w:rPr>
        <w:t>☐</w:t>
      </w:r>
    </w:p>
    <w:p>
      <w:pPr>
        <w:spacing w:after="0" w:line="31" w:lineRule="exact"/>
        <w:rPr>
          <w:sz w:val="24"/>
          <w:szCs w:val="24"/>
          <w:color w:val="auto"/>
        </w:rPr>
      </w:pPr>
    </w:p>
    <w:p>
      <w:pPr>
        <w:spacing w:after="0" w:line="174"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344805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38" w:right="31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2"/>
          <w:szCs w:val="12"/>
          <w:color w:val="auto"/>
        </w:rPr>
        <w:t>Item 2.02</w:t>
      </w:r>
      <w:r>
        <w:rPr>
          <w:sz w:val="20"/>
          <w:szCs w:val="20"/>
          <w:color w:val="auto"/>
        </w:rPr>
        <w:tab/>
      </w:r>
      <w:r>
        <w:rPr>
          <w:rFonts w:ascii="Times New Roman" w:cs="Times New Roman" w:eastAsia="Times New Roman" w:hAnsi="Times New Roman"/>
          <w:sz w:val="11"/>
          <w:szCs w:val="11"/>
          <w:color w:val="auto"/>
        </w:rPr>
        <w:t>RESULTS OF OPERATIONS AND FINANCIAL CONDITION</w:t>
      </w:r>
    </w:p>
    <w:p>
      <w:pPr>
        <w:spacing w:after="0" w:line="231" w:lineRule="exact"/>
        <w:rPr>
          <w:sz w:val="20"/>
          <w:szCs w:val="20"/>
          <w:color w:val="auto"/>
        </w:r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On September 1, 2022, Brady Corporation (the “Company”) issued a press release announcing its fiscal 2022 fourth quarter financial results. A copy of the press release is being furnished to the Securities and Exchange Commission as Exhibit 99.1 attached hereto and is incorporated herein by reference.</w:t>
      </w:r>
    </w:p>
    <w:p>
      <w:pPr>
        <w:spacing w:after="0" w:line="26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2"/>
          <w:szCs w:val="12"/>
          <w:color w:val="auto"/>
        </w:rPr>
        <w:t>Item 7.01</w:t>
      </w:r>
      <w:r>
        <w:rPr>
          <w:sz w:val="20"/>
          <w:szCs w:val="20"/>
          <w:color w:val="auto"/>
        </w:rPr>
        <w:tab/>
      </w:r>
      <w:r>
        <w:rPr>
          <w:rFonts w:ascii="Times New Roman" w:cs="Times New Roman" w:eastAsia="Times New Roman" w:hAnsi="Times New Roman"/>
          <w:sz w:val="11"/>
          <w:szCs w:val="11"/>
          <w:color w:val="auto"/>
        </w:rPr>
        <w:t>REGULATION FD DISCLOSURE</w:t>
      </w:r>
    </w:p>
    <w:p>
      <w:pPr>
        <w:spacing w:after="0" w:line="222"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On September 1, 2022, the Company hosted a conference call related to its fiscal 2022 fourth quarter financial results. A copy of the slides referenced in the conference call, which is also posted on the Company's website, is being furnished to the Securities and Exchange Commission as Exhibit 99.3 attached hereto and is incorporated herein by reference.</w:t>
      </w:r>
    </w:p>
    <w:p>
      <w:pPr>
        <w:spacing w:after="0" w:line="26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2"/>
          <w:szCs w:val="12"/>
          <w:color w:val="auto"/>
        </w:rPr>
        <w:t>Item 8.01</w:t>
      </w:r>
      <w:r>
        <w:rPr>
          <w:sz w:val="20"/>
          <w:szCs w:val="20"/>
          <w:color w:val="auto"/>
        </w:rPr>
        <w:tab/>
      </w:r>
      <w:r>
        <w:rPr>
          <w:rFonts w:ascii="Times New Roman" w:cs="Times New Roman" w:eastAsia="Times New Roman" w:hAnsi="Times New Roman"/>
          <w:sz w:val="12"/>
          <w:szCs w:val="12"/>
          <w:color w:val="auto"/>
        </w:rPr>
        <w:t>OTHER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u w:val="single" w:color="auto"/>
          <w:color w:val="auto"/>
        </w:rPr>
        <w:t>Increase in Annual Dividend</w:t>
      </w:r>
    </w:p>
    <w:p>
      <w:pPr>
        <w:spacing w:after="0" w:line="116"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On August 30, 2022, the Company's Board of Directors approved an increase in the annual cash dividend on its Class A Common Stock from $0.90 to $0.92 per share. A quarterly dividend in the amount of $0.23 per share will be paid on October 28, 2022, to shareholders of record as of the close of business on October 7, 2022. A copy of the press release regarding the dividend is attached hereto as Exhibit 99.2 and is incorporated herein by reference.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Item 9.01</w:t>
            </w:r>
          </w:p>
        </w:tc>
        <w:tc>
          <w:tcPr>
            <w:tcW w:w="10080" w:type="dxa"/>
            <w:vAlign w:val="bottom"/>
            <w:gridSpan w:val="5"/>
          </w:tcPr>
          <w:p>
            <w:pPr>
              <w:ind w:left="80"/>
              <w:spacing w:after="0"/>
              <w:rPr>
                <w:sz w:val="20"/>
                <w:szCs w:val="20"/>
                <w:color w:val="auto"/>
              </w:rPr>
            </w:pPr>
            <w:r>
              <w:rPr>
                <w:rFonts w:ascii="Times New Roman" w:cs="Times New Roman" w:eastAsia="Times New Roman" w:hAnsi="Times New Roman"/>
                <w:sz w:val="12"/>
                <w:szCs w:val="12"/>
                <w:color w:val="auto"/>
              </w:rPr>
              <w:t>FINANCIAL STATEMENTS AND EXHIBITS</w:t>
            </w:r>
          </w:p>
        </w:tc>
      </w:tr>
      <w:tr>
        <w:trPr>
          <w:trHeight w:val="369"/>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(d) Exhibits</w:t>
            </w:r>
          </w:p>
        </w:tc>
        <w:tc>
          <w:tcPr>
            <w:tcW w:w="1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61"/>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EXHIBIT NUMBER</w:t>
            </w:r>
          </w:p>
        </w:tc>
        <w:tc>
          <w:tcPr>
            <w:tcW w:w="160" w:type="dxa"/>
            <w:vAlign w:val="bottom"/>
          </w:tcPr>
          <w:p>
            <w:pPr>
              <w:spacing w:after="0"/>
              <w:rPr>
                <w:sz w:val="22"/>
                <w:szCs w:val="22"/>
                <w:color w:val="auto"/>
              </w:rPr>
            </w:pPr>
          </w:p>
        </w:tc>
        <w:tc>
          <w:tcPr>
            <w:tcW w:w="99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2"/>
                <w:szCs w:val="12"/>
                <w:color w:val="auto"/>
              </w:rPr>
              <w:t>DESCRIPTION</w:t>
            </w:r>
          </w:p>
        </w:tc>
      </w:tr>
      <w:tr>
        <w:trPr>
          <w:trHeight w:val="178"/>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160" w:type="dxa"/>
            <w:vAlign w:val="bottom"/>
          </w:tcPr>
          <w:p>
            <w:pPr>
              <w:spacing w:after="0"/>
              <w:rPr>
                <w:sz w:val="15"/>
                <w:szCs w:val="15"/>
                <w:color w:val="auto"/>
              </w:rPr>
            </w:pPr>
          </w:p>
        </w:tc>
        <w:tc>
          <w:tcPr>
            <w:tcW w:w="992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0000FF"/>
              </w:rPr>
              <w:t>Press Release of Brady Corporation, dated September 1, 2022, relating to fourth quarter fiscal 2022 financial results.</w:t>
            </w:r>
          </w:p>
        </w:tc>
      </w:tr>
      <w:tr>
        <w:trPr>
          <w:trHeight w:val="259"/>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99.2</w:t>
            </w:r>
          </w:p>
        </w:tc>
        <w:tc>
          <w:tcPr>
            <w:tcW w:w="160" w:type="dxa"/>
            <w:vAlign w:val="bottom"/>
          </w:tcPr>
          <w:p>
            <w:pPr>
              <w:spacing w:after="0"/>
              <w:rPr>
                <w:sz w:val="22"/>
                <w:szCs w:val="22"/>
                <w:color w:val="auto"/>
              </w:rPr>
            </w:pPr>
          </w:p>
        </w:tc>
        <w:tc>
          <w:tcPr>
            <w:tcW w:w="5600" w:type="dxa"/>
            <w:vAlign w:val="bottom"/>
            <w:tcBorders>
              <w:top w:val="single" w:sz="8" w:color="0000FF"/>
            </w:tcBorders>
            <w:gridSpan w:val="2"/>
          </w:tcPr>
          <w:p>
            <w:pPr>
              <w:ind w:left="20"/>
              <w:spacing w:after="0"/>
              <w:rPr>
                <w:sz w:val="20"/>
                <w:szCs w:val="20"/>
                <w:color w:val="auto"/>
              </w:rPr>
            </w:pPr>
            <w:r>
              <w:rPr>
                <w:rFonts w:ascii="Times New Roman" w:cs="Times New Roman" w:eastAsia="Times New Roman" w:hAnsi="Times New Roman"/>
                <w:sz w:val="12"/>
                <w:szCs w:val="12"/>
                <w:color w:val="0000FF"/>
              </w:rPr>
              <w:t>Press Release of Brady Corporation, dated August 31, 2022, relating to increase in annual dividend.</w:t>
            </w:r>
          </w:p>
        </w:tc>
        <w:tc>
          <w:tcPr>
            <w:tcW w:w="4320" w:type="dxa"/>
            <w:vAlign w:val="bottom"/>
            <w:gridSpan w:val="2"/>
          </w:tcPr>
          <w:p>
            <w:pPr>
              <w:spacing w:after="0"/>
              <w:rPr>
                <w:sz w:val="22"/>
                <w:szCs w:val="22"/>
                <w:color w:val="auto"/>
              </w:rPr>
            </w:pPr>
          </w:p>
        </w:tc>
      </w:tr>
      <w:tr>
        <w:trPr>
          <w:trHeight w:val="20"/>
        </w:trPr>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0" w:type="dxa"/>
            <w:vAlign w:val="bottom"/>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259"/>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99.3</w:t>
            </w:r>
          </w:p>
        </w:tc>
        <w:tc>
          <w:tcPr>
            <w:tcW w:w="160" w:type="dxa"/>
            <w:vAlign w:val="bottom"/>
          </w:tcPr>
          <w:p>
            <w:pPr>
              <w:spacing w:after="0"/>
              <w:rPr>
                <w:sz w:val="22"/>
                <w:szCs w:val="22"/>
                <w:color w:val="auto"/>
              </w:rPr>
            </w:pPr>
          </w:p>
        </w:tc>
        <w:tc>
          <w:tcPr>
            <w:tcW w:w="992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0000FF"/>
              </w:rPr>
              <w:t>Informational slides provided by Brady Corporation, dated September 1, 2022, relating to fourth quarter fiscal 2022 financial results.</w:t>
            </w:r>
          </w:p>
        </w:tc>
      </w:tr>
      <w:tr>
        <w:trPr>
          <w:trHeight w:val="232"/>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60" w:type="dxa"/>
            <w:vAlign w:val="bottom"/>
          </w:tcPr>
          <w:p>
            <w:pPr>
              <w:spacing w:after="0"/>
              <w:rPr>
                <w:sz w:val="20"/>
                <w:szCs w:val="20"/>
                <w:color w:val="auto"/>
              </w:rPr>
            </w:pPr>
          </w:p>
        </w:tc>
        <w:tc>
          <w:tcPr>
            <w:tcW w:w="6380" w:type="dxa"/>
            <w:vAlign w:val="bottom"/>
            <w:tcBorders>
              <w:top w:val="single" w:sz="8" w:color="0000FF"/>
            </w:tcBorders>
            <w:gridSpan w:val="3"/>
          </w:tcPr>
          <w:p>
            <w:pPr>
              <w:ind w:left="20"/>
              <w:spacing w:after="0"/>
              <w:rPr>
                <w:sz w:val="20"/>
                <w:szCs w:val="20"/>
                <w:color w:val="auto"/>
              </w:rPr>
            </w:pPr>
            <w:r>
              <w:rPr>
                <w:rFonts w:ascii="Times New Roman" w:cs="Times New Roman" w:eastAsia="Times New Roman" w:hAnsi="Times New Roman"/>
                <w:sz w:val="12"/>
                <w:szCs w:val="12"/>
                <w:color w:val="auto"/>
              </w:rPr>
              <w:t>Cover Page Interactive Data File (embedded within Inline XBRL document).</w:t>
            </w:r>
          </w:p>
        </w:tc>
        <w:tc>
          <w:tcPr>
            <w:tcW w:w="3540" w:type="dxa"/>
            <w:vAlign w:val="bottom"/>
          </w:tcPr>
          <w:p>
            <w:pPr>
              <w:spacing w:after="0"/>
              <w:rPr>
                <w:sz w:val="20"/>
                <w:szCs w:val="20"/>
                <w:color w:val="auto"/>
              </w:rPr>
            </w:pPr>
          </w:p>
        </w:tc>
      </w:tr>
    </w:tbl>
    <w:p>
      <w:pPr>
        <w:spacing w:after="0" w:line="32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2"/>
          <w:szCs w:val="12"/>
          <w:color w:val="auto"/>
        </w:rPr>
        <w:t>SIGNATURE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9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BRADY CORPORATION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September 1, 2022</w:t>
      </w:r>
    </w:p>
    <w:p>
      <w:pPr>
        <w:spacing w:after="0" w:line="1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3698240</wp:posOffset>
            </wp:positionH>
            <wp:positionV relativeFrom="paragraph">
              <wp:posOffset>9525</wp:posOffset>
            </wp:positionV>
            <wp:extent cx="345186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51860" cy="5715"/>
                    </a:xfrm>
                    <a:prstGeom prst="rect">
                      <a:avLst/>
                    </a:prstGeom>
                    <a:noFill/>
                  </pic:spPr>
                </pic:pic>
              </a:graphicData>
            </a:graphic>
          </wp:anchor>
        </w:drawing>
      </w:r>
    </w:p>
    <w:p>
      <w:pPr>
        <w:spacing w:after="0" w:line="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Aaron J. Pearce</w:t>
      </w:r>
    </w:p>
    <w:p>
      <w:pPr>
        <w:spacing w:after="0" w:line="1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Chief Financial Officer and Treasurer</w:t>
      </w:r>
    </w:p>
    <w:p>
      <w:pPr>
        <w:sectPr>
          <w:pgSz w:w="11900" w:h="16838" w:orient="portrait"/>
          <w:cols w:equalWidth="0" w:num="1">
            <w:col w:w="11300"/>
          </w:cols>
          <w:pgMar w:left="300" w:top="777" w:right="29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EXHIBIT 99.1</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For More Information: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Investor contact: Ann Thornton 414-438-6887</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Media contact: Kate Venne 414-358-5176</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Brady Corporation Reports Record EPS in its Fiscal 2022 Fourth Quarter and Announces its Fiscal 2023 EPS Guidance</w:t>
      </w:r>
    </w:p>
    <w:p>
      <w:pPr>
        <w:spacing w:after="0" w:line="204"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Sales for the quarter increased 5.8 percent. Organic sales increased 9.0 percent.</w:t>
      </w:r>
    </w:p>
    <w:p>
      <w:pPr>
        <w:spacing w:after="0" w:line="75"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Gross profit margin increased to 50.4 percent in the fourth quarter of F’22 compared to 48.2 percent in the fourth quarter of F’21.</w:t>
      </w:r>
    </w:p>
    <w:p>
      <w:pPr>
        <w:spacing w:after="0" w:line="84" w:lineRule="exact"/>
        <w:rPr>
          <w:rFonts w:ascii="Times New Roman" w:cs="Times New Roman" w:eastAsia="Times New Roman" w:hAnsi="Times New Roman"/>
          <w:sz w:val="13"/>
          <w:szCs w:val="13"/>
          <w:color w:val="auto"/>
        </w:rPr>
      </w:pPr>
    </w:p>
    <w:p>
      <w:pPr>
        <w:ind w:left="420" w:hanging="212"/>
        <w:spacing w:after="0" w:line="368" w:lineRule="auto"/>
        <w:tabs>
          <w:tab w:leader="none" w:pos="412"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Diluted EPS increased 52.8 percent to an all-time high of $0.81 in the fourth quarter of fiscal 2022 compared to $0.53 in the same quarter of the prior year. Diluted EPS Excluding Certain Items* increased 16.0 percent to an all-time record high of $0.87 in the fourth quarter of fiscal 2022 compared to $0.75 in the same quarter of the prior year.</w:t>
      </w: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the quarter and year ended July 31, 2022, we returned $35.5 million and $155.2 million, respectively, to our shareholders in the form of dividends and share repurchases.</w:t>
      </w:r>
    </w:p>
    <w:p>
      <w:pPr>
        <w:spacing w:after="0" w:line="75" w:lineRule="exact"/>
        <w:rPr>
          <w:rFonts w:ascii="Times New Roman" w:cs="Times New Roman" w:eastAsia="Times New Roman" w:hAnsi="Times New Roman"/>
          <w:sz w:val="13"/>
          <w:szCs w:val="13"/>
          <w:color w:val="auto"/>
        </w:rPr>
      </w:pPr>
    </w:p>
    <w:p>
      <w:pPr>
        <w:ind w:left="420" w:hanging="212"/>
        <w:spacing w:after="0" w:line="411" w:lineRule="auto"/>
        <w:tabs>
          <w:tab w:leader="none" w:pos="412"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Diluted EPS guidance for the year ending July 31, 2023 was announced at a range of $3.13 to $3.43 on a GAAP basis, and a range of $3.30 to $3.60 on a non-GAAP basis. This GAAP EPS guidance range is an increase of 7.9 percent to 18.3 percent compared to GAAP EPS of $2.90 for the year ended July 31, 2022.</w:t>
      </w:r>
    </w:p>
    <w:p>
      <w:pPr>
        <w:spacing w:after="0" w:line="109" w:lineRule="exact"/>
        <w:rPr>
          <w:sz w:val="20"/>
          <w:szCs w:val="20"/>
          <w:color w:val="auto"/>
        </w:rPr>
      </w:pPr>
    </w:p>
    <w:p>
      <w:pPr>
        <w:jc w:val="both"/>
        <w:spacing w:after="0" w:line="411" w:lineRule="auto"/>
        <w:rPr>
          <w:sz w:val="20"/>
          <w:szCs w:val="20"/>
          <w:color w:val="auto"/>
        </w:rPr>
      </w:pPr>
      <w:r>
        <w:rPr>
          <w:rFonts w:ascii="Times New Roman" w:cs="Times New Roman" w:eastAsia="Times New Roman" w:hAnsi="Times New Roman"/>
          <w:sz w:val="13"/>
          <w:szCs w:val="13"/>
          <w:color w:val="auto"/>
        </w:rPr>
        <w:t>MILWAUKEE (September 1, 2022) -- Brady Corporation (NYSE: BRC) (“Brady” or “Company”), a world leader in identification solutions, today reported its financial results for its fiscal 2022 fourth quarter ended July 31, 2022.</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Quarter Ended July 31, 2022 Financial Results:</w:t>
      </w:r>
    </w:p>
    <w:p>
      <w:pPr>
        <w:spacing w:after="0" w:line="87" w:lineRule="exact"/>
        <w:rPr>
          <w:sz w:val="20"/>
          <w:szCs w:val="20"/>
          <w:color w:val="auto"/>
        </w:rPr>
      </w:pPr>
    </w:p>
    <w:p>
      <w:pPr>
        <w:jc w:val="both"/>
        <w:ind w:firstLine="432"/>
        <w:spacing w:after="0" w:line="370" w:lineRule="auto"/>
        <w:rPr>
          <w:sz w:val="20"/>
          <w:szCs w:val="20"/>
          <w:color w:val="auto"/>
        </w:rPr>
      </w:pPr>
      <w:r>
        <w:rPr>
          <w:rFonts w:ascii="Times New Roman" w:cs="Times New Roman" w:eastAsia="Times New Roman" w:hAnsi="Times New Roman"/>
          <w:sz w:val="13"/>
          <w:szCs w:val="13"/>
          <w:color w:val="auto"/>
        </w:rPr>
        <w:t>Sales for the quarter ended July 31, 2022 increased 5.8 percent, which consisted of an organic sales increase of 9.0 percent, an increase of 2.5 percent from acquisitions and a decrease of 5.7 percent from foreign currency translation. Sales for the quarter ended July 31, 2022 were $324.0 million compared to $306.1 million in the same quarter last year. By segment, sales increased 9.6 percent in Identification Solutions and decreased 5.7 percent in Workplace Safety, which consisted of an organic sales increase of 10.8 percent in Identification Solutions and an organic sales increase of 3.3 percent in Workplace Safety.</w:t>
      </w:r>
    </w:p>
    <w:p>
      <w:pPr>
        <w:spacing w:after="0" w:line="2" w:lineRule="exact"/>
        <w:rPr>
          <w:sz w:val="20"/>
          <w:szCs w:val="20"/>
          <w:color w:val="auto"/>
        </w:rPr>
      </w:pPr>
    </w:p>
    <w:p>
      <w:pPr>
        <w:jc w:val="both"/>
        <w:ind w:firstLine="432"/>
        <w:spacing w:after="0" w:line="377" w:lineRule="auto"/>
        <w:rPr>
          <w:sz w:val="20"/>
          <w:szCs w:val="20"/>
          <w:color w:val="auto"/>
        </w:rPr>
      </w:pPr>
      <w:r>
        <w:rPr>
          <w:rFonts w:ascii="Times New Roman" w:cs="Times New Roman" w:eastAsia="Times New Roman" w:hAnsi="Times New Roman"/>
          <w:sz w:val="13"/>
          <w:szCs w:val="13"/>
          <w:color w:val="auto"/>
        </w:rPr>
        <w:t>Income before income taxes and losses of unconsolidated affiliate increased 29.7 percent to $54.0 million for the quarter ended July 31, 2022, compared to $41.6 million in the same quarter last year. Income Before Income Taxes Excluding Certain Items* for the quarter ended July 31, 2022, which was adjusted for amortization expense of $3.7 million, was $57.7 million, an increase of 19.2 percent compared to the fourth quarter of last year. Income Before Income Taxes Excluding Certain Items* for the quarter ended July 31, 2021, which was adjusted for non-recurring acquisition-related charges of $3.7 million and amortization expense of $3.0 million, was $48.4 million.</w:t>
      </w:r>
    </w:p>
    <w:p>
      <w:pPr>
        <w:sectPr>
          <w:pgSz w:w="11900" w:h="16838" w:orient="portrait"/>
          <w:cols w:equalWidth="0" w:num="1">
            <w:col w:w="11300"/>
          </w:cols>
          <w:pgMar w:left="300" w:top="636" w:right="299" w:bottom="1440" w:gutter="0" w:footer="0" w:header="0"/>
        </w:sectPr>
      </w:pPr>
    </w:p>
    <w:bookmarkStart w:id="3" w:name="page4"/>
    <w:bookmarkEnd w:id="3"/>
    <w:p>
      <w:pPr>
        <w:jc w:val="both"/>
        <w:ind w:right="20" w:firstLine="432"/>
        <w:spacing w:after="0" w:line="382" w:lineRule="auto"/>
        <w:rPr>
          <w:sz w:val="20"/>
          <w:szCs w:val="20"/>
          <w:color w:val="auto"/>
        </w:rPr>
      </w:pPr>
      <w:r>
        <w:rPr>
          <w:rFonts w:ascii="Times New Roman" w:cs="Times New Roman" w:eastAsia="Times New Roman" w:hAnsi="Times New Roman"/>
          <w:sz w:val="13"/>
          <w:szCs w:val="13"/>
          <w:color w:val="auto"/>
        </w:rPr>
        <w:t>Net income for the quarter ended July 31, 2022 was $41.1 million compared to $28.0 million in the same quarter last year. Earnings per diluted Class A Nonvoting Common Share were $0.81 for the fourth quarter of fiscal 2022, compared to $0.53 in the same quarter last year. Net Income Excluding Certain Items* for the quarter ended July 31, 2022 was $43.9 million and Diluted EPS Excluding Certain Items* for the quarter ended July 31, 2022 was $0.87. Net Income Excluding Certain Items* for the quarter ended July 31, 2021 was $39.3 million, and Diluted EPS Excluding Certain Items* for the quarter ended July 31, 2021 was $0.75.</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Year Ended July 31, 2022 Financial Results:</w:t>
      </w:r>
    </w:p>
    <w:p>
      <w:pPr>
        <w:spacing w:after="0" w:line="87" w:lineRule="exact"/>
        <w:rPr>
          <w:sz w:val="20"/>
          <w:szCs w:val="20"/>
          <w:color w:val="auto"/>
        </w:rPr>
      </w:pPr>
    </w:p>
    <w:p>
      <w:pPr>
        <w:jc w:val="both"/>
        <w:ind w:firstLine="432"/>
        <w:spacing w:after="0" w:line="366" w:lineRule="auto"/>
        <w:rPr>
          <w:sz w:val="20"/>
          <w:szCs w:val="20"/>
          <w:color w:val="auto"/>
        </w:rPr>
      </w:pPr>
      <w:r>
        <w:rPr>
          <w:rFonts w:ascii="Times New Roman" w:cs="Times New Roman" w:eastAsia="Times New Roman" w:hAnsi="Times New Roman"/>
          <w:sz w:val="13"/>
          <w:szCs w:val="13"/>
          <w:color w:val="auto"/>
        </w:rPr>
        <w:t>Sales for the year ended July 31, 2022 increased 13.7 percent, which consisted of an organic sales increase of 9.4 percent, an increase of 6.9 percent from acquisitions and a decrease of 2.6 percent from foreign currency translation. Sales for the year ended July 31, 2022 were $1.30 billion compared to $1.14 billion in the same period last year. By segment, sales increased 20.1 percent in Identification Solutions and decreased 4.0 percent in Workplace Safety, which consisted of an organic sales increase of 12.8 percent in Identification Solutions and flat organic sales in Workplace Safety.</w:t>
      </w:r>
    </w:p>
    <w:p>
      <w:pPr>
        <w:jc w:val="both"/>
        <w:ind w:firstLine="432"/>
        <w:spacing w:after="0" w:line="369" w:lineRule="auto"/>
        <w:rPr>
          <w:sz w:val="20"/>
          <w:szCs w:val="20"/>
          <w:color w:val="auto"/>
        </w:rPr>
      </w:pPr>
      <w:r>
        <w:rPr>
          <w:rFonts w:ascii="Times New Roman" w:cs="Times New Roman" w:eastAsia="Times New Roman" w:hAnsi="Times New Roman"/>
          <w:sz w:val="13"/>
          <w:szCs w:val="13"/>
          <w:color w:val="auto"/>
        </w:rPr>
        <w:t>Income before income taxes and losses of unconsolidated affiliate increased 12.3 percent to $192.0 million for the year ended July 31, 2022, compared to $171.0 million in the same period last year. Income Before Income Taxes Excluding Certain Items* for the year ended July 31, 2022 was $208.8 million, an increase of 14.8 percent compared to the same period of last year. Income Before Income Taxes Excluding Certain Items* for the year ended July 31, 2022 was adjusted for non-recurring charges primarily to streamline the cost structure of our Workplace Safety business of $1.8 million and amortization expense of $15.0 million. Income Before Income Taxes Excluding Certain Items* for the prior year ended July 31, 2021, which was adjusted for non-recurring acquisition-related charges of $3.7 million and amortization expense of $7.1 million, was $181.8 million.</w:t>
      </w:r>
    </w:p>
    <w:p>
      <w:pPr>
        <w:spacing w:after="0" w:line="3" w:lineRule="exact"/>
        <w:rPr>
          <w:sz w:val="20"/>
          <w:szCs w:val="20"/>
          <w:color w:val="auto"/>
        </w:rPr>
      </w:pPr>
    </w:p>
    <w:p>
      <w:pPr>
        <w:jc w:val="both"/>
        <w:ind w:firstLine="432"/>
        <w:spacing w:after="0" w:line="395" w:lineRule="auto"/>
        <w:rPr>
          <w:sz w:val="20"/>
          <w:szCs w:val="20"/>
          <w:color w:val="auto"/>
        </w:rPr>
      </w:pPr>
      <w:r>
        <w:rPr>
          <w:rFonts w:ascii="Times New Roman" w:cs="Times New Roman" w:eastAsia="Times New Roman" w:hAnsi="Times New Roman"/>
          <w:sz w:val="13"/>
          <w:szCs w:val="13"/>
          <w:color w:val="auto"/>
        </w:rPr>
        <w:t>Net income for the year ended July 31, 2022 was $150.0 million compared to $129.7 million in the same period last year. Earnings per diluted Class A Nonvoting Common Share were $2.90 for the year ended July 31, 2022, compared to $2.47 in the same period last year. Net Income Excluding Certain Items* for the year ended July 31, 2022 was $162.7 million and Diluted EPS Excluding Certain Items* for the year ended July 31, 2022 was $3.15. Net Income Excluding Certain Items* for the year ended July 31, 2021 was $144.0 million, and Diluted EPS Excluding Certain Items* for the year ended July 31, 2021 was $2.75.</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Commentary:</w:t>
      </w:r>
    </w:p>
    <w:p>
      <w:pPr>
        <w:spacing w:after="0" w:line="78" w:lineRule="exact"/>
        <w:rPr>
          <w:sz w:val="20"/>
          <w:szCs w:val="20"/>
          <w:color w:val="auto"/>
        </w:rPr>
      </w:pPr>
    </w:p>
    <w:p>
      <w:pPr>
        <w:jc w:val="both"/>
        <w:ind w:firstLine="432"/>
        <w:spacing w:after="0" w:line="382" w:lineRule="auto"/>
        <w:rPr>
          <w:sz w:val="20"/>
          <w:szCs w:val="20"/>
          <w:color w:val="auto"/>
        </w:rPr>
      </w:pPr>
      <w:r>
        <w:rPr>
          <w:rFonts w:ascii="Times New Roman" w:cs="Times New Roman" w:eastAsia="Times New Roman" w:hAnsi="Times New Roman"/>
          <w:sz w:val="13"/>
          <w:szCs w:val="13"/>
          <w:color w:val="auto"/>
        </w:rPr>
        <w:t>“This quarter, we generated an all-time record high EPS, capping off Brady’s best earnings year ever. For the full year ended July 31, 2022, we earned GAAP EPS of $2.90, which was a 17.4 percent increase over the previous year, which was also a record,” said Brady’s President and Chief Executive Officer, Russell R. Shaller. “Our Identification Solutions segment is performing very well, with strong organic sales growth and a robust pipeline of new products, including products that position us well to help our customers become more efficient, thus taking advantage of the global trend towards increased factory automation. In our Workplace Safety segment, the actions we took to simplify our product offering, to streamline our cost structure, and to improve our price</w:t>
      </w:r>
    </w:p>
    <w:p>
      <w:pPr>
        <w:sectPr>
          <w:pgSz w:w="11900" w:h="16838" w:orient="portrait"/>
          <w:cols w:equalWidth="0" w:num="1">
            <w:col w:w="11300"/>
          </w:cols>
          <w:pgMar w:left="300" w:top="674" w:right="299" w:bottom="1440" w:gutter="0" w:footer="0" w:header="0"/>
        </w:sectPr>
      </w:pPr>
    </w:p>
    <w:bookmarkStart w:id="4" w:name="page5"/>
    <w:bookmarkEnd w:id="4"/>
    <w:p>
      <w:pPr>
        <w:jc w:val="both"/>
        <w:spacing w:after="0" w:line="368" w:lineRule="auto"/>
        <w:rPr>
          <w:sz w:val="20"/>
          <w:szCs w:val="20"/>
          <w:color w:val="auto"/>
        </w:rPr>
      </w:pPr>
      <w:r>
        <w:rPr>
          <w:rFonts w:ascii="Times New Roman" w:cs="Times New Roman" w:eastAsia="Times New Roman" w:hAnsi="Times New Roman"/>
          <w:sz w:val="13"/>
          <w:szCs w:val="13"/>
          <w:color w:val="auto"/>
        </w:rPr>
        <w:t>competitiveness resulted in another strong quarter. Segment profit increased by more than 65 percent in our Workplace Safety segment this quarter. While we recognize that macro-economic challenges are clouding the global economic outlook, we are entering fiscal 2023 with positive momentum, a highly-engaged workforce, and a strong balance sheet, which we believe position us for future success.”</w:t>
      </w:r>
    </w:p>
    <w:p>
      <w:pPr>
        <w:spacing w:after="0" w:line="1" w:lineRule="exact"/>
        <w:rPr>
          <w:sz w:val="20"/>
          <w:szCs w:val="20"/>
          <w:color w:val="auto"/>
        </w:rPr>
      </w:pPr>
    </w:p>
    <w:p>
      <w:pPr>
        <w:jc w:val="both"/>
        <w:ind w:firstLine="432"/>
        <w:spacing w:after="0" w:line="382" w:lineRule="auto"/>
        <w:rPr>
          <w:sz w:val="20"/>
          <w:szCs w:val="20"/>
          <w:color w:val="auto"/>
        </w:rPr>
      </w:pPr>
      <w:r>
        <w:rPr>
          <w:rFonts w:ascii="Times New Roman" w:cs="Times New Roman" w:eastAsia="Times New Roman" w:hAnsi="Times New Roman"/>
          <w:sz w:val="13"/>
          <w:szCs w:val="13"/>
          <w:color w:val="auto"/>
        </w:rPr>
        <w:t>“Not only did we have total revenue growth of 13.7 percent and record EPS this year, we also used our strong balance sheet and cash generation to return funds to our shareholders in the form of share buybacks and increasing dividends. This year, we repurchased a total of 2.3 million shares for $109.2 million and we returned another $45.9 million to our shareholders in the form of dividends,” said Brady’s Chief Financial Officer, Aaron Pearce. “Even after returning more than $155 million to our shareholders this year, we were still in a net cash position of $19 million at July 31, 2022. We believe that we are well-positioned for the future, as we have built up inventory levels to ensure a steady supply of products to our customers and we have a solid balance sheet, which provides opportunities to drive shareholder value.”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Fiscal 2023 Guidance:</w:t>
      </w:r>
    </w:p>
    <w:p>
      <w:pPr>
        <w:spacing w:after="0" w:line="87" w:lineRule="exact"/>
        <w:rPr>
          <w:sz w:val="20"/>
          <w:szCs w:val="20"/>
          <w:color w:val="auto"/>
        </w:rPr>
      </w:pPr>
    </w:p>
    <w:p>
      <w:pPr>
        <w:jc w:val="both"/>
        <w:ind w:firstLine="432"/>
        <w:spacing w:after="0" w:line="368" w:lineRule="auto"/>
        <w:rPr>
          <w:sz w:val="20"/>
          <w:szCs w:val="20"/>
          <w:color w:val="auto"/>
        </w:rPr>
      </w:pPr>
      <w:r>
        <w:rPr>
          <w:rFonts w:ascii="Times New Roman" w:cs="Times New Roman" w:eastAsia="Times New Roman" w:hAnsi="Times New Roman"/>
          <w:sz w:val="13"/>
          <w:szCs w:val="13"/>
          <w:color w:val="auto"/>
        </w:rPr>
        <w:t>Brady expects GAAP earnings per diluted Class A Nonvoting Common Share to range from $3.13 to $3.43, which would be an increase of 7.9 percent to 18.3 percent over the GAAP earnings per diluted Class A nonvoting Common Share of $2.90 for the year ended July 31, 2022.</w:t>
      </w:r>
    </w:p>
    <w:p>
      <w:pPr>
        <w:spacing w:after="0" w:line="1" w:lineRule="exact"/>
        <w:rPr>
          <w:sz w:val="20"/>
          <w:szCs w:val="20"/>
          <w:color w:val="auto"/>
        </w:rPr>
      </w:pPr>
    </w:p>
    <w:p>
      <w:pPr>
        <w:jc w:val="both"/>
        <w:ind w:firstLine="432"/>
        <w:spacing w:after="0" w:line="366" w:lineRule="auto"/>
        <w:rPr>
          <w:sz w:val="20"/>
          <w:szCs w:val="20"/>
          <w:color w:val="auto"/>
        </w:rPr>
      </w:pPr>
      <w:r>
        <w:rPr>
          <w:rFonts w:ascii="Times New Roman" w:cs="Times New Roman" w:eastAsia="Times New Roman" w:hAnsi="Times New Roman"/>
          <w:sz w:val="13"/>
          <w:szCs w:val="13"/>
          <w:color w:val="auto"/>
        </w:rPr>
        <w:t>Brady also expects Diluted EPS Excluding Certain Items* to range from $3.30 to $3.60 for the year ending July 31, 2023, which would be an increase of 4.8 percent to 14.3 percent over Diluted EPS Excluding Certain Items* of $3.15 for the year ended July 31, 2022. Excluded from this Diluted EPS Excluding Certain Items* guidance is expected amortization expense equating to $0.17 per share for the year ending July 31, 2023.</w:t>
      </w:r>
    </w:p>
    <w:p>
      <w:pPr>
        <w:jc w:val="both"/>
        <w:ind w:firstLine="432"/>
        <w:spacing w:after="0" w:line="386" w:lineRule="auto"/>
        <w:rPr>
          <w:sz w:val="20"/>
          <w:szCs w:val="20"/>
          <w:color w:val="auto"/>
        </w:rPr>
      </w:pPr>
      <w:r>
        <w:rPr>
          <w:rFonts w:ascii="Times New Roman" w:cs="Times New Roman" w:eastAsia="Times New Roman" w:hAnsi="Times New Roman"/>
          <w:sz w:val="13"/>
          <w:szCs w:val="13"/>
          <w:color w:val="auto"/>
        </w:rPr>
        <w:t>Included in our fiscal 2023 guidance are a full-year income tax rate of approximately 20 percent and depreciation and amortization expense ranging from $32 million to $34 million. Capital expenditures are expected to approximate $32 million, which is inclusive of facility construction costs of approximately $10 million. Our fiscal 2023 guidance is based on foreign currency exchange rates as of July 31, 2022 and assumes continued economic growth.</w:t>
      </w:r>
    </w:p>
    <w:p>
      <w:pPr>
        <w:spacing w:after="0" w:line="1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 xml:space="preserve">A webcast regarding Brady’s fiscal 2022 fourth quarter and full year financial results will be available at </w:t>
      </w:r>
      <w:r>
        <w:rPr>
          <w:rFonts w:ascii="Times New Roman" w:cs="Times New Roman" w:eastAsia="Times New Roman" w:hAnsi="Times New Roman"/>
          <w:sz w:val="13"/>
          <w:szCs w:val="13"/>
          <w:u w:val="single" w:color="auto"/>
          <w:color w:val="0000FF"/>
        </w:rPr>
        <w:t>www.bradycorp.com/investors</w:t>
      </w:r>
      <w:r>
        <w:rPr>
          <w:rFonts w:ascii="Times New Roman" w:cs="Times New Roman" w:eastAsia="Times New Roman" w:hAnsi="Times New Roman"/>
          <w:sz w:val="13"/>
          <w:szCs w:val="13"/>
          <w:color w:val="auto"/>
        </w:rPr>
        <w:t xml:space="preserve"> beginning at 9:30 a.m. central time today.</w:t>
      </w:r>
    </w:p>
    <w:p>
      <w:pPr>
        <w:spacing w:after="0" w:line="238" w:lineRule="exact"/>
        <w:rPr>
          <w:sz w:val="20"/>
          <w:szCs w:val="20"/>
          <w:color w:val="auto"/>
        </w:rPr>
      </w:pPr>
    </w:p>
    <w:p>
      <w:pPr>
        <w:jc w:val="both"/>
        <w:ind w:firstLine="432"/>
        <w:spacing w:after="0" w:line="382" w:lineRule="auto"/>
        <w:rPr>
          <w:sz w:val="20"/>
          <w:szCs w:val="20"/>
          <w:color w:val="auto"/>
        </w:rPr>
      </w:pPr>
      <w:r>
        <w:rPr>
          <w:rFonts w:ascii="Times New Roman" w:cs="Times New Roman" w:eastAsia="Times New Roman" w:hAnsi="Times New Roman"/>
          <w:sz w:val="13"/>
          <w:szCs w:val="13"/>
          <w:color w:val="auto"/>
        </w:rPr>
        <w:t>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2022, employed approximately 5,700 people in its worldwide businesses. Brady’s fiscal 2022</w:t>
      </w:r>
    </w:p>
    <w:p>
      <w:pPr>
        <w:sectPr>
          <w:pgSz w:w="11900" w:h="16838" w:orient="portrait"/>
          <w:cols w:equalWidth="0" w:num="1">
            <w:col w:w="11300"/>
          </w:cols>
          <w:pgMar w:left="300" w:top="674"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color w:val="auto"/>
        </w:rPr>
        <w:t xml:space="preserve">sales were approximately $1.30 billion. Brady stock trades on the New York Stock Exchange under the symbol BRC. More information is available on the Internet at </w:t>
      </w:r>
      <w:r>
        <w:rPr>
          <w:rFonts w:ascii="Times New Roman" w:cs="Times New Roman" w:eastAsia="Times New Roman" w:hAnsi="Times New Roman"/>
          <w:sz w:val="13"/>
          <w:szCs w:val="13"/>
          <w:u w:val="single" w:color="auto"/>
          <w:color w:val="0000FF"/>
        </w:rPr>
        <w:t>www.bradyid.com</w:t>
      </w:r>
      <w:r>
        <w:rPr>
          <w:rFonts w:ascii="Times New Roman" w:cs="Times New Roman" w:eastAsia="Times New Roman" w:hAnsi="Times New Roman"/>
          <w:sz w:val="13"/>
          <w:szCs w:val="13"/>
          <w:color w:val="auto"/>
        </w:rPr>
        <w:t>.</w:t>
      </w:r>
    </w:p>
    <w:p>
      <w:pPr>
        <w:spacing w:after="0" w:line="247" w:lineRule="exact"/>
        <w:rPr>
          <w:sz w:val="20"/>
          <w:szCs w:val="20"/>
          <w:color w:val="auto"/>
        </w:rPr>
      </w:pPr>
    </w:p>
    <w:p>
      <w:pPr>
        <w:ind w:firstLine="424"/>
        <w:spacing w:after="0" w:line="396" w:lineRule="auto"/>
        <w:tabs>
          <w:tab w:leader="none" w:pos="537"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Income Before Income Taxes Excluding Certain Items, Net Income Excluding Certain Items, and Diluted EPS Excluding Certain Items are non-GAAP measures. See appendix for more information on these measures, including reconciliations to the most directly comparable GAAP measures.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p>
    <w:p>
      <w:pPr>
        <w:spacing w:after="0" w:line="20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The use of words such as “may,” “will,” “expect,” “intend,” “estimate,” “anticipate,” “believe,” “should,” “project,” “continue”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increased cost of raw materials, labor and freight as well as material shortages and supply chain disruptions; adverse impacts of the novel coronavirus (“COVID-19”) pandemic or other pandemics; decreased demand for our products; our ability to compete effectively or to successfully execute our strategy; our ability to develop technologically advanced products that meet customer demands; Brady’s ability to identify, integrate, and grow acquired companies, and to manage contingent liabilities from divested businesses; difficulties in protecting our websites, networks, and systems against security breaches; risks associated with the loss of key employees; extensive regulations by U.S. and non-U.S. governmental and self-regulatory entities; litigation, including product liability claims; foreign currency fluctuations; potential write-offs of goodwill and other intangible assets; changes in tax legislation and tax rates; differing interests of voting and non-voting shareholders; numerous other matters of national, regional and global scale, including major public health crises and government responses thereto and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2022.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300"/>
          </w:cols>
          <w:pgMar w:left="300" w:top="674"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CONSOLIDATED STATEMENTS OF INCOME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(Unaudited; Dollars in thousands, except per share data)</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60" w:type="dxa"/>
            <w:vAlign w:val="bottom"/>
          </w:tcPr>
          <w:p>
            <w:pPr>
              <w:spacing w:after="0"/>
              <w:rPr>
                <w:sz w:val="12"/>
                <w:szCs w:val="12"/>
                <w:color w:val="auto"/>
              </w:rPr>
            </w:pPr>
          </w:p>
        </w:tc>
        <w:tc>
          <w:tcPr>
            <w:tcW w:w="2340" w:type="dxa"/>
            <w:vAlign w:val="bottom"/>
            <w:tcBorders>
              <w:bottom w:val="single" w:sz="8" w:color="auto"/>
            </w:tcBorders>
            <w:gridSpan w:val="4"/>
          </w:tcPr>
          <w:p>
            <w:pPr>
              <w:jc w:val="right"/>
              <w:ind w:right="246"/>
              <w:spacing w:after="0"/>
              <w:rPr>
                <w:sz w:val="20"/>
                <w:szCs w:val="20"/>
                <w:color w:val="auto"/>
              </w:rPr>
            </w:pPr>
            <w:r>
              <w:rPr>
                <w:rFonts w:ascii="Times New Roman" w:cs="Times New Roman" w:eastAsia="Times New Roman" w:hAnsi="Times New Roman"/>
                <w:sz w:val="11"/>
                <w:szCs w:val="11"/>
                <w:color w:val="auto"/>
              </w:rPr>
              <w:t>Three months ended July 31,</w:t>
            </w:r>
          </w:p>
        </w:tc>
        <w:tc>
          <w:tcPr>
            <w:tcW w:w="4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jc w:val="right"/>
              <w:ind w:right="46"/>
              <w:spacing w:after="0"/>
              <w:rPr>
                <w:sz w:val="20"/>
                <w:szCs w:val="20"/>
                <w:color w:val="auto"/>
              </w:rPr>
            </w:pPr>
            <w:r>
              <w:rPr>
                <w:rFonts w:ascii="Times New Roman" w:cs="Times New Roman" w:eastAsia="Times New Roman" w:hAnsi="Times New Roman"/>
                <w:sz w:val="11"/>
                <w:szCs w:val="11"/>
                <w:color w:val="auto"/>
              </w:rPr>
              <w:t>Year ended July 31,</w:t>
            </w:r>
          </w:p>
        </w:tc>
        <w:tc>
          <w:tcPr>
            <w:tcW w:w="860" w:type="dxa"/>
            <w:vAlign w:val="bottom"/>
            <w:tcBorders>
              <w:bottom w:val="single" w:sz="8" w:color="auto"/>
            </w:tcBorders>
          </w:tcPr>
          <w:p>
            <w:pPr>
              <w:spacing w:after="0"/>
              <w:rPr>
                <w:sz w:val="12"/>
                <w:szCs w:val="12"/>
                <w:color w:val="auto"/>
              </w:rPr>
            </w:pPr>
          </w:p>
        </w:tc>
      </w:tr>
      <w:tr>
        <w:trPr>
          <w:trHeight w:val="133"/>
        </w:trPr>
        <w:tc>
          <w:tcPr>
            <w:tcW w:w="556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2022</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2021</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rPr>
              <w:t>2022</w:t>
            </w:r>
          </w:p>
        </w:tc>
        <w:tc>
          <w:tcPr>
            <w:tcW w:w="8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rPr>
              <w:t>2021</w:t>
            </w:r>
          </w:p>
        </w:tc>
      </w:tr>
      <w:tr>
        <w:trPr>
          <w:trHeight w:val="135"/>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sales</w:t>
            </w:r>
          </w:p>
        </w:tc>
        <w:tc>
          <w:tcPr>
            <w:tcW w:w="88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323,981</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306,130</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1,302,062</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1,144,698</w:t>
            </w:r>
          </w:p>
        </w:tc>
      </w:tr>
      <w:tr>
        <w:trPr>
          <w:trHeight w:val="142"/>
        </w:trPr>
        <w:tc>
          <w:tcPr>
            <w:tcW w:w="5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Cost of goods sold</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160,805</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158,481</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670,510</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583,252</w:t>
            </w:r>
          </w:p>
        </w:tc>
      </w:tr>
      <w:tr>
        <w:trPr>
          <w:trHeight w:val="135"/>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Gross margin</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163,176</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147,649</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631,552</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561,446</w:t>
            </w:r>
          </w:p>
        </w:tc>
      </w:tr>
      <w:tr>
        <w:trPr>
          <w:trHeight w:val="142"/>
        </w:trPr>
        <w:tc>
          <w:tcPr>
            <w:tcW w:w="5560" w:type="dxa"/>
            <w:vAlign w:val="bottom"/>
          </w:tcPr>
          <w:p>
            <w:pPr>
              <w:spacing w:after="0"/>
              <w:rPr>
                <w:sz w:val="20"/>
                <w:szCs w:val="20"/>
                <w:color w:val="auto"/>
              </w:rPr>
            </w:pPr>
            <w:r>
              <w:rPr>
                <w:rFonts w:ascii="Times New Roman" w:cs="Times New Roman" w:eastAsia="Times New Roman" w:hAnsi="Times New Roman"/>
                <w:sz w:val="11"/>
                <w:szCs w:val="11"/>
                <w:color w:val="auto"/>
              </w:rPr>
              <w:t>Operating expenses:</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6"/>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Research and development</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15,753</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13,167</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58,548</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44,551</w:t>
            </w:r>
          </w:p>
        </w:tc>
      </w:tr>
      <w:tr>
        <w:trPr>
          <w:trHeight w:val="142"/>
        </w:trPr>
        <w:tc>
          <w:tcPr>
            <w:tcW w:w="5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Selling, general and administrative</w:t>
            </w: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94,507</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93,680</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379,992</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349,768</w:t>
            </w:r>
          </w:p>
        </w:tc>
      </w:tr>
      <w:tr>
        <w:trPr>
          <w:trHeight w:val="135"/>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operating expenses</w:t>
            </w: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110,260</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106,847</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438,540</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394,319</w:t>
            </w:r>
          </w:p>
        </w:tc>
      </w:tr>
      <w:tr>
        <w:trPr>
          <w:trHeight w:val="144"/>
        </w:trPr>
        <w:tc>
          <w:tcPr>
            <w:tcW w:w="5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income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52,916</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40,802</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193,012</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167,127</w:t>
            </w:r>
          </w:p>
        </w:tc>
      </w:tr>
      <w:tr>
        <w:trPr>
          <w:trHeight w:val="144"/>
        </w:trPr>
        <w:tc>
          <w:tcPr>
            <w:tcW w:w="5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4"/>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income (expense):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2"/>
        </w:trPr>
        <w:tc>
          <w:tcPr>
            <w:tcW w:w="55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Investment and other income</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1,587</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961</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244</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4,333</w:t>
            </w:r>
          </w:p>
        </w:tc>
      </w:tr>
      <w:tr>
        <w:trPr>
          <w:trHeight w:val="144"/>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Interest expense</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(513)</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(1,276)</w:t>
            </w:r>
          </w:p>
        </w:tc>
        <w:tc>
          <w:tcPr>
            <w:tcW w:w="8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(437)</w:t>
            </w:r>
          </w:p>
        </w:tc>
      </w:tr>
      <w:tr>
        <w:trPr>
          <w:trHeight w:val="126"/>
        </w:trPr>
        <w:tc>
          <w:tcPr>
            <w:tcW w:w="5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44"/>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before income taxes and losses of unconsolidated affiliate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53,990</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41,614</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191,980</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171,023</w:t>
            </w:r>
          </w:p>
        </w:tc>
      </w:tr>
      <w:tr>
        <w:trPr>
          <w:trHeight w:val="144"/>
        </w:trPr>
        <w:tc>
          <w:tcPr>
            <w:tcW w:w="5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2"/>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tax expense</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12,926</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8,593</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42,001</w:t>
            </w:r>
          </w:p>
        </w:tc>
        <w:tc>
          <w:tcPr>
            <w:tcW w:w="8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35,610</w:t>
            </w:r>
          </w:p>
        </w:tc>
      </w:tr>
      <w:tr>
        <w:trPr>
          <w:trHeight w:val="126"/>
        </w:trPr>
        <w:tc>
          <w:tcPr>
            <w:tcW w:w="5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44"/>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before losses of unconsolidated affiliate</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41,064</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33,021</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149,979</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135,413</w:t>
            </w:r>
          </w:p>
        </w:tc>
      </w:tr>
      <w:tr>
        <w:trPr>
          <w:trHeight w:val="142"/>
        </w:trPr>
        <w:tc>
          <w:tcPr>
            <w:tcW w:w="5560" w:type="dxa"/>
            <w:vAlign w:val="bottom"/>
          </w:tcPr>
          <w:p>
            <w:pPr>
              <w:spacing w:after="0"/>
              <w:rPr>
                <w:sz w:val="20"/>
                <w:szCs w:val="20"/>
                <w:color w:val="auto"/>
              </w:rPr>
            </w:pPr>
            <w:r>
              <w:rPr>
                <w:rFonts w:ascii="Times New Roman" w:cs="Times New Roman" w:eastAsia="Times New Roman" w:hAnsi="Times New Roman"/>
                <w:sz w:val="11"/>
                <w:szCs w:val="11"/>
                <w:color w:val="auto"/>
              </w:rPr>
              <w:t>Equity in losses of unconsolidated affiliate</w:t>
            </w:r>
          </w:p>
        </w:tc>
        <w:tc>
          <w:tcPr>
            <w:tcW w:w="8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(4,994)</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(5,754)</w:t>
            </w:r>
          </w:p>
        </w:tc>
      </w:tr>
      <w:tr>
        <w:trPr>
          <w:trHeight w:val="126"/>
        </w:trPr>
        <w:tc>
          <w:tcPr>
            <w:tcW w:w="556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r>
      <w:tr>
        <w:trPr>
          <w:trHeight w:val="160"/>
        </w:trPr>
        <w:tc>
          <w:tcPr>
            <w:tcW w:w="5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Net income</w:t>
            </w:r>
          </w:p>
        </w:tc>
        <w:tc>
          <w:tcPr>
            <w:tcW w:w="880" w:type="dxa"/>
            <w:vAlign w:val="bottom"/>
            <w:tcBorders>
              <w:bottom w:val="single" w:sz="8" w:color="auto"/>
            </w:tcBorders>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41,064</w:t>
            </w:r>
          </w:p>
        </w:tc>
        <w:tc>
          <w:tcPr>
            <w:tcW w:w="1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28,027</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149,979</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129,659</w:t>
            </w:r>
          </w:p>
        </w:tc>
      </w:tr>
      <w:tr>
        <w:trPr>
          <w:trHeight w:val="126"/>
        </w:trPr>
        <w:tc>
          <w:tcPr>
            <w:tcW w:w="55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r>
      <w:tr>
        <w:trPr>
          <w:trHeight w:val="142"/>
        </w:trPr>
        <w:tc>
          <w:tcPr>
            <w:tcW w:w="5560" w:type="dxa"/>
            <w:vAlign w:val="bottom"/>
          </w:tcPr>
          <w:p>
            <w:pPr>
              <w:spacing w:after="0"/>
              <w:rPr>
                <w:sz w:val="20"/>
                <w:szCs w:val="20"/>
                <w:color w:val="auto"/>
              </w:rPr>
            </w:pPr>
            <w:r>
              <w:rPr>
                <w:rFonts w:ascii="Times New Roman" w:cs="Times New Roman" w:eastAsia="Times New Roman" w:hAnsi="Times New Roman"/>
                <w:sz w:val="11"/>
                <w:szCs w:val="11"/>
                <w:color w:val="auto"/>
              </w:rPr>
              <w:t>Net income per Class A Nonvoting Common Share:</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6"/>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Basic</w:t>
            </w:r>
          </w:p>
        </w:tc>
        <w:tc>
          <w:tcPr>
            <w:tcW w:w="88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0.82</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0.54</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2.92</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2.49</w:t>
            </w:r>
          </w:p>
        </w:tc>
      </w:tr>
      <w:tr>
        <w:trPr>
          <w:trHeight w:val="142"/>
        </w:trPr>
        <w:tc>
          <w:tcPr>
            <w:tcW w:w="55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Diluted</w:t>
            </w:r>
          </w:p>
        </w:tc>
        <w:tc>
          <w:tcPr>
            <w:tcW w:w="880" w:type="dxa"/>
            <w:vAlign w:val="bottom"/>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0.81</w:t>
            </w:r>
          </w:p>
        </w:tc>
        <w:tc>
          <w:tcPr>
            <w:tcW w:w="100" w:type="dxa"/>
            <w:vAlign w:val="bottom"/>
          </w:tcPr>
          <w:p>
            <w:pPr>
              <w:spacing w:after="0"/>
              <w:rPr>
                <w:sz w:val="12"/>
                <w:szCs w:val="12"/>
                <w:color w:val="auto"/>
              </w:rPr>
            </w:pPr>
          </w:p>
        </w:tc>
        <w:tc>
          <w:tcPr>
            <w:tcW w:w="880" w:type="dxa"/>
            <w:vAlign w:val="bottom"/>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0.53</w:t>
            </w:r>
          </w:p>
        </w:tc>
        <w:tc>
          <w:tcPr>
            <w:tcW w:w="80" w:type="dxa"/>
            <w:vAlign w:val="bottom"/>
          </w:tcPr>
          <w:p>
            <w:pPr>
              <w:spacing w:after="0"/>
              <w:rPr>
                <w:sz w:val="12"/>
                <w:szCs w:val="12"/>
                <w:color w:val="auto"/>
              </w:rPr>
            </w:pPr>
          </w:p>
        </w:tc>
        <w:tc>
          <w:tcPr>
            <w:tcW w:w="3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2.90</w:t>
            </w:r>
          </w:p>
        </w:tc>
        <w:tc>
          <w:tcPr>
            <w:tcW w:w="80" w:type="dxa"/>
            <w:vAlign w:val="bottom"/>
          </w:tcPr>
          <w:p>
            <w:pPr>
              <w:spacing w:after="0"/>
              <w:rPr>
                <w:sz w:val="12"/>
                <w:szCs w:val="12"/>
                <w:color w:val="auto"/>
              </w:rPr>
            </w:pPr>
          </w:p>
        </w:tc>
        <w:tc>
          <w:tcPr>
            <w:tcW w:w="46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2.47</w:t>
            </w:r>
          </w:p>
        </w:tc>
      </w:tr>
      <w:tr>
        <w:trPr>
          <w:trHeight w:val="146"/>
        </w:trPr>
        <w:tc>
          <w:tcPr>
            <w:tcW w:w="55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2"/>
        </w:trPr>
        <w:tc>
          <w:tcPr>
            <w:tcW w:w="5560" w:type="dxa"/>
            <w:vAlign w:val="bottom"/>
          </w:tcPr>
          <w:p>
            <w:pPr>
              <w:spacing w:after="0"/>
              <w:rPr>
                <w:sz w:val="20"/>
                <w:szCs w:val="20"/>
                <w:color w:val="auto"/>
              </w:rPr>
            </w:pPr>
            <w:r>
              <w:rPr>
                <w:rFonts w:ascii="Times New Roman" w:cs="Times New Roman" w:eastAsia="Times New Roman" w:hAnsi="Times New Roman"/>
                <w:sz w:val="11"/>
                <w:szCs w:val="11"/>
                <w:color w:val="auto"/>
              </w:rPr>
              <w:t>Net income per Class B Voting Common Share:</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6"/>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Basic</w:t>
            </w:r>
          </w:p>
        </w:tc>
        <w:tc>
          <w:tcPr>
            <w:tcW w:w="88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0.82</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0.54</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2.91</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2.48</w:t>
            </w:r>
          </w:p>
        </w:tc>
      </w:tr>
      <w:tr>
        <w:trPr>
          <w:trHeight w:val="142"/>
        </w:trPr>
        <w:tc>
          <w:tcPr>
            <w:tcW w:w="55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Diluted</w:t>
            </w:r>
          </w:p>
        </w:tc>
        <w:tc>
          <w:tcPr>
            <w:tcW w:w="880" w:type="dxa"/>
            <w:vAlign w:val="bottom"/>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0.81</w:t>
            </w:r>
          </w:p>
        </w:tc>
        <w:tc>
          <w:tcPr>
            <w:tcW w:w="100" w:type="dxa"/>
            <w:vAlign w:val="bottom"/>
          </w:tcPr>
          <w:p>
            <w:pPr>
              <w:spacing w:after="0"/>
              <w:rPr>
                <w:sz w:val="12"/>
                <w:szCs w:val="12"/>
                <w:color w:val="auto"/>
              </w:rPr>
            </w:pPr>
          </w:p>
        </w:tc>
        <w:tc>
          <w:tcPr>
            <w:tcW w:w="880" w:type="dxa"/>
            <w:vAlign w:val="bottom"/>
          </w:tcPr>
          <w:p>
            <w:pPr>
              <w:jc w:val="right"/>
              <w:ind w:right="76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0.53</w:t>
            </w:r>
          </w:p>
        </w:tc>
        <w:tc>
          <w:tcPr>
            <w:tcW w:w="80" w:type="dxa"/>
            <w:vAlign w:val="bottom"/>
          </w:tcPr>
          <w:p>
            <w:pPr>
              <w:spacing w:after="0"/>
              <w:rPr>
                <w:sz w:val="12"/>
                <w:szCs w:val="12"/>
                <w:color w:val="auto"/>
              </w:rPr>
            </w:pPr>
          </w:p>
        </w:tc>
        <w:tc>
          <w:tcPr>
            <w:tcW w:w="3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2.89</w:t>
            </w:r>
          </w:p>
        </w:tc>
        <w:tc>
          <w:tcPr>
            <w:tcW w:w="80" w:type="dxa"/>
            <w:vAlign w:val="bottom"/>
          </w:tcPr>
          <w:p>
            <w:pPr>
              <w:spacing w:after="0"/>
              <w:rPr>
                <w:sz w:val="12"/>
                <w:szCs w:val="12"/>
                <w:color w:val="auto"/>
              </w:rPr>
            </w:pPr>
          </w:p>
        </w:tc>
        <w:tc>
          <w:tcPr>
            <w:tcW w:w="46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2.46</w:t>
            </w:r>
          </w:p>
        </w:tc>
      </w:tr>
      <w:tr>
        <w:trPr>
          <w:trHeight w:val="146"/>
        </w:trPr>
        <w:tc>
          <w:tcPr>
            <w:tcW w:w="55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2"/>
        </w:trPr>
        <w:tc>
          <w:tcPr>
            <w:tcW w:w="5560" w:type="dxa"/>
            <w:vAlign w:val="bottom"/>
          </w:tcPr>
          <w:p>
            <w:pPr>
              <w:spacing w:after="0"/>
              <w:rPr>
                <w:sz w:val="20"/>
                <w:szCs w:val="20"/>
                <w:color w:val="auto"/>
              </w:rPr>
            </w:pPr>
            <w:r>
              <w:rPr>
                <w:rFonts w:ascii="Times New Roman" w:cs="Times New Roman" w:eastAsia="Times New Roman" w:hAnsi="Times New Roman"/>
                <w:sz w:val="11"/>
                <w:szCs w:val="11"/>
                <w:color w:val="auto"/>
              </w:rPr>
              <w:t>Weighted average common shares outstanding:</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6"/>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Basic</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50,185</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52,065</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51,321</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52,039</w:t>
            </w:r>
          </w:p>
        </w:tc>
      </w:tr>
      <w:tr>
        <w:trPr>
          <w:trHeight w:val="140"/>
        </w:trPr>
        <w:tc>
          <w:tcPr>
            <w:tcW w:w="55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Diluted</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50,437</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52,611</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51,651</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52,409</w:t>
            </w:r>
          </w:p>
        </w:tc>
      </w:tr>
    </w:tbl>
    <w:p>
      <w:pPr>
        <w:sectPr>
          <w:pgSz w:w="11900" w:h="16838" w:orient="portrait"/>
          <w:cols w:equalWidth="0" w:num="1">
            <w:col w:w="11240"/>
          </w:cols>
          <w:pgMar w:left="300" w:top="560"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CONSOLIDATED BALANCE SHEETS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(Unaudited; Dollars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84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286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July 31, 2022</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1"/>
                <w:szCs w:val="11"/>
                <w:color w:val="auto"/>
              </w:rPr>
              <w:t>July 31, 2021</w:t>
            </w:r>
          </w:p>
        </w:tc>
      </w:tr>
      <w:tr>
        <w:trPr>
          <w:trHeight w:val="106"/>
        </w:trPr>
        <w:tc>
          <w:tcPr>
            <w:tcW w:w="2840" w:type="dxa"/>
            <w:vAlign w:val="bottom"/>
            <w:tcBorders>
              <w:bottom w:val="single" w:sz="8" w:color="CCEEFF"/>
            </w:tcBorders>
            <w:shd w:val="clear" w:color="auto" w:fill="CCEEFF"/>
          </w:tcPr>
          <w:p>
            <w:pPr>
              <w:spacing w:after="0"/>
              <w:rPr>
                <w:sz w:val="9"/>
                <w:szCs w:val="9"/>
                <w:color w:val="auto"/>
              </w:rPr>
            </w:pPr>
          </w:p>
        </w:tc>
        <w:tc>
          <w:tcPr>
            <w:tcW w:w="980" w:type="dxa"/>
            <w:vAlign w:val="bottom"/>
            <w:tcBorders>
              <w:bottom w:val="single" w:sz="8" w:color="CCEEFF"/>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w w:val="97"/>
              </w:rPr>
              <w:t>ASSETS</w:t>
            </w:r>
          </w:p>
        </w:tc>
        <w:tc>
          <w:tcPr>
            <w:tcW w:w="3820" w:type="dxa"/>
            <w:vAlign w:val="bottom"/>
            <w:tcBorders>
              <w:bottom w:val="single" w:sz="8" w:color="CCEEFF"/>
            </w:tcBorders>
            <w:gridSpan w:val="2"/>
            <w:shd w:val="clear" w:color="auto" w:fill="CCEEFF"/>
          </w:tcPr>
          <w:p>
            <w:pPr>
              <w:spacing w:after="0"/>
              <w:rPr>
                <w:sz w:val="9"/>
                <w:szCs w:val="9"/>
                <w:color w:val="auto"/>
              </w:rPr>
            </w:pPr>
          </w:p>
        </w:tc>
        <w:tc>
          <w:tcPr>
            <w:tcW w:w="1100" w:type="dxa"/>
            <w:vAlign w:val="bottom"/>
            <w:tcBorders>
              <w:bottom w:val="single" w:sz="8" w:color="CCEEFF"/>
            </w:tcBorders>
            <w:shd w:val="clear" w:color="auto" w:fill="CCEEFF"/>
          </w:tcPr>
          <w:p>
            <w:pPr>
              <w:spacing w:after="0"/>
              <w:rPr>
                <w:sz w:val="9"/>
                <w:szCs w:val="9"/>
                <w:color w:val="auto"/>
              </w:rPr>
            </w:pPr>
          </w:p>
        </w:tc>
        <w:tc>
          <w:tcPr>
            <w:tcW w:w="48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80" w:type="dxa"/>
            <w:vAlign w:val="bottom"/>
            <w:tcBorders>
              <w:bottom w:val="single" w:sz="8" w:color="CCEEFF"/>
            </w:tcBorders>
            <w:shd w:val="clear" w:color="auto" w:fill="CCEEFF"/>
          </w:tcPr>
          <w:p>
            <w:pPr>
              <w:spacing w:after="0"/>
              <w:rPr>
                <w:sz w:val="9"/>
                <w:szCs w:val="9"/>
                <w:color w:val="auto"/>
              </w:rPr>
            </w:pPr>
          </w:p>
        </w:tc>
        <w:tc>
          <w:tcPr>
            <w:tcW w:w="1300" w:type="dxa"/>
            <w:vAlign w:val="bottom"/>
            <w:tcBorders>
              <w:bottom w:val="single" w:sz="8" w:color="CCEEFF"/>
            </w:tcBorders>
            <w:shd w:val="clear" w:color="auto" w:fill="CCEEFF"/>
          </w:tcPr>
          <w:p>
            <w:pPr>
              <w:spacing w:after="0"/>
              <w:rPr>
                <w:sz w:val="9"/>
                <w:szCs w:val="9"/>
                <w:color w:val="auto"/>
              </w:rPr>
            </w:pPr>
          </w:p>
        </w:tc>
      </w:tr>
      <w:tr>
        <w:trPr>
          <w:trHeight w:val="142"/>
        </w:trPr>
        <w:tc>
          <w:tcPr>
            <w:tcW w:w="804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Current assets:</w:t>
            </w: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46"/>
        </w:trPr>
        <w:tc>
          <w:tcPr>
            <w:tcW w:w="804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100" w:type="dxa"/>
            <w:vAlign w:val="bottom"/>
            <w:shd w:val="clear" w:color="auto" w:fill="CCEEFF"/>
          </w:tcPr>
          <w:p>
            <w:pPr>
              <w:jc w:val="right"/>
              <w:ind w:right="98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114,069</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147,335</w:t>
            </w:r>
          </w:p>
        </w:tc>
      </w:tr>
      <w:tr>
        <w:trPr>
          <w:trHeight w:val="142"/>
        </w:trPr>
        <w:tc>
          <w:tcPr>
            <w:tcW w:w="8040" w:type="dxa"/>
            <w:vAlign w:val="bottom"/>
            <w:gridSpan w:val="5"/>
          </w:tcPr>
          <w:p>
            <w:pPr>
              <w:ind w:left="140"/>
              <w:spacing w:after="0"/>
              <w:rPr>
                <w:sz w:val="20"/>
                <w:szCs w:val="20"/>
                <w:color w:val="auto"/>
              </w:rPr>
            </w:pPr>
            <w:r>
              <w:rPr>
                <w:rFonts w:ascii="Times New Roman" w:cs="Times New Roman" w:eastAsia="Times New Roman" w:hAnsi="Times New Roman"/>
                <w:sz w:val="11"/>
                <w:szCs w:val="11"/>
                <w:color w:val="auto"/>
              </w:rPr>
              <w:t>Accounts receivable, net of allowance for credit losses of $7,355 and $7,306, respectively</w:t>
            </w: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183,233</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170,579</w:t>
            </w:r>
          </w:p>
        </w:tc>
      </w:tr>
      <w:tr>
        <w:trPr>
          <w:trHeight w:val="146"/>
        </w:trPr>
        <w:tc>
          <w:tcPr>
            <w:tcW w:w="804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Inventories</w:t>
            </w:r>
          </w:p>
        </w:tc>
        <w:tc>
          <w:tcPr>
            <w:tcW w:w="1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190,023</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136,107</w:t>
            </w:r>
          </w:p>
        </w:tc>
      </w:tr>
      <w:tr>
        <w:trPr>
          <w:trHeight w:val="142"/>
        </w:trPr>
        <w:tc>
          <w:tcPr>
            <w:tcW w:w="8040" w:type="dxa"/>
            <w:vAlign w:val="bottom"/>
            <w:tcBorders>
              <w:bottom w:val="single" w:sz="8" w:color="CCEEFF"/>
            </w:tcBorders>
            <w:gridSpan w:val="5"/>
          </w:tcPr>
          <w:p>
            <w:pPr>
              <w:ind w:left="14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1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10,743</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11,083</w:t>
            </w:r>
          </w:p>
        </w:tc>
      </w:tr>
      <w:tr>
        <w:trPr>
          <w:trHeight w:val="135"/>
        </w:trPr>
        <w:tc>
          <w:tcPr>
            <w:tcW w:w="8040" w:type="dxa"/>
            <w:vAlign w:val="bottom"/>
            <w:gridSpan w:val="5"/>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Total current assets</w:t>
            </w:r>
          </w:p>
        </w:tc>
        <w:tc>
          <w:tcPr>
            <w:tcW w:w="1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498,068</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465,104</w:t>
            </w:r>
          </w:p>
        </w:tc>
      </w:tr>
      <w:tr>
        <w:trPr>
          <w:trHeight w:val="142"/>
        </w:trPr>
        <w:tc>
          <w:tcPr>
            <w:tcW w:w="804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Property, plant and equipment—net</w:t>
            </w: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139,511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121,741</w:t>
            </w:r>
          </w:p>
        </w:tc>
      </w:tr>
      <w:tr>
        <w:trPr>
          <w:trHeight w:val="146"/>
        </w:trPr>
        <w:tc>
          <w:tcPr>
            <w:tcW w:w="8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Goodwill</w:t>
            </w:r>
          </w:p>
        </w:tc>
        <w:tc>
          <w:tcPr>
            <w:tcW w:w="1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586,832</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614,137</w:t>
            </w:r>
          </w:p>
        </w:tc>
      </w:tr>
      <w:tr>
        <w:trPr>
          <w:trHeight w:val="142"/>
        </w:trPr>
        <w:tc>
          <w:tcPr>
            <w:tcW w:w="804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Other intangible assets</w:t>
            </w: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74,028</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92,334</w:t>
            </w:r>
          </w:p>
        </w:tc>
      </w:tr>
      <w:tr>
        <w:trPr>
          <w:trHeight w:val="146"/>
        </w:trPr>
        <w:tc>
          <w:tcPr>
            <w:tcW w:w="8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Deferred income taxes</w:t>
            </w:r>
          </w:p>
        </w:tc>
        <w:tc>
          <w:tcPr>
            <w:tcW w:w="1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15,881</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16,343</w:t>
            </w:r>
          </w:p>
        </w:tc>
      </w:tr>
      <w:tr>
        <w:trPr>
          <w:trHeight w:val="142"/>
        </w:trPr>
        <w:tc>
          <w:tcPr>
            <w:tcW w:w="804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Operating lease assets</w:t>
            </w: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31,293</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41,880</w:t>
            </w:r>
          </w:p>
        </w:tc>
      </w:tr>
      <w:tr>
        <w:trPr>
          <w:trHeight w:val="144"/>
        </w:trPr>
        <w:tc>
          <w:tcPr>
            <w:tcW w:w="8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assets</w:t>
            </w:r>
          </w:p>
        </w:tc>
        <w:tc>
          <w:tcPr>
            <w:tcW w:w="11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21,719</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26,217</w:t>
            </w:r>
          </w:p>
        </w:tc>
      </w:tr>
      <w:tr>
        <w:trPr>
          <w:trHeight w:val="151"/>
        </w:trPr>
        <w:tc>
          <w:tcPr>
            <w:tcW w:w="804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1"/>
                <w:szCs w:val="11"/>
                <w:color w:val="auto"/>
              </w:rPr>
              <w:t>Total</w:t>
            </w:r>
          </w:p>
        </w:tc>
        <w:tc>
          <w:tcPr>
            <w:tcW w:w="1100" w:type="dxa"/>
            <w:vAlign w:val="bottom"/>
            <w:tcBorders>
              <w:bottom w:val="single" w:sz="8" w:color="auto"/>
            </w:tcBorders>
          </w:tcPr>
          <w:p>
            <w:pPr>
              <w:jc w:val="right"/>
              <w:ind w:right="98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5"/>
              </w:rPr>
              <w:t>1,367,332</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1,377,756</w:t>
            </w:r>
          </w:p>
        </w:tc>
      </w:tr>
      <w:tr>
        <w:trPr>
          <w:trHeight w:val="106"/>
        </w:trPr>
        <w:tc>
          <w:tcPr>
            <w:tcW w:w="2840" w:type="dxa"/>
            <w:vAlign w:val="bottom"/>
            <w:shd w:val="clear" w:color="auto" w:fill="CCEEFF"/>
          </w:tcPr>
          <w:p>
            <w:pPr>
              <w:spacing w:after="0"/>
              <w:rPr>
                <w:sz w:val="9"/>
                <w:szCs w:val="9"/>
                <w:color w:val="auto"/>
              </w:rPr>
            </w:pPr>
          </w:p>
        </w:tc>
        <w:tc>
          <w:tcPr>
            <w:tcW w:w="5200" w:type="dxa"/>
            <w:vAlign w:val="bottom"/>
            <w:gridSpan w:val="4"/>
            <w:shd w:val="clear" w:color="auto" w:fill="CCEEFF"/>
          </w:tcPr>
          <w:p>
            <w:pPr>
              <w:jc w:val="center"/>
              <w:ind w:right="2860"/>
              <w:spacing w:after="0" w:line="99" w:lineRule="exact"/>
              <w:rPr>
                <w:sz w:val="20"/>
                <w:szCs w:val="20"/>
                <w:color w:val="auto"/>
              </w:rPr>
            </w:pPr>
            <w:r>
              <w:rPr>
                <w:rFonts w:ascii="Times New Roman" w:cs="Times New Roman" w:eastAsia="Times New Roman" w:hAnsi="Times New Roman"/>
                <w:sz w:val="11"/>
                <w:szCs w:val="11"/>
                <w:b w:val="1"/>
                <w:bCs w:val="1"/>
                <w:color w:val="auto"/>
                <w:w w:val="97"/>
              </w:rPr>
              <w:t>LIABILITIES AND STOCKHOLDERS’ EQUITY</w:t>
            </w:r>
          </w:p>
        </w:tc>
        <w:tc>
          <w:tcPr>
            <w:tcW w:w="1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r>
      <w:tr>
        <w:trPr>
          <w:trHeight w:val="142"/>
        </w:trPr>
        <w:tc>
          <w:tcPr>
            <w:tcW w:w="28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1"/>
                <w:szCs w:val="11"/>
                <w:color w:val="auto"/>
              </w:rPr>
              <w:t>Current liabilities:</w:t>
            </w:r>
          </w:p>
        </w:tc>
        <w:tc>
          <w:tcPr>
            <w:tcW w:w="2340" w:type="dxa"/>
            <w:vAlign w:val="bottom"/>
            <w:tcBorders>
              <w:top w:val="single" w:sz="8" w:color="auto"/>
            </w:tcBorders>
            <w:gridSpan w:val="3"/>
          </w:tcPr>
          <w:p>
            <w:pPr>
              <w:spacing w:after="0"/>
              <w:rPr>
                <w:sz w:val="12"/>
                <w:szCs w:val="12"/>
                <w:color w:val="auto"/>
              </w:rPr>
            </w:pPr>
          </w:p>
        </w:tc>
        <w:tc>
          <w:tcPr>
            <w:tcW w:w="2860" w:type="dxa"/>
            <w:vAlign w:val="bottom"/>
            <w:tcBorders>
              <w:top w:val="single" w:sz="8" w:color="CCEEFF"/>
            </w:tcBorders>
          </w:tcPr>
          <w:p>
            <w:pPr>
              <w:spacing w:after="0"/>
              <w:rPr>
                <w:sz w:val="12"/>
                <w:szCs w:val="12"/>
                <w:color w:val="auto"/>
              </w:rPr>
            </w:pPr>
          </w:p>
        </w:tc>
        <w:tc>
          <w:tcPr>
            <w:tcW w:w="1100" w:type="dxa"/>
            <w:vAlign w:val="bottom"/>
            <w:tcBorders>
              <w:top w:val="single" w:sz="8" w:color="CCEEFF"/>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1300" w:type="dxa"/>
            <w:vAlign w:val="bottom"/>
            <w:tcBorders>
              <w:top w:val="single" w:sz="8" w:color="CCEEFF"/>
            </w:tcBorders>
          </w:tcPr>
          <w:p>
            <w:pPr>
              <w:spacing w:after="0"/>
              <w:rPr>
                <w:sz w:val="12"/>
                <w:szCs w:val="12"/>
                <w:color w:val="auto"/>
              </w:rPr>
            </w:pPr>
          </w:p>
        </w:tc>
      </w:tr>
      <w:tr>
        <w:trPr>
          <w:trHeight w:val="146"/>
        </w:trPr>
        <w:tc>
          <w:tcPr>
            <w:tcW w:w="804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Accounts payable</w:t>
            </w:r>
          </w:p>
        </w:tc>
        <w:tc>
          <w:tcPr>
            <w:tcW w:w="1100" w:type="dxa"/>
            <w:vAlign w:val="bottom"/>
            <w:shd w:val="clear" w:color="auto" w:fill="CCEEFF"/>
          </w:tcPr>
          <w:p>
            <w:pPr>
              <w:jc w:val="right"/>
              <w:ind w:right="98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81,116</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82,152</w:t>
            </w:r>
          </w:p>
        </w:tc>
      </w:tr>
      <w:tr>
        <w:trPr>
          <w:trHeight w:val="142"/>
        </w:trPr>
        <w:tc>
          <w:tcPr>
            <w:tcW w:w="8040" w:type="dxa"/>
            <w:vAlign w:val="bottom"/>
            <w:gridSpan w:val="5"/>
          </w:tcPr>
          <w:p>
            <w:pPr>
              <w:ind w:left="140"/>
              <w:spacing w:after="0"/>
              <w:rPr>
                <w:sz w:val="20"/>
                <w:szCs w:val="20"/>
                <w:color w:val="auto"/>
              </w:rPr>
            </w:pPr>
            <w:r>
              <w:rPr>
                <w:rFonts w:ascii="Times New Roman" w:cs="Times New Roman" w:eastAsia="Times New Roman" w:hAnsi="Times New Roman"/>
                <w:sz w:val="11"/>
                <w:szCs w:val="11"/>
                <w:color w:val="auto"/>
              </w:rPr>
              <w:t>Accrued compensation and benefits</w:t>
            </w: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76,764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81,173</w:t>
            </w:r>
          </w:p>
        </w:tc>
      </w:tr>
      <w:tr>
        <w:trPr>
          <w:trHeight w:val="146"/>
        </w:trPr>
        <w:tc>
          <w:tcPr>
            <w:tcW w:w="804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Taxes, other than income taxes</w:t>
            </w:r>
          </w:p>
        </w:tc>
        <w:tc>
          <w:tcPr>
            <w:tcW w:w="1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12,539</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13,054</w:t>
            </w:r>
          </w:p>
        </w:tc>
      </w:tr>
      <w:tr>
        <w:trPr>
          <w:trHeight w:val="142"/>
        </w:trPr>
        <w:tc>
          <w:tcPr>
            <w:tcW w:w="8040" w:type="dxa"/>
            <w:vAlign w:val="bottom"/>
            <w:gridSpan w:val="5"/>
          </w:tcPr>
          <w:p>
            <w:pPr>
              <w:ind w:left="140"/>
              <w:spacing w:after="0"/>
              <w:rPr>
                <w:sz w:val="20"/>
                <w:szCs w:val="20"/>
                <w:color w:val="auto"/>
              </w:rPr>
            </w:pPr>
            <w:r>
              <w:rPr>
                <w:rFonts w:ascii="Times New Roman" w:cs="Times New Roman" w:eastAsia="Times New Roman" w:hAnsi="Times New Roman"/>
                <w:sz w:val="11"/>
                <w:szCs w:val="11"/>
                <w:color w:val="auto"/>
              </w:rPr>
              <w:t>Accrued income taxes</w:t>
            </w: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8,294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3,915</w:t>
            </w:r>
          </w:p>
        </w:tc>
      </w:tr>
      <w:tr>
        <w:trPr>
          <w:trHeight w:val="146"/>
        </w:trPr>
        <w:tc>
          <w:tcPr>
            <w:tcW w:w="804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Current operating lease liabilities</w:t>
            </w:r>
          </w:p>
        </w:tc>
        <w:tc>
          <w:tcPr>
            <w:tcW w:w="1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15,003</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17,667</w:t>
            </w:r>
          </w:p>
        </w:tc>
      </w:tr>
      <w:tr>
        <w:trPr>
          <w:trHeight w:val="142"/>
        </w:trPr>
        <w:tc>
          <w:tcPr>
            <w:tcW w:w="8040" w:type="dxa"/>
            <w:vAlign w:val="bottom"/>
            <w:tcBorders>
              <w:bottom w:val="single" w:sz="8" w:color="CCEEFF"/>
            </w:tcBorders>
            <w:gridSpan w:val="5"/>
          </w:tcPr>
          <w:p>
            <w:pPr>
              <w:ind w:left="140"/>
              <w:spacing w:after="0"/>
              <w:rPr>
                <w:sz w:val="20"/>
                <w:szCs w:val="20"/>
                <w:color w:val="auto"/>
              </w:rPr>
            </w:pPr>
            <w:r>
              <w:rPr>
                <w:rFonts w:ascii="Times New Roman" w:cs="Times New Roman" w:eastAsia="Times New Roman" w:hAnsi="Times New Roman"/>
                <w:sz w:val="11"/>
                <w:szCs w:val="11"/>
                <w:color w:val="auto"/>
              </w:rPr>
              <w:t>Other current liabilities</w:t>
            </w:r>
          </w:p>
        </w:tc>
        <w:tc>
          <w:tcPr>
            <w:tcW w:w="1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61,458</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59,623</w:t>
            </w:r>
          </w:p>
        </w:tc>
      </w:tr>
      <w:tr>
        <w:trPr>
          <w:trHeight w:val="135"/>
        </w:trPr>
        <w:tc>
          <w:tcPr>
            <w:tcW w:w="8040" w:type="dxa"/>
            <w:vAlign w:val="bottom"/>
            <w:gridSpan w:val="5"/>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Total current liabilities</w:t>
            </w:r>
          </w:p>
        </w:tc>
        <w:tc>
          <w:tcPr>
            <w:tcW w:w="1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255,174</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257,584</w:t>
            </w:r>
          </w:p>
        </w:tc>
      </w:tr>
      <w:tr>
        <w:trPr>
          <w:trHeight w:val="142"/>
        </w:trPr>
        <w:tc>
          <w:tcPr>
            <w:tcW w:w="804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Long-term debt</w:t>
            </w: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95,000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38,000</w:t>
            </w:r>
          </w:p>
        </w:tc>
      </w:tr>
      <w:tr>
        <w:trPr>
          <w:trHeight w:val="146"/>
        </w:trPr>
        <w:tc>
          <w:tcPr>
            <w:tcW w:w="8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Long-term operating lease liabilities</w:t>
            </w:r>
          </w:p>
        </w:tc>
        <w:tc>
          <w:tcPr>
            <w:tcW w:w="1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19,143</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28,347</w:t>
            </w:r>
          </w:p>
        </w:tc>
      </w:tr>
      <w:tr>
        <w:trPr>
          <w:trHeight w:val="142"/>
        </w:trPr>
        <w:tc>
          <w:tcPr>
            <w:tcW w:w="804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1"/>
                <w:szCs w:val="11"/>
                <w:color w:val="auto"/>
              </w:rPr>
              <w:t>Other liabilities</w:t>
            </w:r>
          </w:p>
        </w:tc>
        <w:tc>
          <w:tcPr>
            <w:tcW w:w="1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86,717</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90,797</w:t>
            </w:r>
          </w:p>
        </w:tc>
      </w:tr>
      <w:tr>
        <w:trPr>
          <w:trHeight w:val="135"/>
        </w:trPr>
        <w:tc>
          <w:tcPr>
            <w:tcW w:w="8040" w:type="dxa"/>
            <w:vAlign w:val="bottom"/>
            <w:gridSpan w:val="5"/>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Total liabilities</w:t>
            </w:r>
          </w:p>
        </w:tc>
        <w:tc>
          <w:tcPr>
            <w:tcW w:w="1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456,034</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414,728</w:t>
            </w:r>
          </w:p>
        </w:tc>
      </w:tr>
      <w:tr>
        <w:trPr>
          <w:trHeight w:val="142"/>
        </w:trPr>
        <w:tc>
          <w:tcPr>
            <w:tcW w:w="804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Stockholders’ equity:</w:t>
            </w: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46"/>
        </w:trPr>
        <w:tc>
          <w:tcPr>
            <w:tcW w:w="804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Common stock:</w:t>
            </w:r>
          </w:p>
        </w:tc>
        <w:tc>
          <w:tcPr>
            <w:tcW w:w="1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142"/>
        </w:trPr>
        <w:tc>
          <w:tcPr>
            <w:tcW w:w="8040" w:type="dxa"/>
            <w:vAlign w:val="bottom"/>
            <w:gridSpan w:val="5"/>
          </w:tcPr>
          <w:p>
            <w:pPr>
              <w:ind w:left="300"/>
              <w:spacing w:after="0"/>
              <w:rPr>
                <w:sz w:val="20"/>
                <w:szCs w:val="20"/>
                <w:color w:val="auto"/>
              </w:rPr>
            </w:pPr>
            <w:r>
              <w:rPr>
                <w:rFonts w:ascii="Times New Roman" w:cs="Times New Roman" w:eastAsia="Times New Roman" w:hAnsi="Times New Roman"/>
                <w:sz w:val="11"/>
                <w:szCs w:val="11"/>
                <w:color w:val="auto"/>
              </w:rPr>
              <w:t>Class A nonvoting common stock—Issued 51,261,487 shares, and outstanding 46,370,708 and 48,528,45 shares, respectively (aggregate liquidation preference of $42,716)</w:t>
            </w: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513</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513</w:t>
            </w:r>
          </w:p>
        </w:tc>
      </w:tr>
      <w:tr>
        <w:trPr>
          <w:trHeight w:val="146"/>
        </w:trPr>
        <w:tc>
          <w:tcPr>
            <w:tcW w:w="8040" w:type="dxa"/>
            <w:vAlign w:val="bottom"/>
            <w:gridSpan w:val="5"/>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Class B voting common stock—Issued and outstanding, 3,538,628 shares</w:t>
            </w:r>
          </w:p>
        </w:tc>
        <w:tc>
          <w:tcPr>
            <w:tcW w:w="1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r>
      <w:tr>
        <w:trPr>
          <w:trHeight w:val="142"/>
        </w:trPr>
        <w:tc>
          <w:tcPr>
            <w:tcW w:w="8040" w:type="dxa"/>
            <w:vAlign w:val="bottom"/>
            <w:gridSpan w:val="5"/>
          </w:tcPr>
          <w:p>
            <w:pPr>
              <w:ind w:left="14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345,266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339,125</w:t>
            </w:r>
          </w:p>
        </w:tc>
      </w:tr>
      <w:tr>
        <w:trPr>
          <w:trHeight w:val="146"/>
        </w:trPr>
        <w:tc>
          <w:tcPr>
            <w:tcW w:w="804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Retained earnings</w:t>
            </w:r>
          </w:p>
        </w:tc>
        <w:tc>
          <w:tcPr>
            <w:tcW w:w="1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892,417</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788,369</w:t>
            </w:r>
          </w:p>
        </w:tc>
      </w:tr>
      <w:tr>
        <w:trPr>
          <w:trHeight w:val="142"/>
        </w:trPr>
        <w:tc>
          <w:tcPr>
            <w:tcW w:w="8040" w:type="dxa"/>
            <w:vAlign w:val="bottom"/>
            <w:gridSpan w:val="5"/>
          </w:tcPr>
          <w:p>
            <w:pPr>
              <w:ind w:left="140"/>
              <w:spacing w:after="0"/>
              <w:rPr>
                <w:sz w:val="20"/>
                <w:szCs w:val="20"/>
                <w:color w:val="auto"/>
              </w:rPr>
            </w:pPr>
            <w:r>
              <w:rPr>
                <w:rFonts w:ascii="Times New Roman" w:cs="Times New Roman" w:eastAsia="Times New Roman" w:hAnsi="Times New Roman"/>
                <w:sz w:val="11"/>
                <w:szCs w:val="11"/>
                <w:color w:val="auto"/>
              </w:rPr>
              <w:t>Treasury stock—4,890,779 and 2,733,242 shares, respectively of Class A nonvoting common stock, at cost</w:t>
            </w:r>
          </w:p>
        </w:tc>
        <w:tc>
          <w:tcPr>
            <w:tcW w:w="1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(217,856)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(109,061)</w:t>
            </w:r>
          </w:p>
        </w:tc>
      </w:tr>
      <w:tr>
        <w:trPr>
          <w:trHeight w:val="146"/>
        </w:trPr>
        <w:tc>
          <w:tcPr>
            <w:tcW w:w="804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Accumulated other comprehensive loss</w:t>
            </w:r>
          </w:p>
        </w:tc>
        <w:tc>
          <w:tcPr>
            <w:tcW w:w="11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(109,077)</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(55,953)</w:t>
            </w:r>
          </w:p>
        </w:tc>
      </w:tr>
      <w:tr>
        <w:trPr>
          <w:trHeight w:val="131"/>
        </w:trPr>
        <w:tc>
          <w:tcPr>
            <w:tcW w:w="8040" w:type="dxa"/>
            <w:vAlign w:val="bottom"/>
            <w:tcBorders>
              <w:bottom w:val="single" w:sz="8" w:color="CCEEFF"/>
            </w:tcBorders>
            <w:gridSpan w:val="5"/>
          </w:tcPr>
          <w:p>
            <w:pPr>
              <w:ind w:left="30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1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911,298</w:t>
            </w: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963,028</w:t>
            </w:r>
          </w:p>
        </w:tc>
      </w:tr>
      <w:tr>
        <w:trPr>
          <w:trHeight w:val="151"/>
        </w:trPr>
        <w:tc>
          <w:tcPr>
            <w:tcW w:w="80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w:t>
            </w:r>
          </w:p>
        </w:tc>
        <w:tc>
          <w:tcPr>
            <w:tcW w:w="1100" w:type="dxa"/>
            <w:vAlign w:val="bottom"/>
            <w:tcBorders>
              <w:bottom w:val="single" w:sz="8" w:color="auto"/>
            </w:tcBorders>
            <w:shd w:val="clear" w:color="auto" w:fill="CCEEFF"/>
          </w:tcPr>
          <w:p>
            <w:pPr>
              <w:jc w:val="right"/>
              <w:ind w:right="98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5"/>
              </w:rPr>
              <w:t>1,367,332</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1,377,756</w:t>
            </w:r>
          </w:p>
        </w:tc>
      </w:tr>
    </w:tbl>
    <w:p>
      <w:pPr>
        <w:sectPr>
          <w:pgSz w:w="11900" w:h="16838" w:orient="portrait"/>
          <w:cols w:equalWidth="0" w:num="1">
            <w:col w:w="11300"/>
          </w:cols>
          <w:pgMar w:left="300" w:top="560"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CONSOLIDATED STATEMENTS OF CASH FLOWS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(Unaudited; Dollars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06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ind w:right="86"/>
              <w:spacing w:after="0"/>
              <w:rPr>
                <w:sz w:val="20"/>
                <w:szCs w:val="20"/>
                <w:color w:val="auto"/>
              </w:rPr>
            </w:pPr>
            <w:r>
              <w:rPr>
                <w:rFonts w:ascii="Times New Roman" w:cs="Times New Roman" w:eastAsia="Times New Roman" w:hAnsi="Times New Roman"/>
                <w:sz w:val="11"/>
                <w:szCs w:val="11"/>
                <w:color w:val="auto"/>
              </w:rPr>
              <w:t>Year ended July 31,</w:t>
            </w:r>
          </w:p>
        </w:tc>
        <w:tc>
          <w:tcPr>
            <w:tcW w:w="1060" w:type="dxa"/>
            <w:vAlign w:val="bottom"/>
            <w:tcBorders>
              <w:bottom w:val="single" w:sz="8" w:color="auto"/>
            </w:tcBorders>
          </w:tcPr>
          <w:p>
            <w:pPr>
              <w:spacing w:after="0"/>
              <w:rPr>
                <w:sz w:val="12"/>
                <w:szCs w:val="12"/>
                <w:color w:val="auto"/>
              </w:rPr>
            </w:pPr>
          </w:p>
        </w:tc>
      </w:tr>
      <w:tr>
        <w:trPr>
          <w:trHeight w:val="133"/>
        </w:trPr>
        <w:tc>
          <w:tcPr>
            <w:tcW w:w="806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2022</w:t>
            </w: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626"/>
              <w:spacing w:after="0"/>
              <w:rPr>
                <w:sz w:val="20"/>
                <w:szCs w:val="20"/>
                <w:color w:val="auto"/>
              </w:rPr>
            </w:pPr>
            <w:r>
              <w:rPr>
                <w:rFonts w:ascii="Times New Roman" w:cs="Times New Roman" w:eastAsia="Times New Roman" w:hAnsi="Times New Roman"/>
                <w:sz w:val="11"/>
                <w:szCs w:val="11"/>
                <w:color w:val="auto"/>
              </w:rPr>
              <w:t>2021</w:t>
            </w:r>
          </w:p>
        </w:tc>
      </w:tr>
      <w:tr>
        <w:trPr>
          <w:trHeight w:val="126"/>
        </w:trPr>
        <w:tc>
          <w:tcPr>
            <w:tcW w:w="80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Operating activities:</w:t>
            </w:r>
          </w:p>
        </w:tc>
        <w:tc>
          <w:tcPr>
            <w:tcW w:w="10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r>
      <w:tr>
        <w:trPr>
          <w:trHeight w:val="142"/>
        </w:trPr>
        <w:tc>
          <w:tcPr>
            <w:tcW w:w="80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Net income</w:t>
            </w:r>
          </w:p>
        </w:tc>
        <w:tc>
          <w:tcPr>
            <w:tcW w:w="1000" w:type="dxa"/>
            <w:vAlign w:val="bottom"/>
          </w:tcPr>
          <w:p>
            <w:pPr>
              <w:jc w:val="right"/>
              <w:ind w:right="88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149,979</w:t>
            </w:r>
          </w:p>
        </w:tc>
        <w:tc>
          <w:tcPr>
            <w:tcW w:w="100" w:type="dxa"/>
            <w:vAlign w:val="bottom"/>
          </w:tcPr>
          <w:p>
            <w:pPr>
              <w:spacing w:after="0"/>
              <w:rPr>
                <w:sz w:val="12"/>
                <w:szCs w:val="12"/>
                <w:color w:val="auto"/>
              </w:rPr>
            </w:pPr>
          </w:p>
        </w:tc>
        <w:tc>
          <w:tcPr>
            <w:tcW w:w="520" w:type="dxa"/>
            <w:vAlign w:val="bottom"/>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129,659</w:t>
            </w:r>
          </w:p>
        </w:tc>
      </w:tr>
      <w:tr>
        <w:trPr>
          <w:trHeight w:val="146"/>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Adjustments to reconcile net income to net cash provided by operating activities:</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2"/>
        </w:trPr>
        <w:tc>
          <w:tcPr>
            <w:tcW w:w="80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34,182</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25,483</w:t>
            </w:r>
          </w:p>
        </w:tc>
      </w:tr>
      <w:tr>
        <w:trPr>
          <w:trHeight w:val="146"/>
        </w:trPr>
        <w:tc>
          <w:tcPr>
            <w:tcW w:w="8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10,504</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10,098</w:t>
            </w:r>
          </w:p>
        </w:tc>
      </w:tr>
      <w:tr>
        <w:trPr>
          <w:trHeight w:val="142"/>
        </w:trPr>
        <w:tc>
          <w:tcPr>
            <w:tcW w:w="80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Deferred income taxes</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(1,645)</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(8,965)</w:t>
            </w:r>
          </w:p>
        </w:tc>
      </w:tr>
      <w:tr>
        <w:trPr>
          <w:trHeight w:val="146"/>
        </w:trPr>
        <w:tc>
          <w:tcPr>
            <w:tcW w:w="8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Equity in losses of unconsolidated affiliate</w:t>
            </w:r>
          </w:p>
        </w:tc>
        <w:tc>
          <w:tcPr>
            <w:tcW w:w="10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5,754</w:t>
            </w:r>
          </w:p>
        </w:tc>
      </w:tr>
      <w:tr>
        <w:trPr>
          <w:trHeight w:val="142"/>
        </w:trPr>
        <w:tc>
          <w:tcPr>
            <w:tcW w:w="80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Other</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1,197</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(831)</w:t>
            </w:r>
          </w:p>
        </w:tc>
      </w:tr>
      <w:tr>
        <w:trPr>
          <w:trHeight w:val="146"/>
        </w:trPr>
        <w:tc>
          <w:tcPr>
            <w:tcW w:w="8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Changes in operating assets and liabilities (net of effects of business acquisitions):</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2"/>
        </w:trPr>
        <w:tc>
          <w:tcPr>
            <w:tcW w:w="806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Accounts receivable</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(25,330)</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(12,614)</w:t>
            </w:r>
          </w:p>
        </w:tc>
      </w:tr>
      <w:tr>
        <w:trPr>
          <w:trHeight w:val="146"/>
        </w:trPr>
        <w:tc>
          <w:tcPr>
            <w:tcW w:w="80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Inventories</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(62,907)</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7,298</w:t>
            </w:r>
          </w:p>
        </w:tc>
      </w:tr>
      <w:tr>
        <w:trPr>
          <w:trHeight w:val="142"/>
        </w:trPr>
        <w:tc>
          <w:tcPr>
            <w:tcW w:w="806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Prepaid expenses and other assets</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807</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(4,498)</w:t>
            </w:r>
          </w:p>
        </w:tc>
      </w:tr>
      <w:tr>
        <w:trPr>
          <w:trHeight w:val="146"/>
        </w:trPr>
        <w:tc>
          <w:tcPr>
            <w:tcW w:w="80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Accounts payable and accrued liabilities</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6,826</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58,283</w:t>
            </w:r>
          </w:p>
        </w:tc>
      </w:tr>
      <w:tr>
        <w:trPr>
          <w:trHeight w:val="142"/>
        </w:trPr>
        <w:tc>
          <w:tcPr>
            <w:tcW w:w="8060" w:type="dxa"/>
            <w:vAlign w:val="bottom"/>
            <w:tcBorders>
              <w:bottom w:val="single" w:sz="8" w:color="CCEEFF"/>
            </w:tcBorders>
          </w:tcPr>
          <w:p>
            <w:pPr>
              <w:ind w:left="740"/>
              <w:spacing w:after="0"/>
              <w:rPr>
                <w:sz w:val="20"/>
                <w:szCs w:val="20"/>
                <w:color w:val="auto"/>
              </w:rPr>
            </w:pPr>
            <w:r>
              <w:rPr>
                <w:rFonts w:ascii="Times New Roman" w:cs="Times New Roman" w:eastAsia="Times New Roman" w:hAnsi="Times New Roman"/>
                <w:sz w:val="11"/>
                <w:szCs w:val="11"/>
                <w:color w:val="auto"/>
              </w:rPr>
              <w:t>Income taxes</w:t>
            </w:r>
          </w:p>
        </w:tc>
        <w:tc>
          <w:tcPr>
            <w:tcW w:w="10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4,836</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(4,002)</w:t>
            </w:r>
          </w:p>
        </w:tc>
      </w:tr>
      <w:tr>
        <w:trPr>
          <w:trHeight w:val="135"/>
        </w:trPr>
        <w:tc>
          <w:tcPr>
            <w:tcW w:w="8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1"/>
                <w:szCs w:val="11"/>
                <w:color w:val="auto"/>
              </w:rPr>
              <w:t>Net cash provided by operating activities</w:t>
            </w:r>
          </w:p>
        </w:tc>
        <w:tc>
          <w:tcPr>
            <w:tcW w:w="10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118,449</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205,665</w:t>
            </w:r>
          </w:p>
        </w:tc>
      </w:tr>
      <w:tr>
        <w:trPr>
          <w:trHeight w:val="144"/>
        </w:trPr>
        <w:tc>
          <w:tcPr>
            <w:tcW w:w="8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4"/>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Investing activities:</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2"/>
        </w:trPr>
        <w:tc>
          <w:tcPr>
            <w:tcW w:w="80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Purchases of property, plant and equipment</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(43,138)</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(27,189)</w:t>
            </w:r>
          </w:p>
        </w:tc>
      </w:tr>
      <w:tr>
        <w:trPr>
          <w:trHeight w:val="146"/>
        </w:trPr>
        <w:tc>
          <w:tcPr>
            <w:tcW w:w="8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Acquisition of businesses, net of cash acquired</w:t>
            </w:r>
          </w:p>
        </w:tc>
        <w:tc>
          <w:tcPr>
            <w:tcW w:w="10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(243,983)</w:t>
            </w:r>
          </w:p>
        </w:tc>
      </w:tr>
      <w:tr>
        <w:trPr>
          <w:trHeight w:val="142"/>
        </w:trPr>
        <w:tc>
          <w:tcPr>
            <w:tcW w:w="80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1"/>
                <w:szCs w:val="11"/>
                <w:color w:val="auto"/>
              </w:rPr>
              <w:t>Other</w:t>
            </w:r>
          </w:p>
        </w:tc>
        <w:tc>
          <w:tcPr>
            <w:tcW w:w="10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67</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2,580</w:t>
            </w:r>
          </w:p>
        </w:tc>
      </w:tr>
      <w:tr>
        <w:trPr>
          <w:trHeight w:val="135"/>
        </w:trPr>
        <w:tc>
          <w:tcPr>
            <w:tcW w:w="8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1"/>
                <w:szCs w:val="11"/>
                <w:color w:val="auto"/>
              </w:rPr>
              <w:t>Net cash used in investing activities</w:t>
            </w:r>
          </w:p>
        </w:tc>
        <w:tc>
          <w:tcPr>
            <w:tcW w:w="10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(43,071)</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(268,592)</w:t>
            </w:r>
          </w:p>
        </w:tc>
      </w:tr>
      <w:tr>
        <w:trPr>
          <w:trHeight w:val="144"/>
        </w:trPr>
        <w:tc>
          <w:tcPr>
            <w:tcW w:w="8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4"/>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Financing activities:</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2"/>
        </w:trPr>
        <w:tc>
          <w:tcPr>
            <w:tcW w:w="80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Payment of dividends</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(45,931)</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(45,746)</w:t>
            </w:r>
          </w:p>
        </w:tc>
      </w:tr>
      <w:tr>
        <w:trPr>
          <w:trHeight w:val="146"/>
        </w:trPr>
        <w:tc>
          <w:tcPr>
            <w:tcW w:w="8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Proceeds from exercise of stock options</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1,082</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1,765</w:t>
            </w:r>
          </w:p>
        </w:tc>
      </w:tr>
      <w:tr>
        <w:trPr>
          <w:trHeight w:val="142"/>
        </w:trPr>
        <w:tc>
          <w:tcPr>
            <w:tcW w:w="80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Payments for employee taxes withheld from stock-based awards</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(5,127)</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(2,783)</w:t>
            </w:r>
          </w:p>
        </w:tc>
      </w:tr>
      <w:tr>
        <w:trPr>
          <w:trHeight w:val="146"/>
        </w:trPr>
        <w:tc>
          <w:tcPr>
            <w:tcW w:w="8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Purchase of treasury stock</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(109,229)</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(3,593)</w:t>
            </w:r>
          </w:p>
        </w:tc>
      </w:tr>
      <w:tr>
        <w:trPr>
          <w:trHeight w:val="142"/>
        </w:trPr>
        <w:tc>
          <w:tcPr>
            <w:tcW w:w="80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Proceeds from borrowing on credit facilities</w:t>
            </w:r>
          </w:p>
        </w:tc>
        <w:tc>
          <w:tcPr>
            <w:tcW w:w="10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243,716</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101,957</w:t>
            </w:r>
          </w:p>
        </w:tc>
      </w:tr>
      <w:tr>
        <w:trPr>
          <w:trHeight w:val="146"/>
        </w:trPr>
        <w:tc>
          <w:tcPr>
            <w:tcW w:w="8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Repayment of borrowing on credit facilities</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(186,716)</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(63,957)</w:t>
            </w:r>
          </w:p>
        </w:tc>
      </w:tr>
      <w:tr>
        <w:trPr>
          <w:trHeight w:val="142"/>
        </w:trPr>
        <w:tc>
          <w:tcPr>
            <w:tcW w:w="80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1"/>
                <w:szCs w:val="11"/>
                <w:color w:val="auto"/>
              </w:rPr>
              <w:t>Other</w:t>
            </w:r>
          </w:p>
        </w:tc>
        <w:tc>
          <w:tcPr>
            <w:tcW w:w="10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116</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w:t>
            </w:r>
          </w:p>
        </w:tc>
      </w:tr>
      <w:tr>
        <w:trPr>
          <w:trHeight w:val="135"/>
        </w:trPr>
        <w:tc>
          <w:tcPr>
            <w:tcW w:w="8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1"/>
                <w:szCs w:val="11"/>
                <w:color w:val="auto"/>
              </w:rPr>
              <w:t>Net cash used in financing activities</w:t>
            </w:r>
          </w:p>
        </w:tc>
        <w:tc>
          <w:tcPr>
            <w:tcW w:w="10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(102,089)</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(12,324)</w:t>
            </w:r>
          </w:p>
        </w:tc>
      </w:tr>
      <w:tr>
        <w:trPr>
          <w:trHeight w:val="144"/>
        </w:trPr>
        <w:tc>
          <w:tcPr>
            <w:tcW w:w="8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4"/>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Effect of exchange rate changes on cash and cash equivalents</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(6,555)</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4,943</w:t>
            </w:r>
          </w:p>
        </w:tc>
      </w:tr>
      <w:tr>
        <w:trPr>
          <w:trHeight w:val="144"/>
        </w:trPr>
        <w:tc>
          <w:tcPr>
            <w:tcW w:w="8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4"/>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decrease in cash and cash equivalents</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(33,266)</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(70,308)</w:t>
            </w:r>
          </w:p>
        </w:tc>
      </w:tr>
      <w:tr>
        <w:trPr>
          <w:trHeight w:val="142"/>
        </w:trPr>
        <w:tc>
          <w:tcPr>
            <w:tcW w:w="8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Cash and cash equivalents, beginning of period</w:t>
            </w:r>
          </w:p>
        </w:tc>
        <w:tc>
          <w:tcPr>
            <w:tcW w:w="10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147,335</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217,643</w:t>
            </w:r>
          </w:p>
        </w:tc>
      </w:tr>
      <w:tr>
        <w:trPr>
          <w:trHeight w:val="126"/>
        </w:trPr>
        <w:tc>
          <w:tcPr>
            <w:tcW w:w="80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r>
      <w:tr>
        <w:trPr>
          <w:trHeight w:val="160"/>
        </w:trPr>
        <w:tc>
          <w:tcPr>
            <w:tcW w:w="8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Cash and cash equivalents, end of period</w:t>
            </w:r>
          </w:p>
        </w:tc>
        <w:tc>
          <w:tcPr>
            <w:tcW w:w="1000" w:type="dxa"/>
            <w:vAlign w:val="bottom"/>
            <w:tcBorders>
              <w:bottom w:val="single" w:sz="8" w:color="auto"/>
            </w:tcBorders>
          </w:tcPr>
          <w:p>
            <w:pPr>
              <w:jc w:val="right"/>
              <w:ind w:right="88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114,069</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147,335</w:t>
            </w:r>
          </w:p>
        </w:tc>
      </w:tr>
      <w:tr>
        <w:trPr>
          <w:trHeight w:val="126"/>
        </w:trPr>
        <w:tc>
          <w:tcPr>
            <w:tcW w:w="80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r>
      <w:tr>
        <w:trPr>
          <w:trHeight w:val="142"/>
        </w:trPr>
        <w:tc>
          <w:tcPr>
            <w:tcW w:w="8060" w:type="dxa"/>
            <w:vAlign w:val="bottom"/>
          </w:tcPr>
          <w:p>
            <w:pPr>
              <w:spacing w:after="0"/>
              <w:rPr>
                <w:sz w:val="20"/>
                <w:szCs w:val="20"/>
                <w:color w:val="auto"/>
              </w:rPr>
            </w:pPr>
            <w:r>
              <w:rPr>
                <w:rFonts w:ascii="Times New Roman" w:cs="Times New Roman" w:eastAsia="Times New Roman" w:hAnsi="Times New Roman"/>
                <w:sz w:val="11"/>
                <w:szCs w:val="11"/>
                <w:color w:val="auto"/>
              </w:rPr>
              <w:t>Supplemental disclosures:</w:t>
            </w: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Cash paid during the period for:</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2"/>
        </w:trPr>
        <w:tc>
          <w:tcPr>
            <w:tcW w:w="806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Interest</w:t>
            </w:r>
          </w:p>
        </w:tc>
        <w:tc>
          <w:tcPr>
            <w:tcW w:w="1000" w:type="dxa"/>
            <w:vAlign w:val="bottom"/>
          </w:tcPr>
          <w:p>
            <w:pPr>
              <w:jc w:val="right"/>
              <w:ind w:right="88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1,082</w:t>
            </w:r>
          </w:p>
        </w:tc>
        <w:tc>
          <w:tcPr>
            <w:tcW w:w="100" w:type="dxa"/>
            <w:vAlign w:val="bottom"/>
          </w:tcPr>
          <w:p>
            <w:pPr>
              <w:spacing w:after="0"/>
              <w:rPr>
                <w:sz w:val="12"/>
                <w:szCs w:val="12"/>
                <w:color w:val="auto"/>
              </w:rPr>
            </w:pPr>
          </w:p>
        </w:tc>
        <w:tc>
          <w:tcPr>
            <w:tcW w:w="520" w:type="dxa"/>
            <w:vAlign w:val="bottom"/>
          </w:tcPr>
          <w:p>
            <w:pPr>
              <w:jc w:val="right"/>
              <w:ind w:right="40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373</w:t>
            </w:r>
          </w:p>
        </w:tc>
      </w:tr>
      <w:tr>
        <w:trPr>
          <w:trHeight w:val="146"/>
        </w:trPr>
        <w:tc>
          <w:tcPr>
            <w:tcW w:w="8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Income taxes</w:t>
            </w:r>
          </w:p>
        </w:tc>
        <w:tc>
          <w:tcPr>
            <w:tcW w:w="10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33,834</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46,852</w:t>
            </w:r>
          </w:p>
        </w:tc>
      </w:tr>
    </w:tbl>
    <w:p>
      <w:pPr>
        <w:sectPr>
          <w:pgSz w:w="11900" w:h="16838" w:orient="portrait"/>
          <w:cols w:equalWidth="0" w:num="1">
            <w:col w:w="11300"/>
          </w:cols>
          <w:pgMar w:left="300" w:top="560"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1"/>
          <w:szCs w:val="11"/>
          <w:b w:val="1"/>
          <w:bCs w:val="1"/>
          <w:color w:val="auto"/>
        </w:rPr>
        <w:t>BRADY CORPORATION AND SUBSIDIARIES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SEGMENT INFORMATION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(Unaudited; Dollars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36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w w:val="97"/>
              </w:rPr>
              <w:t>Three months ended July 31,</w:t>
            </w:r>
          </w:p>
        </w:tc>
        <w:tc>
          <w:tcPr>
            <w:tcW w:w="8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3"/>
          </w:tcPr>
          <w:p>
            <w:pPr>
              <w:jc w:val="right"/>
              <w:ind w:right="46"/>
              <w:spacing w:after="0"/>
              <w:rPr>
                <w:sz w:val="20"/>
                <w:szCs w:val="20"/>
                <w:color w:val="auto"/>
              </w:rPr>
            </w:pPr>
            <w:r>
              <w:rPr>
                <w:rFonts w:ascii="Times New Roman" w:cs="Times New Roman" w:eastAsia="Times New Roman" w:hAnsi="Times New Roman"/>
                <w:sz w:val="11"/>
                <w:szCs w:val="11"/>
                <w:color w:val="auto"/>
              </w:rPr>
              <w:t>Year ended July 31,</w:t>
            </w:r>
          </w:p>
        </w:tc>
        <w:tc>
          <w:tcPr>
            <w:tcW w:w="940" w:type="dxa"/>
            <w:vAlign w:val="bottom"/>
            <w:tcBorders>
              <w:bottom w:val="single" w:sz="8" w:color="auto"/>
            </w:tcBorders>
          </w:tcPr>
          <w:p>
            <w:pPr>
              <w:spacing w:after="0"/>
              <w:rPr>
                <w:sz w:val="12"/>
                <w:szCs w:val="12"/>
                <w:color w:val="auto"/>
              </w:rPr>
            </w:pPr>
          </w:p>
        </w:tc>
      </w:tr>
      <w:tr>
        <w:trPr>
          <w:trHeight w:val="133"/>
        </w:trPr>
        <w:tc>
          <w:tcPr>
            <w:tcW w:w="536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2022</w:t>
            </w: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color w:val="auto"/>
                <w:w w:val="99"/>
              </w:rPr>
              <w:t>2021</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color w:val="auto"/>
              </w:rPr>
              <w:t>2022</w:t>
            </w:r>
          </w:p>
        </w:tc>
        <w:tc>
          <w:tcPr>
            <w:tcW w:w="1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color w:val="auto"/>
              </w:rPr>
              <w:t>2021</w:t>
            </w:r>
          </w:p>
        </w:tc>
      </w:tr>
      <w:tr>
        <w:trPr>
          <w:trHeight w:val="126"/>
        </w:trPr>
        <w:tc>
          <w:tcPr>
            <w:tcW w:w="53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NET SALES</w:t>
            </w:r>
          </w:p>
        </w:tc>
        <w:tc>
          <w:tcPr>
            <w:tcW w:w="8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142"/>
        </w:trPr>
        <w:tc>
          <w:tcPr>
            <w:tcW w:w="53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ID Solutions</w:t>
            </w:r>
          </w:p>
        </w:tc>
        <w:tc>
          <w:tcPr>
            <w:tcW w:w="820" w:type="dxa"/>
            <w:vAlign w:val="bottom"/>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253,156</w:t>
            </w:r>
          </w:p>
        </w:tc>
        <w:tc>
          <w:tcPr>
            <w:tcW w:w="100" w:type="dxa"/>
            <w:vAlign w:val="bottom"/>
          </w:tcPr>
          <w:p>
            <w:pPr>
              <w:spacing w:after="0"/>
              <w:rPr>
                <w:sz w:val="12"/>
                <w:szCs w:val="12"/>
                <w:color w:val="auto"/>
              </w:rPr>
            </w:pPr>
          </w:p>
        </w:tc>
        <w:tc>
          <w:tcPr>
            <w:tcW w:w="580" w:type="dxa"/>
            <w:vAlign w:val="bottom"/>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231,024</w:t>
            </w:r>
          </w:p>
        </w:tc>
        <w:tc>
          <w:tcPr>
            <w:tcW w:w="80" w:type="dxa"/>
            <w:vAlign w:val="bottom"/>
          </w:tcPr>
          <w:p>
            <w:pPr>
              <w:spacing w:after="0"/>
              <w:rPr>
                <w:sz w:val="12"/>
                <w:szCs w:val="12"/>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1,010,883</w:t>
            </w:r>
          </w:p>
        </w:tc>
        <w:tc>
          <w:tcPr>
            <w:tcW w:w="100" w:type="dxa"/>
            <w:vAlign w:val="bottom"/>
          </w:tcPr>
          <w:p>
            <w:pPr>
              <w:spacing w:after="0"/>
              <w:rPr>
                <w:sz w:val="12"/>
                <w:szCs w:val="12"/>
                <w:color w:val="auto"/>
              </w:rPr>
            </w:pPr>
          </w:p>
        </w:tc>
        <w:tc>
          <w:tcPr>
            <w:tcW w:w="48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841,508</w:t>
            </w:r>
          </w:p>
        </w:tc>
      </w:tr>
      <w:tr>
        <w:trPr>
          <w:trHeight w:val="144"/>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Workplace Safety</w:t>
            </w:r>
          </w:p>
        </w:tc>
        <w:tc>
          <w:tcPr>
            <w:tcW w:w="8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70,825</w:t>
            </w:r>
          </w:p>
        </w:tc>
        <w:tc>
          <w:tcPr>
            <w:tcW w:w="10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75,106</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291,179</w:t>
            </w:r>
          </w:p>
        </w:tc>
        <w:tc>
          <w:tcPr>
            <w:tcW w:w="10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303,190</w:t>
            </w:r>
          </w:p>
        </w:tc>
      </w:tr>
      <w:tr>
        <w:trPr>
          <w:trHeight w:val="151"/>
        </w:trPr>
        <w:tc>
          <w:tcPr>
            <w:tcW w:w="5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Total</w:t>
            </w:r>
          </w:p>
        </w:tc>
        <w:tc>
          <w:tcPr>
            <w:tcW w:w="820" w:type="dxa"/>
            <w:vAlign w:val="bottom"/>
            <w:tcBorders>
              <w:bottom w:val="single" w:sz="8" w:color="auto"/>
            </w:tcBorders>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323,981</w:t>
            </w: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306,130</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1,302,062</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1,144,698</w:t>
            </w:r>
          </w:p>
        </w:tc>
      </w:tr>
      <w:tr>
        <w:trPr>
          <w:trHeight w:val="126"/>
        </w:trPr>
        <w:tc>
          <w:tcPr>
            <w:tcW w:w="53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3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SALES INFORMATION</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5"/>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i w:val="1"/>
                <w:iCs w:val="1"/>
                <w:color w:val="auto"/>
              </w:rPr>
              <w:t>ID Solutions</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42"/>
        </w:trPr>
        <w:tc>
          <w:tcPr>
            <w:tcW w:w="53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Organic</w:t>
            </w:r>
          </w:p>
        </w:tc>
        <w:tc>
          <w:tcPr>
            <w:tcW w:w="8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10.8 %</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24.5 %</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12.8 %</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3.7 %</w:t>
            </w:r>
          </w:p>
        </w:tc>
      </w:tr>
      <w:tr>
        <w:trPr>
          <w:trHeight w:val="146"/>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Acquisition</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3.3 %</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6.9 %</w:t>
            </w:r>
          </w:p>
        </w:tc>
        <w:tc>
          <w:tcPr>
            <w:tcW w:w="80" w:type="dxa"/>
            <w:vAlign w:val="bottom"/>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9.4 %</w:t>
            </w:r>
          </w:p>
        </w:tc>
        <w:tc>
          <w:tcPr>
            <w:tcW w:w="100" w:type="dxa"/>
            <w:vAlign w:val="bottom"/>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1.5 %</w:t>
            </w:r>
          </w:p>
        </w:tc>
      </w:tr>
      <w:tr>
        <w:trPr>
          <w:trHeight w:val="142"/>
        </w:trPr>
        <w:tc>
          <w:tcPr>
            <w:tcW w:w="5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Currency</w:t>
            </w:r>
          </w:p>
        </w:tc>
        <w:tc>
          <w:tcPr>
            <w:tcW w:w="8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3.6 %</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2.0 %</w:t>
            </w:r>
          </w:p>
        </w:tc>
      </w:tr>
      <w:tr>
        <w:trPr>
          <w:trHeight w:val="155"/>
        </w:trPr>
        <w:tc>
          <w:tcPr>
            <w:tcW w:w="5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Total</w:t>
            </w:r>
          </w:p>
        </w:tc>
        <w:tc>
          <w:tcPr>
            <w:tcW w:w="8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9.6 %</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35.0 %</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20.1 %</w:t>
            </w: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7.2 %</w:t>
            </w:r>
          </w:p>
        </w:tc>
      </w:tr>
      <w:tr>
        <w:trPr>
          <w:trHeight w:val="121"/>
        </w:trPr>
        <w:tc>
          <w:tcPr>
            <w:tcW w:w="5360" w:type="dxa"/>
            <w:vAlign w:val="bottom"/>
          </w:tcPr>
          <w:p>
            <w:pPr>
              <w:spacing w:after="0" w:line="121" w:lineRule="exact"/>
              <w:rPr>
                <w:sz w:val="20"/>
                <w:szCs w:val="20"/>
                <w:color w:val="auto"/>
              </w:rPr>
            </w:pPr>
            <w:r>
              <w:rPr>
                <w:rFonts w:ascii="Times New Roman" w:cs="Times New Roman" w:eastAsia="Times New Roman" w:hAnsi="Times New Roman"/>
                <w:sz w:val="11"/>
                <w:szCs w:val="11"/>
                <w:b w:val="1"/>
                <w:bCs w:val="1"/>
                <w:i w:val="1"/>
                <w:iCs w:val="1"/>
                <w:color w:val="auto"/>
              </w:rPr>
              <w:t>Workplace Safety</w:t>
            </w: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45"/>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Organic</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3.3 %</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0.0 %</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w:t>
            </w:r>
          </w:p>
        </w:tc>
      </w:tr>
      <w:tr>
        <w:trPr>
          <w:trHeight w:val="142"/>
        </w:trPr>
        <w:tc>
          <w:tcPr>
            <w:tcW w:w="5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Currency</w:t>
            </w:r>
          </w:p>
        </w:tc>
        <w:tc>
          <w:tcPr>
            <w:tcW w:w="8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5.9 %</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6.0 %</w:t>
            </w:r>
          </w:p>
        </w:tc>
      </w:tr>
      <w:tr>
        <w:trPr>
          <w:trHeight w:val="155"/>
        </w:trPr>
        <w:tc>
          <w:tcPr>
            <w:tcW w:w="5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Total</w:t>
            </w:r>
          </w:p>
        </w:tc>
        <w:tc>
          <w:tcPr>
            <w:tcW w:w="8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2.2 %</w:t>
            </w:r>
          </w:p>
        </w:tc>
      </w:tr>
      <w:tr>
        <w:trPr>
          <w:trHeight w:val="121"/>
        </w:trPr>
        <w:tc>
          <w:tcPr>
            <w:tcW w:w="5360" w:type="dxa"/>
            <w:vAlign w:val="bottom"/>
          </w:tcPr>
          <w:p>
            <w:pPr>
              <w:spacing w:after="0" w:line="121" w:lineRule="exact"/>
              <w:rPr>
                <w:sz w:val="20"/>
                <w:szCs w:val="20"/>
                <w:color w:val="auto"/>
              </w:rPr>
            </w:pPr>
            <w:r>
              <w:rPr>
                <w:rFonts w:ascii="Times New Roman" w:cs="Times New Roman" w:eastAsia="Times New Roman" w:hAnsi="Times New Roman"/>
                <w:sz w:val="11"/>
                <w:szCs w:val="11"/>
                <w:b w:val="1"/>
                <w:bCs w:val="1"/>
                <w:i w:val="1"/>
                <w:iCs w:val="1"/>
                <w:color w:val="auto"/>
              </w:rPr>
              <w:t>Total Company</w:t>
            </w: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45"/>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Organic</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9.0 %</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12.6 %</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9.4 %</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1.6 %</w:t>
            </w:r>
          </w:p>
        </w:tc>
      </w:tr>
      <w:tr>
        <w:trPr>
          <w:trHeight w:val="142"/>
        </w:trPr>
        <w:tc>
          <w:tcPr>
            <w:tcW w:w="53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Acquisition</w:t>
            </w:r>
          </w:p>
        </w:tc>
        <w:tc>
          <w:tcPr>
            <w:tcW w:w="8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2.5 %</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4.7 %</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6.9 %</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1.1 %</w:t>
            </w:r>
          </w:p>
        </w:tc>
      </w:tr>
      <w:tr>
        <w:trPr>
          <w:trHeight w:val="144"/>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Currency</w:t>
            </w:r>
          </w:p>
        </w:tc>
        <w:tc>
          <w:tcPr>
            <w:tcW w:w="8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100" w:type="dxa"/>
            <w:vAlign w:val="bottom"/>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4.3 %</w:t>
            </w:r>
          </w:p>
        </w:tc>
        <w:tc>
          <w:tcPr>
            <w:tcW w:w="80" w:type="dxa"/>
            <w:vAlign w:val="bottom"/>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3.2 %</w:t>
            </w:r>
          </w:p>
        </w:tc>
      </w:tr>
      <w:tr>
        <w:trPr>
          <w:trHeight w:val="151"/>
        </w:trPr>
        <w:tc>
          <w:tcPr>
            <w:tcW w:w="5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Total</w:t>
            </w:r>
          </w:p>
        </w:tc>
        <w:tc>
          <w:tcPr>
            <w:tcW w:w="8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5.8 %</w:t>
            </w: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21.6 %</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13.7 %</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5.9 %</w:t>
            </w:r>
          </w:p>
        </w:tc>
      </w:tr>
      <w:tr>
        <w:trPr>
          <w:trHeight w:val="126"/>
        </w:trPr>
        <w:tc>
          <w:tcPr>
            <w:tcW w:w="53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143"/>
        </w:trPr>
        <w:tc>
          <w:tcPr>
            <w:tcW w:w="53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SEGMENT PROFIT</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5"/>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ID Solutions</w:t>
            </w:r>
          </w:p>
        </w:tc>
        <w:tc>
          <w:tcPr>
            <w:tcW w:w="820" w:type="dxa"/>
            <w:vAlign w:val="bottom"/>
            <w:shd w:val="clear" w:color="auto" w:fill="CCEEFF"/>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50,218</w:t>
            </w:r>
          </w:p>
        </w:tc>
        <w:tc>
          <w:tcPr>
            <w:tcW w:w="680" w:type="dxa"/>
            <w:vAlign w:val="bottom"/>
            <w:gridSpan w:val="2"/>
            <w:shd w:val="clear" w:color="auto" w:fill="CCEEFF"/>
          </w:tcPr>
          <w:p>
            <w:pPr>
              <w:jc w:val="right"/>
              <w:ind w:right="46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42,420</w:t>
            </w:r>
          </w:p>
        </w:tc>
        <w:tc>
          <w:tcPr>
            <w:tcW w:w="420" w:type="dxa"/>
            <w:vAlign w:val="bottom"/>
            <w:gridSpan w:val="2"/>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197,125</w:t>
            </w:r>
          </w:p>
        </w:tc>
        <w:tc>
          <w:tcPr>
            <w:tcW w:w="580" w:type="dxa"/>
            <w:vAlign w:val="bottom"/>
            <w:gridSpan w:val="2"/>
            <w:shd w:val="clear" w:color="auto" w:fill="CCEEFF"/>
          </w:tcPr>
          <w:p>
            <w:pPr>
              <w:jc w:val="right"/>
              <w:ind w:right="36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169,238</w:t>
            </w:r>
          </w:p>
        </w:tc>
      </w:tr>
      <w:tr>
        <w:trPr>
          <w:trHeight w:val="142"/>
        </w:trPr>
        <w:tc>
          <w:tcPr>
            <w:tcW w:w="5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Workplace Safety</w:t>
            </w:r>
          </w:p>
        </w:tc>
        <w:tc>
          <w:tcPr>
            <w:tcW w:w="8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9,323</w:t>
            </w: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5,647</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23,240</w:t>
            </w: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22,754</w:t>
            </w:r>
          </w:p>
        </w:tc>
      </w:tr>
      <w:tr>
        <w:trPr>
          <w:trHeight w:val="155"/>
        </w:trPr>
        <w:tc>
          <w:tcPr>
            <w:tcW w:w="5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Total</w:t>
            </w:r>
          </w:p>
        </w:tc>
        <w:tc>
          <w:tcPr>
            <w:tcW w:w="820" w:type="dxa"/>
            <w:vAlign w:val="bottom"/>
            <w:tcBorders>
              <w:bottom w:val="single" w:sz="8" w:color="auto"/>
            </w:tcBorders>
            <w:shd w:val="clear" w:color="auto" w:fill="CCEEFF"/>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59,541</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48,067</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220,365</w:t>
            </w: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191,992</w:t>
            </w:r>
          </w:p>
        </w:tc>
      </w:tr>
      <w:tr>
        <w:trPr>
          <w:trHeight w:val="121"/>
        </w:trPr>
        <w:tc>
          <w:tcPr>
            <w:tcW w:w="5360" w:type="dxa"/>
            <w:vAlign w:val="bottom"/>
          </w:tcPr>
          <w:p>
            <w:pPr>
              <w:spacing w:after="0" w:line="121" w:lineRule="exact"/>
              <w:rPr>
                <w:sz w:val="20"/>
                <w:szCs w:val="20"/>
                <w:color w:val="auto"/>
              </w:rPr>
            </w:pPr>
            <w:r>
              <w:rPr>
                <w:rFonts w:ascii="Times New Roman" w:cs="Times New Roman" w:eastAsia="Times New Roman" w:hAnsi="Times New Roman"/>
                <w:sz w:val="11"/>
                <w:szCs w:val="11"/>
                <w:b w:val="1"/>
                <w:bCs w:val="1"/>
                <w:color w:val="auto"/>
              </w:rPr>
              <w:t>SEGMENT PROFIT AS A PERCENT OF NET SALES</w:t>
            </w: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45"/>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ID Solutions</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19.8 %</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18.4 %</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19.5 %</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20.1 %</w:t>
            </w:r>
          </w:p>
        </w:tc>
      </w:tr>
      <w:tr>
        <w:trPr>
          <w:trHeight w:val="142"/>
        </w:trPr>
        <w:tc>
          <w:tcPr>
            <w:tcW w:w="5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Workplace Safety</w:t>
            </w:r>
          </w:p>
        </w:tc>
        <w:tc>
          <w:tcPr>
            <w:tcW w:w="8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13.2 %</w:t>
            </w: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7.5 %</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8.0 %</w:t>
            </w: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7.5 %</w:t>
            </w:r>
          </w:p>
        </w:tc>
      </w:tr>
      <w:tr>
        <w:trPr>
          <w:trHeight w:val="151"/>
        </w:trPr>
        <w:tc>
          <w:tcPr>
            <w:tcW w:w="5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Total</w:t>
            </w:r>
          </w:p>
        </w:tc>
        <w:tc>
          <w:tcPr>
            <w:tcW w:w="8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18.4 %</w:t>
            </w:r>
          </w:p>
        </w:tc>
        <w:tc>
          <w:tcPr>
            <w:tcW w:w="10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15.7 %</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16.9 %</w:t>
            </w:r>
          </w:p>
        </w:tc>
        <w:tc>
          <w:tcPr>
            <w:tcW w:w="1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16.8 %</w:t>
            </w:r>
          </w:p>
        </w:tc>
      </w:tr>
      <w:tr>
        <w:trPr>
          <w:trHeight w:val="126"/>
        </w:trPr>
        <w:tc>
          <w:tcPr>
            <w:tcW w:w="5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44"/>
        </w:trPr>
        <w:tc>
          <w:tcPr>
            <w:tcW w:w="53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60" w:type="dxa"/>
            <w:vAlign w:val="bottom"/>
            <w:gridSpan w:val="3"/>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42"/>
        </w:trPr>
        <w:tc>
          <w:tcPr>
            <w:tcW w:w="53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w w:val="97"/>
              </w:rPr>
              <w:t>Three months ended July 31,</w:t>
            </w:r>
          </w:p>
        </w:tc>
        <w:tc>
          <w:tcPr>
            <w:tcW w:w="8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3"/>
          </w:tcPr>
          <w:p>
            <w:pPr>
              <w:jc w:val="right"/>
              <w:ind w:right="46"/>
              <w:spacing w:after="0"/>
              <w:rPr>
                <w:sz w:val="20"/>
                <w:szCs w:val="20"/>
                <w:color w:val="auto"/>
              </w:rPr>
            </w:pPr>
            <w:r>
              <w:rPr>
                <w:rFonts w:ascii="Times New Roman" w:cs="Times New Roman" w:eastAsia="Times New Roman" w:hAnsi="Times New Roman"/>
                <w:sz w:val="11"/>
                <w:szCs w:val="11"/>
                <w:color w:val="auto"/>
              </w:rPr>
              <w:t>Year ended July 31,</w:t>
            </w:r>
          </w:p>
        </w:tc>
        <w:tc>
          <w:tcPr>
            <w:tcW w:w="940" w:type="dxa"/>
            <w:vAlign w:val="bottom"/>
            <w:tcBorders>
              <w:bottom w:val="single" w:sz="8" w:color="auto"/>
            </w:tcBorders>
          </w:tcPr>
          <w:p>
            <w:pPr>
              <w:spacing w:after="0"/>
              <w:rPr>
                <w:sz w:val="12"/>
                <w:szCs w:val="12"/>
                <w:color w:val="auto"/>
              </w:rPr>
            </w:pPr>
          </w:p>
        </w:tc>
      </w:tr>
      <w:tr>
        <w:trPr>
          <w:trHeight w:val="135"/>
        </w:trPr>
        <w:tc>
          <w:tcPr>
            <w:tcW w:w="5360" w:type="dxa"/>
            <w:vAlign w:val="bottom"/>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2022</w:t>
            </w:r>
          </w:p>
        </w:tc>
        <w:tc>
          <w:tcPr>
            <w:tcW w:w="58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ind w:right="546"/>
              <w:spacing w:after="0"/>
              <w:rPr>
                <w:sz w:val="20"/>
                <w:szCs w:val="20"/>
                <w:color w:val="auto"/>
              </w:rPr>
            </w:pPr>
            <w:r>
              <w:rPr>
                <w:rFonts w:ascii="Times New Roman" w:cs="Times New Roman" w:eastAsia="Times New Roman" w:hAnsi="Times New Roman"/>
                <w:sz w:val="11"/>
                <w:szCs w:val="11"/>
                <w:color w:val="auto"/>
                <w:w w:val="99"/>
              </w:rPr>
              <w:t>2021</w:t>
            </w:r>
          </w:p>
        </w:tc>
        <w:tc>
          <w:tcPr>
            <w:tcW w:w="8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jc w:val="right"/>
              <w:ind w:right="546"/>
              <w:spacing w:after="0"/>
              <w:rPr>
                <w:sz w:val="20"/>
                <w:szCs w:val="20"/>
                <w:color w:val="auto"/>
              </w:rPr>
            </w:pPr>
            <w:r>
              <w:rPr>
                <w:rFonts w:ascii="Times New Roman" w:cs="Times New Roman" w:eastAsia="Times New Roman" w:hAnsi="Times New Roman"/>
                <w:sz w:val="11"/>
                <w:szCs w:val="11"/>
                <w:color w:val="auto"/>
              </w:rPr>
              <w:t>2022</w:t>
            </w:r>
          </w:p>
        </w:tc>
        <w:tc>
          <w:tcPr>
            <w:tcW w:w="100" w:type="dxa"/>
            <w:vAlign w:val="bottom"/>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ind w:right="546"/>
              <w:spacing w:after="0"/>
              <w:rPr>
                <w:sz w:val="20"/>
                <w:szCs w:val="20"/>
                <w:color w:val="auto"/>
              </w:rPr>
            </w:pPr>
            <w:r>
              <w:rPr>
                <w:rFonts w:ascii="Times New Roman" w:cs="Times New Roman" w:eastAsia="Times New Roman" w:hAnsi="Times New Roman"/>
                <w:sz w:val="11"/>
                <w:szCs w:val="11"/>
                <w:color w:val="auto"/>
              </w:rPr>
              <w:t>2021</w:t>
            </w:r>
          </w:p>
        </w:tc>
      </w:tr>
      <w:tr>
        <w:trPr>
          <w:trHeight w:val="131"/>
        </w:trPr>
        <w:tc>
          <w:tcPr>
            <w:tcW w:w="5360" w:type="dxa"/>
            <w:vAlign w:val="bottom"/>
          </w:tcPr>
          <w:p>
            <w:pPr>
              <w:spacing w:after="0"/>
              <w:rPr>
                <w:sz w:val="20"/>
                <w:szCs w:val="20"/>
                <w:color w:val="auto"/>
              </w:rPr>
            </w:pPr>
            <w:r>
              <w:rPr>
                <w:rFonts w:ascii="Times New Roman" w:cs="Times New Roman" w:eastAsia="Times New Roman" w:hAnsi="Times New Roman"/>
                <w:sz w:val="11"/>
                <w:szCs w:val="11"/>
                <w:color w:val="auto"/>
              </w:rPr>
              <w:t>Total segment profit</w:t>
            </w:r>
          </w:p>
        </w:tc>
        <w:tc>
          <w:tcPr>
            <w:tcW w:w="820" w:type="dxa"/>
            <w:vAlign w:val="bottom"/>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59,541</w:t>
            </w:r>
          </w:p>
        </w:tc>
        <w:tc>
          <w:tcPr>
            <w:tcW w:w="100" w:type="dxa"/>
            <w:vAlign w:val="bottom"/>
          </w:tcPr>
          <w:p>
            <w:pPr>
              <w:spacing w:after="0"/>
              <w:rPr>
                <w:sz w:val="11"/>
                <w:szCs w:val="11"/>
                <w:color w:val="auto"/>
              </w:rPr>
            </w:pPr>
          </w:p>
        </w:tc>
        <w:tc>
          <w:tcPr>
            <w:tcW w:w="580" w:type="dxa"/>
            <w:vAlign w:val="bottom"/>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48,067</w:t>
            </w:r>
          </w:p>
        </w:tc>
        <w:tc>
          <w:tcPr>
            <w:tcW w:w="80" w:type="dxa"/>
            <w:vAlign w:val="bottom"/>
          </w:tcPr>
          <w:p>
            <w:pPr>
              <w:spacing w:after="0"/>
              <w:rPr>
                <w:sz w:val="11"/>
                <w:szCs w:val="11"/>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220,365</w:t>
            </w:r>
          </w:p>
        </w:tc>
        <w:tc>
          <w:tcPr>
            <w:tcW w:w="100" w:type="dxa"/>
            <w:vAlign w:val="bottom"/>
          </w:tcPr>
          <w:p>
            <w:pPr>
              <w:spacing w:after="0"/>
              <w:rPr>
                <w:sz w:val="11"/>
                <w:szCs w:val="11"/>
                <w:color w:val="auto"/>
              </w:rPr>
            </w:pPr>
          </w:p>
        </w:tc>
        <w:tc>
          <w:tcPr>
            <w:tcW w:w="48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191,992</w:t>
            </w:r>
          </w:p>
        </w:tc>
      </w:tr>
      <w:tr>
        <w:trPr>
          <w:trHeight w:val="14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Unallocated amounts:</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42"/>
        </w:trPr>
        <w:tc>
          <w:tcPr>
            <w:tcW w:w="53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Administrative costs</w:t>
            </w:r>
          </w:p>
        </w:tc>
        <w:tc>
          <w:tcPr>
            <w:tcW w:w="820" w:type="dxa"/>
            <w:vAlign w:val="bottom"/>
          </w:tcPr>
          <w:p>
            <w:pPr>
              <w:spacing w:after="0"/>
              <w:rPr>
                <w:sz w:val="12"/>
                <w:szCs w:val="12"/>
                <w:color w:val="auto"/>
              </w:rPr>
            </w:pPr>
          </w:p>
        </w:tc>
        <w:tc>
          <w:tcPr>
            <w:tcW w:w="5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(6,625)</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(7,265)</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(27,353)</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(24,865)</w:t>
            </w:r>
          </w:p>
        </w:tc>
      </w:tr>
      <w:tr>
        <w:trPr>
          <w:trHeight w:val="146"/>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Investment and other income</w:t>
            </w:r>
          </w:p>
        </w:tc>
        <w:tc>
          <w:tcPr>
            <w:tcW w:w="8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1,587</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961</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244</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4,333</w:t>
            </w:r>
          </w:p>
        </w:tc>
      </w:tr>
      <w:tr>
        <w:trPr>
          <w:trHeight w:val="142"/>
        </w:trPr>
        <w:tc>
          <w:tcPr>
            <w:tcW w:w="5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Interest expense</w:t>
            </w:r>
          </w:p>
        </w:tc>
        <w:tc>
          <w:tcPr>
            <w:tcW w:w="8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(513)</w:t>
            </w: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(149)</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(1,276)</w:t>
            </w: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(437)</w:t>
            </w:r>
          </w:p>
        </w:tc>
      </w:tr>
      <w:tr>
        <w:trPr>
          <w:trHeight w:val="151"/>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before income taxes and losses of unconsolidated affiliate</w:t>
            </w:r>
          </w:p>
        </w:tc>
        <w:tc>
          <w:tcPr>
            <w:tcW w:w="820" w:type="dxa"/>
            <w:vAlign w:val="bottom"/>
            <w:tcBorders>
              <w:bottom w:val="single" w:sz="8" w:color="auto"/>
            </w:tcBorders>
            <w:shd w:val="clear" w:color="auto" w:fill="CCEEFF"/>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53,990</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41,614</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191,980</w:t>
            </w: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171,023</w:t>
            </w:r>
          </w:p>
        </w:tc>
      </w:tr>
    </w:tbl>
    <w:p>
      <w:pPr>
        <w:sectPr>
          <w:pgSz w:w="11900" w:h="16838" w:orient="portrait"/>
          <w:cols w:equalWidth="0" w:num="1">
            <w:col w:w="11300"/>
          </w:cols>
          <w:pgMar w:left="300" w:top="560"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b w:val="1"/>
          <w:bCs w:val="1"/>
          <w:color w:val="auto"/>
        </w:rPr>
        <w:t>GAAP to NON-GAAP MEASURES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(Unaudited; Dollars in Thousands, Except Per Share Amounts)</w:t>
      </w:r>
    </w:p>
    <w:p>
      <w:pPr>
        <w:spacing w:after="0" w:line="10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accordance with the U.S. Securities and Exchange Commission’s Regulation G, the following provides definitions of the non-GAAP measures used in the earnings release and the reconciliation to the most closely related GAAP measure.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Income Before Income Taxes Excluding Certain Items:</w:t>
      </w:r>
    </w:p>
    <w:p>
      <w:pPr>
        <w:spacing w:after="0" w:line="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Brady is presenting the non-GAAP measure, "Income Before Income Taxes Excluding Certain Items." This is not a calculation based upon GAAP. The amounts included in this non-GAAP measure are derived from amounts included in the Consolidated Financial Statements and supporting footnote disclosures. We do not view these items to be part of our ongoing results. We believe this profit measure provides an important perspective of underlying business trends and results and provides a more comparable measure from year to year. The table below provides a reconciliation of the GAAP measure of Income before income taxes and losses of unconsolidated affiliate to the non-GAAP measure of Income Before Income Taxes Excluding Certain Items: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266"/>
              <w:spacing w:after="0"/>
              <w:rPr>
                <w:sz w:val="20"/>
                <w:szCs w:val="20"/>
                <w:color w:val="auto"/>
              </w:rPr>
            </w:pPr>
            <w:r>
              <w:rPr>
                <w:rFonts w:ascii="Times New Roman" w:cs="Times New Roman" w:eastAsia="Times New Roman" w:hAnsi="Times New Roman"/>
                <w:sz w:val="11"/>
                <w:szCs w:val="11"/>
                <w:color w:val="auto"/>
              </w:rPr>
              <w:t>Three months ended July 31,</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jc w:val="right"/>
              <w:ind w:right="46"/>
              <w:spacing w:after="0"/>
              <w:rPr>
                <w:sz w:val="20"/>
                <w:szCs w:val="20"/>
                <w:color w:val="auto"/>
              </w:rPr>
            </w:pPr>
            <w:r>
              <w:rPr>
                <w:rFonts w:ascii="Times New Roman" w:cs="Times New Roman" w:eastAsia="Times New Roman" w:hAnsi="Times New Roman"/>
                <w:sz w:val="11"/>
                <w:szCs w:val="11"/>
                <w:color w:val="auto"/>
              </w:rPr>
              <w:t>Year ended July 31,</w:t>
            </w:r>
          </w:p>
        </w:tc>
        <w:tc>
          <w:tcPr>
            <w:tcW w:w="880" w:type="dxa"/>
            <w:vAlign w:val="bottom"/>
            <w:tcBorders>
              <w:bottom w:val="single" w:sz="8" w:color="auto"/>
            </w:tcBorders>
          </w:tcPr>
          <w:p>
            <w:pPr>
              <w:spacing w:after="0"/>
              <w:rPr>
                <w:sz w:val="12"/>
                <w:szCs w:val="12"/>
                <w:color w:val="auto"/>
              </w:rPr>
            </w:pPr>
          </w:p>
        </w:tc>
      </w:tr>
      <w:tr>
        <w:trPr>
          <w:trHeight w:val="133"/>
        </w:trPr>
        <w:tc>
          <w:tcPr>
            <w:tcW w:w="55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2022</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2021</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rPr>
              <w:t>2022</w:t>
            </w:r>
          </w:p>
        </w:tc>
        <w:tc>
          <w:tcPr>
            <w:tcW w:w="1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rPr>
              <w:t>2021</w:t>
            </w:r>
          </w:p>
        </w:tc>
      </w:tr>
      <w:tr>
        <w:trPr>
          <w:trHeight w:val="135"/>
        </w:trPr>
        <w:tc>
          <w:tcPr>
            <w:tcW w:w="55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Income before income taxes and losses of unconsolidated affiliate (GAAP measure)</w:t>
            </w:r>
          </w:p>
        </w:tc>
        <w:tc>
          <w:tcPr>
            <w:tcW w:w="92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53,990</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41,614</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191,980</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171,023</w:t>
            </w:r>
          </w:p>
        </w:tc>
      </w:tr>
      <w:tr>
        <w:trPr>
          <w:trHeight w:val="142"/>
        </w:trPr>
        <w:tc>
          <w:tcPr>
            <w:tcW w:w="55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3,675</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3,021</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14,966</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7,077</w:t>
            </w:r>
          </w:p>
        </w:tc>
      </w:tr>
      <w:tr>
        <w:trPr>
          <w:trHeight w:val="146"/>
        </w:trPr>
        <w:tc>
          <w:tcPr>
            <w:tcW w:w="5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Other non-routine charges</w:t>
            </w:r>
          </w:p>
        </w:tc>
        <w:tc>
          <w:tcPr>
            <w:tcW w:w="9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1,841</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55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Non-recurring acquisition transaction fees and other expenses</w:t>
            </w:r>
          </w:p>
        </w:tc>
        <w:tc>
          <w:tcPr>
            <w:tcW w:w="92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3,742</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3,742</w:t>
            </w:r>
          </w:p>
        </w:tc>
      </w:tr>
      <w:tr>
        <w:trPr>
          <w:trHeight w:val="151"/>
        </w:trPr>
        <w:tc>
          <w:tcPr>
            <w:tcW w:w="5580" w:type="dxa"/>
            <w:vAlign w:val="bottom"/>
            <w:tcBorders>
              <w:top w:val="single" w:sz="8" w:color="CCEEFF"/>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Income Before Income Taxes Excluding Certain Items (non-GAAP measure)</w:t>
            </w:r>
          </w:p>
        </w:tc>
        <w:tc>
          <w:tcPr>
            <w:tcW w:w="920" w:type="dxa"/>
            <w:vAlign w:val="bottom"/>
            <w:tcBorders>
              <w:top w:val="single" w:sz="8" w:color="auto"/>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57,665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48,377</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208,787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181,842</w:t>
            </w: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Income Tax Expense Excluding Certain Items:</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Brady is presenting the non-GAAP measure, "Income Tax Expense Excluding Certain Items." This is not a calculation based upon GAAP. The amounts included in this non-GAAP measure are derived from amounts included in the Consolidated Financial Statements and supporting footnote disclosures.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Income tax expense to the non-GAAP measure of Income Tax Expense Excluding Certain Items: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2380" w:type="dxa"/>
            <w:vAlign w:val="bottom"/>
            <w:tcBorders>
              <w:bottom w:val="single" w:sz="8" w:color="auto"/>
            </w:tcBorders>
            <w:gridSpan w:val="4"/>
          </w:tcPr>
          <w:p>
            <w:pPr>
              <w:jc w:val="right"/>
              <w:ind w:right="286"/>
              <w:spacing w:after="0"/>
              <w:rPr>
                <w:sz w:val="20"/>
                <w:szCs w:val="20"/>
                <w:color w:val="auto"/>
              </w:rPr>
            </w:pPr>
            <w:r>
              <w:rPr>
                <w:rFonts w:ascii="Times New Roman" w:cs="Times New Roman" w:eastAsia="Times New Roman" w:hAnsi="Times New Roman"/>
                <w:sz w:val="11"/>
                <w:szCs w:val="11"/>
                <w:color w:val="auto"/>
              </w:rPr>
              <w:t>Three months ended July 31,</w:t>
            </w:r>
          </w:p>
        </w:tc>
        <w:tc>
          <w:tcPr>
            <w:tcW w:w="4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jc w:val="right"/>
              <w:ind w:right="46"/>
              <w:spacing w:after="0"/>
              <w:rPr>
                <w:sz w:val="20"/>
                <w:szCs w:val="20"/>
                <w:color w:val="auto"/>
              </w:rPr>
            </w:pPr>
            <w:r>
              <w:rPr>
                <w:rFonts w:ascii="Times New Roman" w:cs="Times New Roman" w:eastAsia="Times New Roman" w:hAnsi="Times New Roman"/>
                <w:sz w:val="11"/>
                <w:szCs w:val="11"/>
                <w:color w:val="auto"/>
              </w:rPr>
              <w:t>Year ended July 31,</w:t>
            </w:r>
          </w:p>
        </w:tc>
        <w:tc>
          <w:tcPr>
            <w:tcW w:w="880" w:type="dxa"/>
            <w:vAlign w:val="bottom"/>
            <w:tcBorders>
              <w:bottom w:val="single" w:sz="8" w:color="auto"/>
            </w:tcBorders>
          </w:tcPr>
          <w:p>
            <w:pPr>
              <w:spacing w:after="0"/>
              <w:rPr>
                <w:sz w:val="12"/>
                <w:szCs w:val="12"/>
                <w:color w:val="auto"/>
              </w:rPr>
            </w:pPr>
          </w:p>
        </w:tc>
      </w:tr>
      <w:tr>
        <w:trPr>
          <w:trHeight w:val="133"/>
        </w:trPr>
        <w:tc>
          <w:tcPr>
            <w:tcW w:w="55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2022</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2021</w:t>
            </w: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2022</w:t>
            </w: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rPr>
              <w:t>2021</w:t>
            </w:r>
          </w:p>
        </w:tc>
      </w:tr>
      <w:tr>
        <w:trPr>
          <w:trHeight w:val="135"/>
        </w:trPr>
        <w:tc>
          <w:tcPr>
            <w:tcW w:w="55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Income tax expense (GAAP measure)</w:t>
            </w:r>
          </w:p>
        </w:tc>
        <w:tc>
          <w:tcPr>
            <w:tcW w:w="92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12,926</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80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8,593</w:t>
            </w: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42,001</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35,610</w:t>
            </w:r>
          </w:p>
        </w:tc>
      </w:tr>
      <w:tr>
        <w:trPr>
          <w:trHeight w:val="142"/>
        </w:trPr>
        <w:tc>
          <w:tcPr>
            <w:tcW w:w="55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873</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720</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3,545</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1,734</w:t>
            </w:r>
          </w:p>
        </w:tc>
      </w:tr>
      <w:tr>
        <w:trPr>
          <w:trHeight w:val="146"/>
        </w:trPr>
        <w:tc>
          <w:tcPr>
            <w:tcW w:w="5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Other non-routine charges</w:t>
            </w:r>
          </w:p>
        </w:tc>
        <w:tc>
          <w:tcPr>
            <w:tcW w:w="9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496</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55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Non-recurring acquisition transaction fees and other expenses</w:t>
            </w:r>
          </w:p>
        </w:tc>
        <w:tc>
          <w:tcPr>
            <w:tcW w:w="92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689</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689</w:t>
            </w:r>
          </w:p>
        </w:tc>
      </w:tr>
      <w:tr>
        <w:trPr>
          <w:trHeight w:val="146"/>
        </w:trPr>
        <w:tc>
          <w:tcPr>
            <w:tcW w:w="5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Acquisition-related tax charges</w:t>
            </w:r>
          </w:p>
        </w:tc>
        <w:tc>
          <w:tcPr>
            <w:tcW w:w="9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(942)</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(942)</w:t>
            </w:r>
          </w:p>
        </w:tc>
      </w:tr>
      <w:tr>
        <w:trPr>
          <w:trHeight w:val="132"/>
        </w:trPr>
        <w:tc>
          <w:tcPr>
            <w:tcW w:w="558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Income Tax Expense Excluding Certain Items (non-GAAP measure)</w:t>
            </w:r>
          </w:p>
        </w:tc>
        <w:tc>
          <w:tcPr>
            <w:tcW w:w="920" w:type="dxa"/>
            <w:vAlign w:val="bottom"/>
            <w:tcBorders>
              <w:top w:val="single" w:sz="8" w:color="auto"/>
              <w:bottom w:val="single" w:sz="8" w:color="auto"/>
            </w:tcBorders>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13,799</w:t>
            </w:r>
          </w:p>
        </w:tc>
        <w:tc>
          <w:tcPr>
            <w:tcW w:w="100" w:type="dxa"/>
            <w:vAlign w:val="bottom"/>
          </w:tcPr>
          <w:p>
            <w:pPr>
              <w:spacing w:after="0"/>
              <w:rPr>
                <w:sz w:val="11"/>
                <w:szCs w:val="11"/>
                <w:color w:val="auto"/>
              </w:rPr>
            </w:pPr>
          </w:p>
        </w:tc>
        <w:tc>
          <w:tcPr>
            <w:tcW w:w="920" w:type="dxa"/>
            <w:vAlign w:val="bottom"/>
            <w:tcBorders>
              <w:top w:val="single" w:sz="8" w:color="auto"/>
              <w:bottom w:val="single" w:sz="8" w:color="auto"/>
            </w:tcBorders>
          </w:tcPr>
          <w:p>
            <w:pPr>
              <w:jc w:val="right"/>
              <w:ind w:right="8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9,060</w:t>
            </w:r>
          </w:p>
        </w:tc>
        <w:tc>
          <w:tcPr>
            <w:tcW w:w="8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ind w:right="766"/>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46,042</w:t>
            </w:r>
          </w:p>
        </w:tc>
        <w:tc>
          <w:tcPr>
            <w:tcW w:w="10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37,091</w:t>
            </w:r>
          </w:p>
        </w:tc>
      </w:tr>
      <w:tr>
        <w:trPr>
          <w:trHeight w:val="20"/>
        </w:trPr>
        <w:tc>
          <w:tcPr>
            <w:tcW w:w="5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638" w:right="2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b w:val="1"/>
          <w:bCs w:val="1"/>
          <w:color w:val="auto"/>
        </w:rPr>
        <w:t>Net Income Excluding Certain Items:</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Brady is presenting the non-GAAP measure, "Net Income Excluding Certain Items." This is not a calculation based upon GAAP. The amounts included in this non-GAAP measure are derived from amounts included in the Consolidated Financial Statements and supporting footnote disclosures.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Net income to the non-GAAP measure of Net Income Excluding Certain Items: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2360" w:type="dxa"/>
            <w:vAlign w:val="bottom"/>
            <w:tcBorders>
              <w:bottom w:val="single" w:sz="8" w:color="auto"/>
            </w:tcBorders>
            <w:gridSpan w:val="4"/>
          </w:tcPr>
          <w:p>
            <w:pPr>
              <w:jc w:val="right"/>
              <w:ind w:right="266"/>
              <w:spacing w:after="0"/>
              <w:rPr>
                <w:sz w:val="20"/>
                <w:szCs w:val="20"/>
                <w:color w:val="auto"/>
              </w:rPr>
            </w:pPr>
            <w:r>
              <w:rPr>
                <w:rFonts w:ascii="Times New Roman" w:cs="Times New Roman" w:eastAsia="Times New Roman" w:hAnsi="Times New Roman"/>
                <w:sz w:val="11"/>
                <w:szCs w:val="11"/>
                <w:color w:val="auto"/>
              </w:rPr>
              <w:t>Three months ended July 31,</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jc w:val="right"/>
              <w:ind w:right="46"/>
              <w:spacing w:after="0"/>
              <w:rPr>
                <w:sz w:val="20"/>
                <w:szCs w:val="20"/>
                <w:color w:val="auto"/>
              </w:rPr>
            </w:pPr>
            <w:r>
              <w:rPr>
                <w:rFonts w:ascii="Times New Roman" w:cs="Times New Roman" w:eastAsia="Times New Roman" w:hAnsi="Times New Roman"/>
                <w:sz w:val="11"/>
                <w:szCs w:val="11"/>
                <w:color w:val="auto"/>
              </w:rPr>
              <w:t>Year ended July 31,</w:t>
            </w:r>
          </w:p>
        </w:tc>
        <w:tc>
          <w:tcPr>
            <w:tcW w:w="880" w:type="dxa"/>
            <w:vAlign w:val="bottom"/>
            <w:tcBorders>
              <w:bottom w:val="single" w:sz="8" w:color="auto"/>
            </w:tcBorders>
          </w:tcPr>
          <w:p>
            <w:pPr>
              <w:spacing w:after="0"/>
              <w:rPr>
                <w:sz w:val="12"/>
                <w:szCs w:val="12"/>
                <w:color w:val="auto"/>
              </w:rPr>
            </w:pPr>
          </w:p>
        </w:tc>
      </w:tr>
      <w:tr>
        <w:trPr>
          <w:trHeight w:val="133"/>
        </w:trPr>
        <w:tc>
          <w:tcPr>
            <w:tcW w:w="558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2022</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2021</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rPr>
              <w:t>2022</w:t>
            </w:r>
          </w:p>
        </w:tc>
        <w:tc>
          <w:tcPr>
            <w:tcW w:w="1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rPr>
              <w:t>2021</w:t>
            </w:r>
          </w:p>
        </w:tc>
      </w:tr>
      <w:tr>
        <w:trPr>
          <w:trHeight w:val="135"/>
        </w:trPr>
        <w:tc>
          <w:tcPr>
            <w:tcW w:w="55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Net income (GAAP measure)</w:t>
            </w:r>
          </w:p>
        </w:tc>
        <w:tc>
          <w:tcPr>
            <w:tcW w:w="92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41,064</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28,027</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149,979</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129,659</w:t>
            </w:r>
          </w:p>
        </w:tc>
      </w:tr>
      <w:tr>
        <w:trPr>
          <w:trHeight w:val="142"/>
        </w:trPr>
        <w:tc>
          <w:tcPr>
            <w:tcW w:w="55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2,802</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2,301</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11,421</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5,343</w:t>
            </w:r>
          </w:p>
        </w:tc>
      </w:tr>
      <w:tr>
        <w:trPr>
          <w:trHeight w:val="146"/>
        </w:trPr>
        <w:tc>
          <w:tcPr>
            <w:tcW w:w="5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Other non-routine charges</w:t>
            </w:r>
          </w:p>
        </w:tc>
        <w:tc>
          <w:tcPr>
            <w:tcW w:w="9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1,345</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55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Non-recurring acquisition transaction fees and other expenses</w:t>
            </w:r>
          </w:p>
        </w:tc>
        <w:tc>
          <w:tcPr>
            <w:tcW w:w="92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3,053</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3,053</w:t>
            </w:r>
          </w:p>
        </w:tc>
      </w:tr>
      <w:tr>
        <w:trPr>
          <w:trHeight w:val="146"/>
        </w:trPr>
        <w:tc>
          <w:tcPr>
            <w:tcW w:w="5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Acquisition-related tax charges</w:t>
            </w:r>
          </w:p>
        </w:tc>
        <w:tc>
          <w:tcPr>
            <w:tcW w:w="9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942</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942</w:t>
            </w:r>
          </w:p>
        </w:tc>
      </w:tr>
      <w:tr>
        <w:trPr>
          <w:trHeight w:val="142"/>
        </w:trPr>
        <w:tc>
          <w:tcPr>
            <w:tcW w:w="55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Other-than-temporary impairment of unconsolidated affiliate</w:t>
            </w:r>
          </w:p>
        </w:tc>
        <w:tc>
          <w:tcPr>
            <w:tcW w:w="92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4,994</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4,994</w:t>
            </w:r>
          </w:p>
        </w:tc>
      </w:tr>
      <w:tr>
        <w:trPr>
          <w:trHeight w:val="151"/>
        </w:trPr>
        <w:tc>
          <w:tcPr>
            <w:tcW w:w="5580" w:type="dxa"/>
            <w:vAlign w:val="bottom"/>
            <w:tcBorders>
              <w:top w:val="single" w:sz="8" w:color="CCEEFF"/>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Net Income Excluding Certain Items (non-GAAP measure)</w:t>
            </w:r>
          </w:p>
        </w:tc>
        <w:tc>
          <w:tcPr>
            <w:tcW w:w="920" w:type="dxa"/>
            <w:vAlign w:val="bottom"/>
            <w:tcBorders>
              <w:top w:val="single" w:sz="8" w:color="auto"/>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43,866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39,317</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162,745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143,991</w:t>
            </w: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Diluted EPS Excluding Certain Items:</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Brady is presenting the non-GAAP measure, "Diluted EPS Excluding Certain Items." This is not a calculation based upon GAAP. The amounts included in this non-GAAP measure are derived from amounts included in the Consolidated Financial Statements. We do not view these items to be part of our ongoing results. We believe this measure provides an important perspective of underlying business trends and results and provides a more comparable measure from year to year. The table below provides a reconciliation of the GAAP measure of Net income per Class A Nonvoting Common Share to the non-GAAP measure of Diluted EPS Excluding Certain Items: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2420" w:type="dxa"/>
            <w:vAlign w:val="bottom"/>
            <w:tcBorders>
              <w:bottom w:val="single" w:sz="8" w:color="auto"/>
            </w:tcBorders>
            <w:gridSpan w:val="4"/>
          </w:tcPr>
          <w:p>
            <w:pPr>
              <w:jc w:val="right"/>
              <w:ind w:right="326"/>
              <w:spacing w:after="0"/>
              <w:rPr>
                <w:sz w:val="20"/>
                <w:szCs w:val="20"/>
                <w:color w:val="auto"/>
              </w:rPr>
            </w:pPr>
            <w:r>
              <w:rPr>
                <w:rFonts w:ascii="Times New Roman" w:cs="Times New Roman" w:eastAsia="Times New Roman" w:hAnsi="Times New Roman"/>
                <w:sz w:val="11"/>
                <w:szCs w:val="11"/>
                <w:color w:val="auto"/>
              </w:rPr>
              <w:t>Three months ended July 31,</w:t>
            </w: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jc w:val="right"/>
              <w:ind w:right="46"/>
              <w:spacing w:after="0"/>
              <w:rPr>
                <w:sz w:val="20"/>
                <w:szCs w:val="20"/>
                <w:color w:val="auto"/>
              </w:rPr>
            </w:pPr>
            <w:r>
              <w:rPr>
                <w:rFonts w:ascii="Times New Roman" w:cs="Times New Roman" w:eastAsia="Times New Roman" w:hAnsi="Times New Roman"/>
                <w:sz w:val="11"/>
                <w:szCs w:val="11"/>
                <w:color w:val="auto"/>
              </w:rPr>
              <w:t>Year ended July 31,</w:t>
            </w:r>
          </w:p>
        </w:tc>
        <w:tc>
          <w:tcPr>
            <w:tcW w:w="880" w:type="dxa"/>
            <w:vAlign w:val="bottom"/>
            <w:tcBorders>
              <w:bottom w:val="single" w:sz="8" w:color="auto"/>
            </w:tcBorders>
          </w:tcPr>
          <w:p>
            <w:pPr>
              <w:spacing w:after="0"/>
              <w:rPr>
                <w:sz w:val="12"/>
                <w:szCs w:val="12"/>
                <w:color w:val="auto"/>
              </w:rPr>
            </w:pPr>
          </w:p>
        </w:tc>
      </w:tr>
      <w:tr>
        <w:trPr>
          <w:trHeight w:val="133"/>
        </w:trPr>
        <w:tc>
          <w:tcPr>
            <w:tcW w:w="558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rPr>
              <w:t>2022</w:t>
            </w: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rPr>
              <w:t>2021</w:t>
            </w: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color w:val="auto"/>
              </w:rPr>
              <w:t>2022</w:t>
            </w:r>
          </w:p>
        </w:tc>
        <w:tc>
          <w:tcPr>
            <w:tcW w:w="1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rPr>
              <w:t>2021</w:t>
            </w:r>
          </w:p>
        </w:tc>
      </w:tr>
      <w:tr>
        <w:trPr>
          <w:trHeight w:val="135"/>
        </w:trPr>
        <w:tc>
          <w:tcPr>
            <w:tcW w:w="55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Net income per Class A Nonvoting Common Share (GAAP measure)</w:t>
            </w:r>
          </w:p>
        </w:tc>
        <w:tc>
          <w:tcPr>
            <w:tcW w:w="960" w:type="dxa"/>
            <w:vAlign w:val="bottom"/>
            <w:shd w:val="clear" w:color="auto" w:fill="CCEEFF"/>
          </w:tcPr>
          <w:p>
            <w:pPr>
              <w:jc w:val="right"/>
              <w:ind w:right="82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0.81</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846"/>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0.53</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2.90</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2.47</w:t>
            </w:r>
          </w:p>
        </w:tc>
      </w:tr>
      <w:tr>
        <w:trPr>
          <w:trHeight w:val="142"/>
        </w:trPr>
        <w:tc>
          <w:tcPr>
            <w:tcW w:w="55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9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0.06</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0.04</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0.22</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0.10</w:t>
            </w:r>
          </w:p>
        </w:tc>
      </w:tr>
      <w:tr>
        <w:trPr>
          <w:trHeight w:val="146"/>
        </w:trPr>
        <w:tc>
          <w:tcPr>
            <w:tcW w:w="5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Other non-routine charges</w:t>
            </w:r>
          </w:p>
        </w:tc>
        <w:tc>
          <w:tcPr>
            <w:tcW w:w="9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0.03</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55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Non-recurring acquisition transaction fees and other expenses</w:t>
            </w:r>
          </w:p>
        </w:tc>
        <w:tc>
          <w:tcPr>
            <w:tcW w:w="96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0.06</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0.06</w:t>
            </w:r>
          </w:p>
        </w:tc>
      </w:tr>
      <w:tr>
        <w:trPr>
          <w:trHeight w:val="146"/>
        </w:trPr>
        <w:tc>
          <w:tcPr>
            <w:tcW w:w="5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Acquisition-related tax charges</w:t>
            </w:r>
          </w:p>
        </w:tc>
        <w:tc>
          <w:tcPr>
            <w:tcW w:w="9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0.02</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0.02</w:t>
            </w:r>
          </w:p>
        </w:tc>
      </w:tr>
      <w:tr>
        <w:trPr>
          <w:trHeight w:val="142"/>
        </w:trPr>
        <w:tc>
          <w:tcPr>
            <w:tcW w:w="55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Other-than-temporary impairment of unconsolidated affiliate</w:t>
            </w:r>
          </w:p>
        </w:tc>
        <w:tc>
          <w:tcPr>
            <w:tcW w:w="96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0.09</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0.10</w:t>
            </w:r>
          </w:p>
        </w:tc>
      </w:tr>
      <w:tr>
        <w:trPr>
          <w:trHeight w:val="151"/>
        </w:trPr>
        <w:tc>
          <w:tcPr>
            <w:tcW w:w="5580" w:type="dxa"/>
            <w:vAlign w:val="bottom"/>
            <w:tcBorders>
              <w:top w:val="single" w:sz="8" w:color="CCEEFF"/>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Diluted EPS Excluding Certain Items (non-GAAP measure)</w:t>
            </w:r>
          </w:p>
        </w:tc>
        <w:tc>
          <w:tcPr>
            <w:tcW w:w="960" w:type="dxa"/>
            <w:vAlign w:val="bottom"/>
            <w:tcBorders>
              <w:top w:val="single" w:sz="8" w:color="auto"/>
              <w:bottom w:val="single" w:sz="8" w:color="auto"/>
            </w:tcBorders>
            <w:shd w:val="clear" w:color="auto" w:fill="CCEEFF"/>
          </w:tcPr>
          <w:p>
            <w:pPr>
              <w:jc w:val="right"/>
              <w:ind w:right="826"/>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0.87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ind w:right="8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0.75</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3.15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2.75</w:t>
            </w:r>
          </w:p>
        </w:tc>
      </w:tr>
    </w:tbl>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Diluted EPS Excluding Certain Items Guidance: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46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rPr>
              <w:t>Fiscal 2023 Expectations</w:t>
            </w:r>
          </w:p>
        </w:tc>
        <w:tc>
          <w:tcPr>
            <w:tcW w:w="820" w:type="dxa"/>
            <w:vAlign w:val="bottom"/>
            <w:tcBorders>
              <w:bottom w:val="single" w:sz="8" w:color="auto"/>
            </w:tcBorders>
          </w:tcPr>
          <w:p>
            <w:pPr>
              <w:spacing w:after="0"/>
              <w:rPr>
                <w:sz w:val="12"/>
                <w:szCs w:val="12"/>
                <w:color w:val="auto"/>
              </w:rPr>
            </w:pPr>
          </w:p>
        </w:tc>
      </w:tr>
      <w:tr>
        <w:trPr>
          <w:trHeight w:val="133"/>
        </w:trPr>
        <w:tc>
          <w:tcPr>
            <w:tcW w:w="846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Low</w:t>
            </w: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w w:val="99"/>
              </w:rPr>
              <w:t>High</w:t>
            </w:r>
          </w:p>
        </w:tc>
      </w:tr>
      <w:tr>
        <w:trPr>
          <w:trHeight w:val="135"/>
        </w:trPr>
        <w:tc>
          <w:tcPr>
            <w:tcW w:w="84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Earnings per Class A Nonvoting Common Share (GAAP measure)</w:t>
            </w:r>
          </w:p>
        </w:tc>
        <w:tc>
          <w:tcPr>
            <w:tcW w:w="820" w:type="dxa"/>
            <w:vAlign w:val="bottom"/>
            <w:shd w:val="clear" w:color="auto" w:fill="CCEEFF"/>
          </w:tcPr>
          <w:p>
            <w:pPr>
              <w:jc w:val="right"/>
              <w:ind w:right="68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3.13</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4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3.43</w:t>
            </w:r>
          </w:p>
        </w:tc>
      </w:tr>
      <w:tr>
        <w:trPr>
          <w:trHeight w:val="142"/>
        </w:trPr>
        <w:tc>
          <w:tcPr>
            <w:tcW w:w="84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1"/>
                <w:szCs w:val="11"/>
                <w:color w:val="auto"/>
              </w:rPr>
              <w:t>Amortization expense</w:t>
            </w:r>
          </w:p>
        </w:tc>
        <w:tc>
          <w:tcPr>
            <w:tcW w:w="8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0.17</w:t>
            </w: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0.17</w:t>
            </w:r>
          </w:p>
        </w:tc>
      </w:tr>
      <w:tr>
        <w:trPr>
          <w:trHeight w:val="151"/>
        </w:trPr>
        <w:tc>
          <w:tcPr>
            <w:tcW w:w="8460" w:type="dxa"/>
            <w:vAlign w:val="bottom"/>
            <w:tcBorders>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Diluted EPS Excluding Certain Items (non-GAAP measure)</w:t>
            </w:r>
          </w:p>
        </w:tc>
        <w:tc>
          <w:tcPr>
            <w:tcW w:w="820" w:type="dxa"/>
            <w:vAlign w:val="bottom"/>
            <w:tcBorders>
              <w:bottom w:val="single" w:sz="8" w:color="auto"/>
            </w:tcBorders>
            <w:shd w:val="clear" w:color="auto" w:fill="CCEEFF"/>
          </w:tcPr>
          <w:p>
            <w:pPr>
              <w:jc w:val="right"/>
              <w:ind w:right="686"/>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3.30</w:t>
            </w: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3.60</w:t>
            </w:r>
          </w:p>
        </w:tc>
      </w:tr>
    </w:tbl>
    <w:p>
      <w:pPr>
        <w:sectPr>
          <w:pgSz w:w="11900" w:h="16838" w:orient="portrait"/>
          <w:cols w:equalWidth="0" w:num="1">
            <w:col w:w="11300"/>
          </w:cols>
          <w:pgMar w:left="300" w:top="746" w:right="29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EXHIBIT 99.2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For More Information Contact: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Investor contact: Ann Thornton 414-438-6887</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Media contact: Kate Venne 414-358-5176</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Brady Corporation increases its dividend to shareholders for the 37th consecutive year</w:t>
      </w:r>
    </w:p>
    <w:p>
      <w:pPr>
        <w:spacing w:after="0" w:line="213" w:lineRule="exact"/>
        <w:rPr>
          <w:sz w:val="20"/>
          <w:szCs w:val="20"/>
          <w:color w:val="auto"/>
        </w:rPr>
      </w:pPr>
    </w:p>
    <w:p>
      <w:pPr>
        <w:jc w:val="both"/>
        <w:spacing w:after="0" w:line="390" w:lineRule="auto"/>
        <w:rPr>
          <w:sz w:val="20"/>
          <w:szCs w:val="20"/>
          <w:color w:val="auto"/>
        </w:rPr>
      </w:pPr>
      <w:r>
        <w:rPr>
          <w:rFonts w:ascii="Times New Roman" w:cs="Times New Roman" w:eastAsia="Times New Roman" w:hAnsi="Times New Roman"/>
          <w:sz w:val="13"/>
          <w:szCs w:val="13"/>
          <w:color w:val="auto"/>
        </w:rPr>
        <w:t>MILWAUKEE (August 31, 2022) -- On August 30, 2022, Brady Corporation’s (NYSE: BRC) Board of Directors approved an increase in the annual dividend to shareholders of the Company’s Class A Common Stock from $0.90 per share to $0.92 per share. A quarterly dividend to shareholders of the Company’s Class A Common Stock of $0.23 per share will be paid on October 28, 2022, to shareholders of record at the close of business on October 7, 2022. This dividend represents the 37</w:t>
      </w:r>
      <w:r>
        <w:rPr>
          <w:rFonts w:ascii="Times New Roman" w:cs="Times New Roman" w:eastAsia="Times New Roman" w:hAnsi="Times New Roman"/>
          <w:sz w:val="7"/>
          <w:szCs w:val="7"/>
          <w:color w:val="auto"/>
        </w:rPr>
        <w:t>th</w:t>
      </w:r>
      <w:r>
        <w:rPr>
          <w:rFonts w:ascii="Times New Roman" w:cs="Times New Roman" w:eastAsia="Times New Roman" w:hAnsi="Times New Roman"/>
          <w:sz w:val="13"/>
          <w:szCs w:val="13"/>
          <w:color w:val="auto"/>
        </w:rPr>
        <w:t xml:space="preserve"> consecutive annual increase in dividends.</w:t>
      </w:r>
    </w:p>
    <w:p>
      <w:pPr>
        <w:jc w:val="both"/>
        <w:ind w:firstLine="432"/>
        <w:spacing w:after="0" w:line="377" w:lineRule="auto"/>
        <w:rPr>
          <w:sz w:val="20"/>
          <w:szCs w:val="20"/>
          <w:color w:val="auto"/>
        </w:rPr>
      </w:pPr>
      <w:r>
        <w:rPr>
          <w:rFonts w:ascii="Times New Roman" w:cs="Times New Roman" w:eastAsia="Times New Roman" w:hAnsi="Times New Roman"/>
          <w:sz w:val="13"/>
          <w:szCs w:val="13"/>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2021, employed approximately 5,700 people in its worldwide businesses. Brady’s fiscal 2021 sales were approximately $1.14 billion. Brady stock trades on the New York Stock Exchange under the symbol BRC. More information is available on the Internet at </w:t>
      </w:r>
      <w:r>
        <w:rPr>
          <w:rFonts w:ascii="Times New Roman" w:cs="Times New Roman" w:eastAsia="Times New Roman" w:hAnsi="Times New Roman"/>
          <w:sz w:val="13"/>
          <w:szCs w:val="13"/>
          <w:u w:val="single" w:color="auto"/>
          <w:color w:val="0000FF"/>
        </w:rPr>
        <w:t>www.bradycorp.com</w:t>
      </w:r>
      <w:r>
        <w:rPr>
          <w:rFonts w:ascii="Times New Roman" w:cs="Times New Roman" w:eastAsia="Times New Roman" w:hAnsi="Times New Roman"/>
          <w:sz w:val="13"/>
          <w:szCs w:val="13"/>
          <w:color w:val="auto"/>
        </w:rPr>
        <w: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p>
    <w:p>
      <w:pPr>
        <w:sectPr>
          <w:pgSz w:w="11900" w:h="16838" w:orient="portrait"/>
          <w:cols w:equalWidth="0" w:num="1">
            <w:col w:w="11300"/>
          </w:cols>
          <w:pgMar w:left="300" w:top="636" w:right="299" w:bottom="1440"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2022-09-01T06:20:08Z</dcterms:created>
  <dcterms:modified xsi:type="dcterms:W3CDTF">2022-09-01T06:20:08Z</dcterms:modified>
</cp:coreProperties>
</file>