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560"/>
            <w:col w:w="6120" w:space="720"/>
            <w:col w:w="1660" w:space="720"/>
            <w:col w:w="320"/>
          </w:cols>
          <w:pgMar w:left="240" w:top="229" w:right="2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260" w:space="620"/>
            <w:col w:w="6120" w:space="720"/>
            <w:col w:w="1660" w:space="720"/>
            <w:col w:w="32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May 26, 2015, there were 47,778,684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FF"/>
            </w:tcBorders>
            <w:gridSpan w:val="8"/>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2.</w:t>
              </w:r>
            </w:hyperlink>
          </w:p>
        </w:tc>
        <w:tc>
          <w:tcPr>
            <w:tcW w:w="9240" w:type="dxa"/>
            <w:vAlign w:val="bottom"/>
            <w:gridSpan w:val="14"/>
          </w:tcPr>
          <w:p>
            <w:pPr>
              <w:ind w:left="20"/>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3.</w:t>
              </w:r>
            </w:hyperlink>
          </w:p>
        </w:tc>
        <w:tc>
          <w:tcPr>
            <w:tcW w:w="6480" w:type="dxa"/>
            <w:vAlign w:val="bottom"/>
            <w:gridSpan w:val="13"/>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30">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6.</w:t>
              </w:r>
            </w:hyperlink>
          </w:p>
        </w:tc>
        <w:tc>
          <w:tcPr>
            <w:tcW w:w="1340" w:type="dxa"/>
            <w:vAlign w:val="bottom"/>
            <w:gridSpan w:val="3"/>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April 30, 2015</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81,834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162,180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177,648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69,504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73,096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25,797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22,490</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113,901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113,275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Assets held for sale</w:t>
            </w: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49,542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41,543</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416,335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463,842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478,035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91,014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27,320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22,314</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Cost: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Land</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5,659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7,875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Buildings and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101,866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280,718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288,409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391,684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410,650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267,906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276,479</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123,778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134,171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1,141,985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right="939"/>
              <w:spacing w:after="0"/>
              <w:rPr>
                <w:sz w:val="20"/>
                <w:szCs w:val="20"/>
                <w:color w:val="auto"/>
              </w:rPr>
            </w:pPr>
            <w:r>
              <w:rPr>
                <w:rFonts w:ascii="Arial" w:cs="Arial" w:eastAsia="Arial" w:hAnsi="Arial"/>
                <w:sz w:val="16"/>
                <w:szCs w:val="16"/>
                <w:b w:val="1"/>
                <w:bCs w:val="1"/>
                <w:color w:val="auto"/>
              </w:rPr>
              <w:t>LIABILITIES AND STOCKHOLDERS’ INVESTMENT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Notes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12,001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61,422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88,099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36,164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38,064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6,578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7,994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33,783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35,319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207,276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291,945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159,296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66,903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69,348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488,018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520,589</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47,778,684 and 47,704,196 shares,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311,811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Earnings retained in the business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463,726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452,057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stock—3,482,803 and 3,477,291 shares, respectively of Class A nonvoting common stock, at cost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(93,337)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(27,939)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64,156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653,967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733,076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1,141,985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4"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3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24"/>
                <w:szCs w:val="24"/>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290,227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309,577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883,095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908,301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149,228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154,457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453,732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452,797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140,999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429,363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455,504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102,952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116,666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319,796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340,825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14,202</w:t>
            </w:r>
          </w:p>
        </w:tc>
        <w:tc>
          <w:tcPr>
            <w:tcW w:w="0" w:type="dxa"/>
            <w:vAlign w:val="bottom"/>
          </w:tcPr>
          <w:p>
            <w:pPr>
              <w:spacing w:after="0"/>
              <w:rPr>
                <w:sz w:val="1"/>
                <w:szCs w:val="1"/>
                <w:color w:val="auto"/>
              </w:rPr>
            </w:pP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116,714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128,353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361,294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380,702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74,802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Other income and (expense):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(8,394)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(10,777)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22,216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60,643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65,912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16,347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17,077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17,213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44,296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48,835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Earnings (loss) from discontinued operations, net of income taxes</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15,606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17,213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42,381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64,441</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w w:val="92"/>
              </w:rPr>
              <w:t>Earnings (loss) from discontinued operations per Class A Nonvoting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6"/>
              </w:rPr>
              <w:t>Earnings (loss) from discontinued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0.585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0.568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52,071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51,450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51,370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52,304</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44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270"/>
        </w:trPr>
        <w:tc>
          <w:tcPr>
            <w:tcW w:w="5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17,213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42,381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64,441</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(loss) recognized in other comprehensive income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(70,191)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12,602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12,872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(104,888)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12,602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20,833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(7,229)</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gain recognized in other comprehensive income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gain recognized in other comprehensive income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(loss) recognized in other comprehensive income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5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plan curtailment gain included in net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earnings</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tax</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(84,365)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5,402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Income tax benefit (expense) related to items of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2,222</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9,260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(92,095)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7,624</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5"/>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834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 April 30,</w:t>
            </w: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3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Net earnings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42,381</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64,441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28,511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33,782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5,033</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Non-cash portion of restructuring charges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Loss on sale of business,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(8,310)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2,949</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(9,435)</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(13,027)</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2,912</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52,740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75,840</w:t>
            </w: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(29,808)</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Sale of business, net of cash retained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(647)</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(30,455)</w:t>
            </w: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Payment of dividends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(30,712)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(30,479)</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10,894</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 of treasury stock</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(23,335)</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borrowing on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82,439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66,187</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Repayment of borrowing on credit facilities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(41,401)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Principal payments on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Income tax on the exercise of stock options and deferred compensation distributions, and other</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(3,832)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(978)</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(61,626)</w:t>
            </w: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3,898</w:t>
            </w: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(12,343)</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81,834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91,058</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7"/>
        </w:trPr>
        <w:tc>
          <w:tcPr>
            <w:tcW w:w="1020" w:type="dxa"/>
            <w:vAlign w:val="bottom"/>
            <w:shd w:val="clear" w:color="auto" w:fill="CCEEFF"/>
          </w:tcPr>
          <w:p>
            <w:pPr>
              <w:spacing w:after="0"/>
              <w:rPr>
                <w:sz w:val="24"/>
                <w:szCs w:val="24"/>
                <w:color w:val="auto"/>
              </w:rPr>
            </w:pPr>
          </w:p>
        </w:tc>
        <w:tc>
          <w:tcPr>
            <w:tcW w:w="7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2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100,468</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78,715</w:t>
            </w:r>
          </w:p>
        </w:tc>
      </w:tr>
      <w:tr>
        <w:trPr>
          <w:trHeight w:val="73"/>
        </w:trPr>
        <w:tc>
          <w:tcPr>
            <w:tcW w:w="1020" w:type="dxa"/>
            <w:vAlign w:val="bottom"/>
            <w:tcBorders>
              <w:bottom w:val="single" w:sz="8" w:color="CCEEFF"/>
            </w:tcBorders>
          </w:tcPr>
          <w:p>
            <w:pPr>
              <w:spacing w:after="0"/>
              <w:rPr>
                <w:sz w:val="6"/>
                <w:szCs w:val="6"/>
                <w:color w:val="auto"/>
              </w:rPr>
            </w:pPr>
          </w:p>
        </w:tc>
        <w:tc>
          <w:tcPr>
            <w:tcW w:w="73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64"/>
        </w:trPr>
        <w:tc>
          <w:tcPr>
            <w:tcW w:w="1020" w:type="dxa"/>
            <w:vAlign w:val="bottom"/>
            <w:shd w:val="clear" w:color="auto" w:fill="CCEEFF"/>
          </w:tcPr>
          <w:p>
            <w:pPr>
              <w:spacing w:after="0"/>
              <w:rPr>
                <w:sz w:val="22"/>
                <w:szCs w:val="22"/>
                <w:color w:val="auto"/>
              </w:rPr>
            </w:pPr>
          </w:p>
        </w:tc>
        <w:tc>
          <w:tcPr>
            <w:tcW w:w="7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bl>
    <w:p>
      <w:pPr>
        <w:spacing w:after="0" w:line="17" w:lineRule="exact"/>
        <w:rPr>
          <w:sz w:val="20"/>
          <w:szCs w:val="20"/>
          <w:color w:val="auto"/>
        </w:rPr>
      </w:pPr>
    </w:p>
    <w:p>
      <w:pPr>
        <w:sectPr>
          <w:pgSz w:w="11900" w:h="16838" w:orient="portrait"/>
          <w:cols w:equalWidth="0" w:num="1">
            <w:col w:w="11420"/>
          </w:cols>
          <w:pgMar w:left="240" w:top="114" w:right="239" w:bottom="1440" w:gutter="0" w:footer="0" w:header="0"/>
        </w:sectPr>
      </w:pPr>
    </w:p>
    <w:p>
      <w:pPr>
        <w:ind w:left="40"/>
        <w:spacing w:after="0"/>
        <w:rPr>
          <w:sz w:val="20"/>
          <w:szCs w:val="20"/>
          <w:color w:val="auto"/>
        </w:rPr>
      </w:pPr>
      <w:r>
        <w:rPr>
          <w:rFonts w:ascii="Arial" w:cs="Arial" w:eastAsia="Arial" w:hAnsi="Arial"/>
          <w:sz w:val="16"/>
          <w:szCs w:val="16"/>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paid during the period for: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taxes, net of refunds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9,451</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11,417</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21,692</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18,842</w:t>
            </w:r>
          </w:p>
        </w:tc>
      </w:tr>
    </w:tbl>
    <w:p>
      <w:pPr>
        <w:spacing w:after="0" w:line="573" w:lineRule="exact"/>
        <w:rPr>
          <w:sz w:val="20"/>
          <w:szCs w:val="20"/>
          <w:color w:val="auto"/>
        </w:rPr>
      </w:pPr>
    </w:p>
    <w:p>
      <w:pPr>
        <w:sectPr>
          <w:pgSz w:w="11900" w:h="16838" w:orient="portrait"/>
          <w:cols w:equalWidth="0" w:num="2">
            <w:col w:w="7640" w:space="720"/>
            <w:col w:w="3060"/>
          </w:cols>
          <w:pgMar w:left="240" w:top="114"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4"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2015 and July 31, 2014, its results of operations and comprehensive (loss) income for the three and nine months ended April 30, 2015 and 2014, and cash flows for the nine months ended April 30, 2015 and 2014. The consolidated balance sheet as of July 31, 2014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2014.</w:t>
      </w:r>
    </w:p>
    <w:p>
      <w:pPr>
        <w:spacing w:after="0" w:line="13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was divested on August 1, 2014. The assets and liabilities were reclassified in accordance with the authoritative literature on assets held for sale in the consolidated balance sheet as of July 31, 2014. The results of operations of the Company's Die-Cut business have been reported as discontinued operations within the condensed consolidated statements of earnings for the nine months ended April 30, 2015 and for the three and nine months ended April 30, 2014. In accordance with the authoritative literature, the Company has elected to not separately disclose the cash flows or other comprehensive income related to discontinued operations. Refer to Note K, "Discontinued Operations" for further discussion regarding the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nine months ended April 30, 2015,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Arial" w:cs="Arial" w:eastAsia="Arial" w:hAnsi="Arial"/>
                <w:sz w:val="16"/>
                <w:szCs w:val="16"/>
                <w:b w:val="1"/>
                <w:bCs w:val="1"/>
                <w:color w:val="auto"/>
              </w:rPr>
              <w:t>WPS</w:t>
            </w: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412,289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Translation 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(24,627)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(12,342)</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(36,969)</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April 30, 2015</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387,662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478,035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Goodwill at April 30, 2015 included $118,637 and $172,280 of accumulated impairment losses within the IDS and WPS segments, respectively, for a total of $290,917. There were no impairment charges recorded during the nine months ended April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April 30, 2015</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11,889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(10,503)</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1,386</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11,656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(10,160)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2,554</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4,660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138,486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(92,575)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45,911</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168,525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(114,363)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54,162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28,843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28,843</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30,229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203,093</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(124,329)</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78,764</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235,865</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(144,851)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91,014</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were no impairment charges recorded during the nine months ended April 30, 2015. The decrease in the gross carrying amount of other intangible assets as of April 30, 2015 compared to July 31, 2014 was due the effect of currency fluctuations during the nine month period.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carrying amount of goodwill and other intangible assets in the condensed consolidated balance sheet at April 30, 2015 differs from the value assigned to them in the original allocation of purchase price due to impairments and the effect of currency fluctuations between the date of acquisition and April 30, 2015.</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was $2,900 and $4,713 for the three months ended April 30, 2015 and 2014, respectively, and $9,251 and $14,837 for the nine months ended April 30, 2015 and 2014, respectively. The amortization over each of the next five fiscal years is projected to be $11,768, $9,670, $7,388, $6,634 and $6,352 for the fiscal years ending July 31, 2015, 2016, 2017, 2018 and 2019,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(Loss) Income</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comprehensive (loss) income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income, net of tax, for the nine months ended April 30, 2015:</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Unrealized gain</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Foreign currency</w:t>
            </w:r>
          </w:p>
        </w:tc>
        <w:tc>
          <w:tcPr>
            <w:tcW w:w="1320" w:type="dxa"/>
            <w:vAlign w:val="bottom"/>
            <w:gridSpan w:val="2"/>
          </w:tcPr>
          <w:p>
            <w:pPr>
              <w:ind w:left="40"/>
              <w:spacing w:after="0"/>
              <w:rPr>
                <w:sz w:val="20"/>
                <w:szCs w:val="20"/>
                <w:color w:val="auto"/>
              </w:rPr>
            </w:pPr>
            <w:r>
              <w:rPr>
                <w:rFonts w:ascii="Arial" w:cs="Arial" w:eastAsia="Arial" w:hAnsi="Arial"/>
                <w:sz w:val="16"/>
                <w:szCs w:val="16"/>
                <w:color w:val="auto"/>
                <w:w w:val="94"/>
              </w:rPr>
              <w:t>Accumulated other</w:t>
            </w:r>
          </w:p>
        </w:tc>
      </w:tr>
      <w:tr>
        <w:trPr>
          <w:trHeight w:val="203"/>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on cash flow</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translation</w:t>
            </w:r>
          </w:p>
        </w:tc>
        <w:tc>
          <w:tcPr>
            <w:tcW w:w="1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w w:val="92"/>
              </w:rPr>
              <w:t>comprehensive</w:t>
            </w:r>
          </w:p>
        </w:tc>
      </w:tr>
      <w:tr>
        <w:trPr>
          <w:trHeight w:val="206"/>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hedges</w:t>
            </w:r>
          </w:p>
        </w:tc>
        <w:tc>
          <w:tcPr>
            <w:tcW w:w="30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plans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adjustments</w:t>
            </w:r>
          </w:p>
        </w:tc>
        <w:tc>
          <w:tcPr>
            <w:tcW w:w="1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8"/>
              </w:rPr>
              <w:t>(loss) income</w:t>
            </w:r>
          </w:p>
        </w:tc>
      </w:tr>
      <w:tr>
        <w:trPr>
          <w:trHeight w:val="33"/>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59,314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64,156</w:t>
            </w:r>
          </w:p>
        </w:tc>
      </w:tr>
      <w:tr>
        <w:trPr>
          <w:trHeight w:val="220"/>
        </w:trPr>
        <w:tc>
          <w:tcPr>
            <w:tcW w:w="3760" w:type="dxa"/>
            <w:vAlign w:val="bottom"/>
          </w:tcPr>
          <w:p>
            <w:pPr>
              <w:ind w:left="40"/>
              <w:spacing w:after="0"/>
              <w:rPr>
                <w:sz w:val="20"/>
                <w:szCs w:val="20"/>
                <w:color w:val="auto"/>
              </w:rPr>
            </w:pPr>
            <w:r>
              <w:rPr>
                <w:rFonts w:ascii="Arial" w:cs="Arial" w:eastAsia="Arial" w:hAnsi="Arial"/>
                <w:sz w:val="16"/>
                <w:szCs w:val="16"/>
                <w:color w:val="auto"/>
              </w:rPr>
              <w:t>Other comprehensive (loss) income before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760" w:type="dxa"/>
            <w:vAlign w:val="bottom"/>
          </w:tcPr>
          <w:p>
            <w:pPr>
              <w:ind w:left="40"/>
              <w:spacing w:after="0"/>
              <w:rPr>
                <w:sz w:val="20"/>
                <w:szCs w:val="20"/>
                <w:color w:val="auto"/>
              </w:rPr>
            </w:pPr>
            <w:r>
              <w:rPr>
                <w:rFonts w:ascii="Arial" w:cs="Arial" w:eastAsia="Arial" w:hAnsi="Arial"/>
                <w:sz w:val="16"/>
                <w:szCs w:val="16"/>
                <w:color w:val="auto"/>
              </w:rPr>
              <w:t>reclassification</w:t>
            </w:r>
          </w:p>
        </w:tc>
        <w:tc>
          <w:tcPr>
            <w:tcW w:w="1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(57,296)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(54,730)</w:t>
            </w:r>
          </w:p>
        </w:tc>
      </w:tr>
      <w:tr>
        <w:trPr>
          <w:trHeight w:val="33"/>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(37,365)</w:t>
            </w:r>
          </w:p>
        </w:tc>
      </w:tr>
      <w:tr>
        <w:trPr>
          <w:trHeight w:val="244"/>
        </w:trPr>
        <w:tc>
          <w:tcPr>
            <w:tcW w:w="3760" w:type="dxa"/>
            <w:vAlign w:val="bottom"/>
          </w:tcPr>
          <w:p>
            <w:pPr>
              <w:ind w:left="40"/>
              <w:spacing w:after="0"/>
              <w:rPr>
                <w:sz w:val="20"/>
                <w:szCs w:val="20"/>
                <w:color w:val="auto"/>
              </w:rPr>
            </w:pPr>
            <w:r>
              <w:rPr>
                <w:rFonts w:ascii="Arial" w:cs="Arial" w:eastAsia="Arial" w:hAnsi="Arial"/>
                <w:sz w:val="16"/>
                <w:szCs w:val="16"/>
                <w:color w:val="auto"/>
              </w:rPr>
              <w:t>Ending balance, April 30,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4,162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(32,679)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(27,939)</w:t>
            </w: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decrease in accumulated other comprehensive (loss) income ("AOCI") as of April 30, 2015 compared to July 31, 2014 was primarily due to the appreciation of the U.S. dollar against other currencies, most of which was realized during the six-month period ended January 31, 2015. The decrease was also a result of the accumulated foreign currency translation gains in the China Die-Cut businesses, which were reclassified into net earnings upon the completion of the second phase of the Die-Cut divestiture during the three months ended October 31, 2014. The foreign currency translation adjustments column in the table above includes foreign currency translation, foreign currency translation on intercompany notes and the impact of settlements of net investment hedges, net of tax. Of the total $37,365 in amounts reclassified from accumulated other comprehensive income, the $34,697 gain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was reclassified to the net loss on the sale of the Die-Cut business, the $337 gain on cash flow hedges was reclassified into cost of products sold, and the $2,331 gain due to the curtailment of the postretirement medical benefit plan was reclassified into selling, general and administrative expenses ("SG&amp;A") on the Condensed Consolidated Statement of Earnings for the nine months ended April 30, 2015.</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accumulated other comprehensive income by component, net of tax, for the nine months ended April 30, 2014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Foreign</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color w:val="auto"/>
                <w:w w:val="95"/>
              </w:rPr>
              <w:t>Accumulated</w:t>
            </w:r>
          </w:p>
        </w:tc>
      </w:tr>
      <w:tr>
        <w:trPr>
          <w:trHeight w:val="203"/>
        </w:trPr>
        <w:tc>
          <w:tcPr>
            <w:tcW w:w="442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color w:val="auto"/>
              </w:rPr>
              <w:t>Unrealized gain</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Unamortized</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currency</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color w:val="auto"/>
                <w:w w:val="87"/>
              </w:rPr>
              <w:t>other</w:t>
            </w:r>
          </w:p>
        </w:tc>
      </w:tr>
      <w:tr>
        <w:trPr>
          <w:trHeight w:val="203"/>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on cash flow</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gain on post-</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translation</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0"/>
              </w:rPr>
              <w:t>comprehensive</w:t>
            </w:r>
          </w:p>
        </w:tc>
      </w:tr>
      <w:tr>
        <w:trPr>
          <w:trHeight w:val="206"/>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83"/>
              </w:rPr>
              <w:t>hedges</w:t>
            </w:r>
          </w:p>
        </w:tc>
        <w:tc>
          <w:tcPr>
            <w:tcW w:w="1240" w:type="dxa"/>
            <w:vAlign w:val="bottom"/>
            <w:gridSpan w:val="3"/>
          </w:tcPr>
          <w:p>
            <w:pPr>
              <w:ind w:left="40"/>
              <w:spacing w:after="0"/>
              <w:rPr>
                <w:sz w:val="20"/>
                <w:szCs w:val="20"/>
                <w:color w:val="auto"/>
              </w:rPr>
            </w:pPr>
            <w:r>
              <w:rPr>
                <w:rFonts w:ascii="Arial" w:cs="Arial" w:eastAsia="Arial" w:hAnsi="Arial"/>
                <w:sz w:val="16"/>
                <w:szCs w:val="16"/>
                <w:color w:val="auto"/>
              </w:rPr>
              <w:t>retirement plans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adjustments</w:t>
            </w: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color w:val="auto"/>
                <w:w w:val="92"/>
              </w:rPr>
              <w:t>income (loss)</w:t>
            </w:r>
          </w:p>
        </w:tc>
      </w:tr>
      <w:tr>
        <w:trPr>
          <w:trHeight w:val="33"/>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r>
      <w:tr>
        <w:trPr>
          <w:trHeight w:val="237"/>
        </w:trPr>
        <w:tc>
          <w:tcPr>
            <w:tcW w:w="44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8,057</w:t>
            </w:r>
          </w:p>
        </w:tc>
      </w:tr>
      <w:tr>
        <w:trPr>
          <w:trHeight w:val="33"/>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44"/>
        </w:trPr>
        <w:tc>
          <w:tcPr>
            <w:tcW w:w="4420" w:type="dxa"/>
            <w:vAlign w:val="bottom"/>
          </w:tcPr>
          <w:p>
            <w:pPr>
              <w:ind w:left="40"/>
              <w:spacing w:after="0"/>
              <w:rPr>
                <w:sz w:val="20"/>
                <w:szCs w:val="20"/>
                <w:color w:val="auto"/>
              </w:rPr>
            </w:pPr>
            <w:r>
              <w:rPr>
                <w:rFonts w:ascii="Arial" w:cs="Arial" w:eastAsia="Arial" w:hAnsi="Arial"/>
                <w:sz w:val="16"/>
                <w:szCs w:val="16"/>
                <w:color w:val="auto"/>
              </w:rPr>
              <w:t>Ending balance, April 30, 2014</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62,227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63,687</w:t>
            </w: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accumulated other comprehensive income for the nine months ended April 30, 2014 compared to July 31, 2013 was primarily due to the depreciation of the U.S. dollar against other currencies. Of the total $433 in amounts reclassified from accumulated other comprehensive income, the $82 gain on cash flow hedges was reclassified into cost of products sold and the $351 gain on post-retirement plans was reclassified into SG&amp;A on the Condensed Consolidated Statement of Earnings for the nine months ended April 30, 2014.</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income tax (expense) benefit on the components of other comprehensive income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2015 and 2014:</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2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4"/>
              </w:rPr>
              <w:t>Nine months ended April 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8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8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(158)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(8,125)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8"/>
              </w:rPr>
              <w:t>Other income tax adjustments and currency translation</w:t>
            </w: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800" w:type="dxa"/>
            <w:vAlign w:val="bottom"/>
            <w:tcBorders>
              <w:top w:val="single" w:sz="8" w:color="auto"/>
            </w:tcBorders>
            <w:vMerge w:val="restart"/>
          </w:tcPr>
          <w:p>
            <w:pPr>
              <w:jc w:val="right"/>
              <w:ind w:right="59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(7,730)</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2,222</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8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80" w:type="dxa"/>
            <w:vAlign w:val="bottom"/>
            <w:gridSpan w:val="6"/>
          </w:tcPr>
          <w:p>
            <w:pPr>
              <w:ind w:left="50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Earnings from continuing operations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17,213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20,184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44,296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48,835</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Restricted stock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Numerator for basic and diluted earnings from continuing operations</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17,213</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20,168</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44,296</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48,759</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per Class A Nonvoting Common Share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Numerator for basic and diluted earnings from continuing operations</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17,213</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20,168</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43,501</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47,940</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per Class B Voting Common Share</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Denominator for basic earnings from continuing operations per share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51,301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51,933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51,275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52,071</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Denominator for diluted earnings from continuing operations per share</w:t>
            </w:r>
          </w:p>
        </w:tc>
        <w:tc>
          <w:tcPr>
            <w:tcW w:w="9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51,450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52,000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51,370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52,304</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0.34</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0.39</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0.86</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0.86</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0.93</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Earnings from continuing operations per Class B Voting Common Share:</w:t>
            </w: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0.85</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0.92</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0.39</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0.85</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0.92</w:t>
            </w:r>
          </w:p>
        </w:tc>
      </w:tr>
      <w:tr>
        <w:trPr>
          <w:trHeight w:val="220"/>
        </w:trPr>
        <w:tc>
          <w:tcPr>
            <w:tcW w:w="502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per Class A Nonvoting</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5020" w:type="dxa"/>
            <w:vAlign w:val="bottom"/>
          </w:tcPr>
          <w:p>
            <w:pPr>
              <w:ind w:left="40"/>
              <w:spacing w:after="0"/>
              <w:rPr>
                <w:sz w:val="20"/>
                <w:szCs w:val="20"/>
                <w:color w:val="auto"/>
              </w:rPr>
            </w:pPr>
            <w:r>
              <w:rPr>
                <w:rFonts w:ascii="Arial" w:cs="Arial" w:eastAsia="Arial" w:hAnsi="Arial"/>
                <w:sz w:val="16"/>
                <w:szCs w:val="16"/>
                <w:color w:val="auto"/>
              </w:rPr>
              <w:t>Common Share:</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0.30</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(Loss) earnings from discontinued operations per Class B Voting Common</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7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0.30</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0.34</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0.46</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0.83</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0.46</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0.83</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0.46</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0.81</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50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0.46</w:t>
            </w:r>
          </w:p>
        </w:tc>
        <w:tc>
          <w:tcPr>
            <w:tcW w:w="6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0.81</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5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Options to purchase approximately 2,836,000 and 4,213,000 shares of Class A Nonvoting Common Stock for the three months ended April 30, 2015 and 2014, respectively, and 3,531,000 and 3,085,000 shares for the nine months ended April 30, 2015 and 2014, respectively, were not included in the computation of diluted net earnings or loss per share because the option exercise price was greater than the average market price of the common shares and, therefore, the effect would have been anti-dilutive.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organized and managed on a global basis within two business platforms: Identification Solutions ("IDS") and Workplace Safety ("WPS"), which are the reportable segments.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Each business platform has a President that reports directly to the Company's chief operating decision maker, its Chief Executive Officer. Each platform has its own distinct operations, is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following is a summary of segment information for the three and nine months ended April 30, 2015 and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April 30,</w:t>
            </w:r>
          </w:p>
        </w:tc>
        <w:tc>
          <w:tcPr>
            <w:tcW w:w="180" w:type="dxa"/>
            <w:vAlign w:val="bottom"/>
          </w:tcPr>
          <w:p>
            <w:pPr>
              <w:spacing w:after="0"/>
              <w:rPr>
                <w:sz w:val="18"/>
                <w:szCs w:val="18"/>
                <w:color w:val="auto"/>
              </w:rPr>
            </w:pPr>
          </w:p>
        </w:tc>
        <w:tc>
          <w:tcPr>
            <w:tcW w:w="22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3"/>
              </w:rPr>
              <w:t>Nine months ended April 30,</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4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200,786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206,448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604,948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610,726</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278,147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297,575</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290,227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309,577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883,095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908,301</w:t>
            </w:r>
          </w:p>
        </w:tc>
      </w:tr>
      <w:tr>
        <w:trPr>
          <w:trHeight w:val="73"/>
        </w:trPr>
        <w:tc>
          <w:tcPr>
            <w:tcW w:w="42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41,614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44,302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120,800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132,795</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47,813</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53,906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59,073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161,407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180,608</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earnings from continuing operations before income taxes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30, 2015 and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161,407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180,608</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(91,604)</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(14,202)</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(10,777)</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65,912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 awards ("RSUs"), or restricted and unrestricted shares of Class A Nonvoting Common Stock to employees and non-employee directors.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Restricted shares and RSUs issued under the plan have an issuance price equal to the fair market value of the underlying stock at the date of grant. The RSUs granted under the plan generally vest over a three-year service period, with one-third becoming exercisable one year after the grant date and one-third additional in each of the succeeding two years. The Company also grants restricted shares and RSUs to certain executives and key management employees that vest upon meeting certain financial performance conditions.</w:t>
      </w:r>
    </w:p>
    <w:p>
      <w:pPr>
        <w:spacing w:after="0" w:line="13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April 30, 2015, the Company has reserved 3,925,176 shares of Class A Nonvoting Common Stock for outstanding stock options, RSUs, and restricted shares and 3,440,742 shares of Class A Nonvoting Common Stock remain for future issuance of stock options, RSUs, and restricted and unrestricted shares under the active plan. The Company uses treasury stock or will issue new Class A Nonvoting Common Stock to deliver shares under the plan.</w:t>
      </w:r>
    </w:p>
    <w:p>
      <w:pPr>
        <w:spacing w:after="0" w:line="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April 30, 2015 and 2014, was $1,085 ($673 net of taxes) and $656 ($407 net of taxes), respectively. Expense recognized during the nine months ended April 30, 2015 and 2014, was $3,556 ($2,205 net of taxes) and $5,033 ($3,121 net of taxes), respectively.</w:t>
      </w:r>
    </w:p>
    <w:p>
      <w:pPr>
        <w:spacing w:after="0" w:line="1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April 30, 2015, total unrecognized compensation cost related to stock-based compensation awards was $9,332 pre-tax, net of estimated forfeitures, which the Company expects to recognize over a weighted-average period of 2.4 years.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estimated the fair value of its service-based option awards granted during the nine months ended April 30, 2015 and 2014, using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valuation model. The weighted-average assumptions used in the Black-Scholes valuation model are reflected in the following table: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8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736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3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2014</w:t>
            </w:r>
          </w:p>
        </w:tc>
      </w:tr>
      <w:tr>
        <w:trPr>
          <w:trHeight w:val="33"/>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5.97</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37.32%</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30.98</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30.98</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9.17</w:t>
            </w:r>
          </w:p>
        </w:tc>
      </w:tr>
      <w:tr>
        <w:trPr>
          <w:trHeight w:val="33"/>
        </w:trPr>
        <w:tc>
          <w:tcPr>
            <w:tcW w:w="7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stock option activity under the Company’s share-based compensation plans for the nine months ended April 30, 2015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4,204,260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622,983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22.73</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(1,118,335)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30.97</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3,642,875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3,420,880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April 30, 2015</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2,706,566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1,054,126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were 2,706,566 and 3,131,418 options exercisable with a weighted average exercise price of $30.84 and $30.97 at April 30, 2015 and 2014, respectively. The cash received from the exercise of options during the three months ended April 30, 2015 was $744. No options were exercised during the three months ended April 30, 2014. The cash received from the exercise of options during the nine months ended April 30, 2015 and 2014 was $1,591 and $10,894, respectively. The tax benefit on options exercised during the three months ended April 30, 2015 was $35. The tax benefit on options exercised during the nine months ended April 30, 2015 and 2014 was $79 and $788, respectively.</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during the nine months ended April 30, 2015 and 2014, based upon the average market price at the time of exercise during the period, was $202 and $2,020, respectively. The total fair value of stock options vested during the nine months ended April 30, 2015 and 2014, was $3,909 and $6,565, respectively.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RSU and restricted share activity under the Company's share-based compensation plans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 and Restricted Shares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104,857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241,447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23.59</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(29,756)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29.53</w:t>
            </w:r>
          </w:p>
        </w:tc>
        <w:tc>
          <w:tcPr>
            <w:tcW w:w="0" w:type="dxa"/>
            <w:vAlign w:val="bottom"/>
          </w:tcPr>
          <w:p>
            <w:pPr>
              <w:spacing w:after="0"/>
              <w:rPr>
                <w:sz w:val="1"/>
                <w:szCs w:val="1"/>
                <w:color w:val="auto"/>
              </w:rPr>
            </w:pP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line="20" w:lineRule="exact"/>
              <w:rPr>
                <w:sz w:val="1"/>
                <w:szCs w:val="1"/>
                <w:color w:val="auto"/>
              </w:rPr>
            </w:pPr>
          </w:p>
        </w:tc>
      </w:tr>
      <w:tr>
        <w:trPr>
          <w:trHeight w:val="486"/>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 and Restricted Shares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Employee Benefit Plans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net periodic postretirement benefit cost for the three and nine months ended April 30, 2015 and 2014 were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6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postretirement benefit cost:</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20" w:type="dxa"/>
            <w:vAlign w:val="bottom"/>
          </w:tcPr>
          <w:p>
            <w:pPr>
              <w:ind w:left="340"/>
              <w:spacing w:after="0"/>
              <w:rPr>
                <w:sz w:val="20"/>
                <w:szCs w:val="20"/>
                <w:color w:val="auto"/>
              </w:rPr>
            </w:pPr>
            <w:r>
              <w:rPr>
                <w:rFonts w:ascii="Arial" w:cs="Arial" w:eastAsia="Arial" w:hAnsi="Arial"/>
                <w:sz w:val="16"/>
                <w:szCs w:val="16"/>
                <w:color w:val="auto"/>
              </w:rPr>
              <w:t>Service cost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505</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Amortization of prior service credit</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net actuarial gain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Curtailment gain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4"/>
              </w:rPr>
              <w:t>(4,296)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postretirement benefit cost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(4,367)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2015, the Company announced the elimination of postretirement medical benefits for eligible domestic employees retiring on or after January 1, 2016. This amendment resulted in a decrease in the accumulated postretirement benefit obligation liability of $4,490 and a curtailment gain of $4,296. The curtailment gain was recognized in SG&amp;A on the Condensed Consolidated Statements of Earnings, during the three months ended April 30,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by level within the fair value hierarchy our financial assets and liabilities that were accounted for at fair value on a recurring basis at April 30, 2015 and July 31, 2014, according to the valuation techniques the Company used to determine their fair values.</w:t>
      </w:r>
    </w:p>
    <w:p>
      <w:pPr>
        <w:spacing w:after="0" w:line="117" w:lineRule="exact"/>
        <w:rPr>
          <w:sz w:val="20"/>
          <w:szCs w:val="20"/>
          <w:color w:val="auto"/>
        </w:rPr>
      </w:pPr>
    </w:p>
    <w:p>
      <w:pPr>
        <w:jc w:val="center"/>
        <w:ind w:right="254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54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33020</wp:posOffset>
            </wp:positionV>
            <wp:extent cx="2126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Quoted Prices in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Active Markets for</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Significant Other</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Identical</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Observable Inputs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Assets (Level 1)</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April 30, 2015</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2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15,468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15,468</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274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15,468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16,443</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27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2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274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27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2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2014</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2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274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16,128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27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2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274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J,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or nine months ended April 30, 2015 and 2014. In addition, the Company had no significant measurements of assets or liabilities at fair value on a nonrecurring basis subsequent to their initial recognition during the three and nine months ended April 30, 2015.</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2014, goodwill with a carrying amount of $193,689 in the PeopleID reporting unit was written down to its estimated implied fair value of $93,277, resulting in a non-cash impairment charge of $100,412.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the result was the implied fair value of goodwill of $93,277, which represented a Level 3 asset measured at fair value on a nonrecurring basis subsequent to its original recognition.</w:t>
      </w:r>
    </w:p>
    <w:p>
      <w:pPr>
        <w:spacing w:after="0" w:line="13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evaluates whether events and circumstances have occurred that indicate that the remaining estimated useful life of long-lived and other finite-lived intangible assets may warrant revision or that the remaining balance of an asset may not be recoverable. Management completed an assessment of the customer relationship assets of the PeopleID reporting unit in accordance with ASC 350 - Intangibles - Goodwill and Other, and ASC 360 - Property, Plant, and Equipment, and concluded that the assets were impaired. These assets were primarily associated with the acquisition of Precision Dynamics Corporation ("PDC"). Organic sales in the PDC business declined in the low single-digit percentages from fiscal 2013 to fiscal 2014. U.S. hospital admission rates are a primary driver of PDC's sales under its existing strategy, and there was a decline of approximately 2% in these rates during fiscal 2014. Therefore, management revisited its planned growth and profit for the PDC business and concluded that the growth may not materialize as expected given slower than anticipated industry growth and fewer sales synergies than originally planned.</w:t>
      </w:r>
    </w:p>
    <w:p>
      <w:pPr>
        <w:spacing w:after="0" w:line="1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the customer relationship assets were evaluated for recoverability in accordance with ASC 360 - Property, Plant, and Equipment. Management completed an undiscounted cash flow analysis for the customer relationship assets, which was less than the carrying value of the customer relationship assets and indicated that the assets were impaired. Therefore, management measured the impairment loss as the amount by which the carrying amount of the customer relationships exceeded their fair value, which represented Level 3 assets measured at fair value on a nonrecurring basis subsequent to their original recognition. This resulted in an impairment charge of $48,139 recognized in fiscal 2014, which was classified within the "Impairment charges" line item on the Condensed Consolidated Statements of Earnings and was part of the IDS reportable segment.</w:t>
      </w:r>
    </w:p>
    <w:p>
      <w:pPr>
        <w:spacing w:after="0" w:line="11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fair value of the Company’s short-term and long-term debt obligations, excluding notes payable, based on the quoted market prices for similar issues and on the current rates offered for debt of similar maturities was $267,043 and $216,280 at April 30, 2015 and July 31, 2014, respectively, as compared to the carrying value of $256,353 and $201,810 at April 30, 2015 and July 31, 2014,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I — Restructuring</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to enhance customer service, improve efficiency of operations and reduce operating expenses. Facility consolidation activities extended into fiscal 2015.</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this plan, the Company incurred restructuring charges of $4,834 and $13,991 during the three and nine months ended April 30, 2015, respectively. The three month restructuring charges of $4,834 consisted of $446 of employee separation costs, $2,645 of fixed asset write-offs, $818 of facility closure related costs, and $925 of contract termination costs. Of the $4,834 of restructuring charges, $3,536 was incurred within IDS and $1,298 within WPS.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restructuring charges of $13,991 for the nine months ended April 30, 2015 consisted of $4,939 of employee separation costs, $3,545 of fixed asset write-offs, $3,844 of facility closure related costs, and $1,663 of contract termination costs. Of the $13,991 of restructuring charges, $9,845 was incurred within IDS and $4,146 within WPS.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fiscal 2013, the Company implemented a restructuring plan to reduce its global workforce to address its cost structure. The Company incurred restructuring charges of $3,039 and $14,202 during the three and nine months ended April 30, 2014. The three month restructuring charges related to the fiscal 2014 facility consolidation plan and consisted of $1,782 of employee separation costs, $170 of fixed asset write-offs, $771 of facility closure related costs, and $316 of contract termination costs. Of the $3,039 of restructuring charges, $1,161 was incurred within IDS and $1,878 within WPS.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restructuring charges of $14,202 for the nine months ended April 30, 2014 related to the fiscal 2013 and fiscal 2014 restructuring plans and consisted of $9,547 of employee separation costs, $267 of fixed asset write-offs, $3,454 of facility closure related costs, and $934 of contract termination costs. Of the $14,202 of restructuring charges, $7,595 was incurred within IDS and $6,607 within WPS.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charges for employee separation costs consisted of severance pay, outplacement services, medical and other benefits. The costs related to these restructuring activities were recorded on the Condensed Consolidated Statements of Earnings as restructuring charges. The Company expects the majority of the remaining cash payments to be made during the next twelve months.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Company’s restructuring liability for the nine months ended April 30, 2015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Employee</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Asset Write-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Related</w:t>
            </w:r>
          </w:p>
        </w:tc>
        <w:tc>
          <w:tcPr>
            <w:tcW w:w="240" w:type="dxa"/>
            <w:vAlign w:val="bottom"/>
          </w:tcPr>
          <w:p>
            <w:pPr>
              <w:spacing w:after="0"/>
              <w:rPr>
                <w:sz w:val="18"/>
                <w:szCs w:val="18"/>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offs</w:t>
            </w:r>
          </w:p>
        </w:tc>
        <w:tc>
          <w:tcPr>
            <w:tcW w:w="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4,995</w:t>
            </w:r>
          </w:p>
        </w:tc>
      </w:tr>
      <w:tr>
        <w:trPr>
          <w:trHeight w:val="237"/>
        </w:trPr>
        <w:tc>
          <w:tcPr>
            <w:tcW w:w="6960" w:type="dxa"/>
            <w:vAlign w:val="bottom"/>
          </w:tcPr>
          <w:p>
            <w:pPr>
              <w:ind w:left="380"/>
              <w:spacing w:after="0"/>
              <w:rPr>
                <w:sz w:val="20"/>
                <w:szCs w:val="20"/>
                <w:color w:val="auto"/>
              </w:rPr>
            </w:pPr>
            <w:r>
              <w:rPr>
                <w:rFonts w:ascii="Arial" w:cs="Arial" w:eastAsia="Arial" w:hAnsi="Arial"/>
                <w:sz w:val="16"/>
                <w:szCs w:val="16"/>
                <w:color w:val="auto"/>
              </w:rPr>
              <w:t>Restructuring charges in continuing operations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13,991</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in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237"/>
        </w:trPr>
        <w:tc>
          <w:tcPr>
            <w:tcW w:w="6960" w:type="dxa"/>
            <w:vAlign w:val="bottom"/>
          </w:tcPr>
          <w:p>
            <w:pPr>
              <w:ind w:left="380"/>
              <w:spacing w:after="0"/>
              <w:rPr>
                <w:sz w:val="20"/>
                <w:szCs w:val="20"/>
                <w:color w:val="auto"/>
              </w:rPr>
            </w:pPr>
            <w:r>
              <w:rPr>
                <w:rFonts w:ascii="Arial" w:cs="Arial" w:eastAsia="Arial" w:hAnsi="Arial"/>
                <w:sz w:val="16"/>
                <w:szCs w:val="16"/>
                <w:color w:val="auto"/>
              </w:rPr>
              <w:t>Non-cash write-offs</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(3,541)</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(11,518)</w:t>
            </w:r>
          </w:p>
        </w:tc>
      </w:tr>
      <w:tr>
        <w:trPr>
          <w:trHeight w:val="217"/>
        </w:trPr>
        <w:tc>
          <w:tcPr>
            <w:tcW w:w="6960" w:type="dxa"/>
            <w:vAlign w:val="bottom"/>
          </w:tcPr>
          <w:p>
            <w:pPr>
              <w:ind w:left="40"/>
              <w:spacing w:after="0"/>
              <w:rPr>
                <w:sz w:val="20"/>
                <w:szCs w:val="20"/>
                <w:color w:val="auto"/>
              </w:rPr>
            </w:pPr>
            <w:r>
              <w:rPr>
                <w:rFonts w:ascii="Arial" w:cs="Arial" w:eastAsia="Arial" w:hAnsi="Arial"/>
                <w:sz w:val="16"/>
                <w:szCs w:val="16"/>
                <w:color w:val="auto"/>
              </w:rPr>
              <w:t>Ending balance, April 30,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4,168</w:t>
            </w:r>
          </w:p>
        </w:tc>
      </w:tr>
      <w:tr>
        <w:trPr>
          <w:trHeight w:val="33"/>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Company’s restructuring liability for the nine months ended April 30, 2014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Employee</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Asset Write-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Related</w:t>
            </w:r>
          </w:p>
        </w:tc>
        <w:tc>
          <w:tcPr>
            <w:tcW w:w="240" w:type="dxa"/>
            <w:vAlign w:val="bottom"/>
          </w:tcPr>
          <w:p>
            <w:pPr>
              <w:spacing w:after="0"/>
              <w:rPr>
                <w:sz w:val="18"/>
                <w:szCs w:val="18"/>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offs</w:t>
            </w:r>
          </w:p>
        </w:tc>
        <w:tc>
          <w:tcPr>
            <w:tcW w:w="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14,206</w:t>
            </w:r>
          </w:p>
        </w:tc>
      </w:tr>
      <w:tr>
        <w:trPr>
          <w:trHeight w:val="237"/>
        </w:trPr>
        <w:tc>
          <w:tcPr>
            <w:tcW w:w="6960" w:type="dxa"/>
            <w:vAlign w:val="bottom"/>
          </w:tcPr>
          <w:p>
            <w:pPr>
              <w:ind w:left="380"/>
              <w:spacing w:after="0"/>
              <w:rPr>
                <w:sz w:val="20"/>
                <w:szCs w:val="20"/>
                <w:color w:val="auto"/>
              </w:rPr>
            </w:pPr>
            <w:r>
              <w:rPr>
                <w:rFonts w:ascii="Arial" w:cs="Arial" w:eastAsia="Arial" w:hAnsi="Arial"/>
                <w:sz w:val="16"/>
                <w:szCs w:val="16"/>
                <w:color w:val="auto"/>
              </w:rPr>
              <w:t>Restructuring charges in continuing operations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9,547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14,202</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in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37"/>
        </w:trPr>
        <w:tc>
          <w:tcPr>
            <w:tcW w:w="6960" w:type="dxa"/>
            <w:vAlign w:val="bottom"/>
          </w:tcPr>
          <w:p>
            <w:pPr>
              <w:ind w:left="380"/>
              <w:spacing w:after="0"/>
              <w:rPr>
                <w:sz w:val="20"/>
                <w:szCs w:val="20"/>
                <w:color w:val="auto"/>
              </w:rPr>
            </w:pPr>
            <w:r>
              <w:rPr>
                <w:rFonts w:ascii="Arial" w:cs="Arial" w:eastAsia="Arial" w:hAnsi="Arial"/>
                <w:sz w:val="16"/>
                <w:szCs w:val="16"/>
                <w:color w:val="auto"/>
              </w:rPr>
              <w:t>Non-cash write-offs</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(21,314)</w:t>
            </w:r>
          </w:p>
        </w:tc>
      </w:tr>
      <w:tr>
        <w:trPr>
          <w:trHeight w:val="217"/>
        </w:trPr>
        <w:tc>
          <w:tcPr>
            <w:tcW w:w="6960" w:type="dxa"/>
            <w:vAlign w:val="bottom"/>
          </w:tcPr>
          <w:p>
            <w:pPr>
              <w:ind w:left="40"/>
              <w:spacing w:after="0"/>
              <w:rPr>
                <w:sz w:val="20"/>
                <w:szCs w:val="20"/>
                <w:color w:val="auto"/>
              </w:rPr>
            </w:pPr>
            <w:r>
              <w:rPr>
                <w:rFonts w:ascii="Arial" w:cs="Arial" w:eastAsia="Arial" w:hAnsi="Arial"/>
                <w:sz w:val="16"/>
                <w:szCs w:val="16"/>
                <w:color w:val="auto"/>
              </w:rPr>
              <w:t>Ending balance, April 30, 2014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5,094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7,077</w:t>
            </w:r>
          </w:p>
        </w:tc>
      </w:tr>
      <w:tr>
        <w:trPr>
          <w:trHeight w:val="33"/>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J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April 30, 2015 and July 31, 2014, the notional amount of outstanding forward exchange contracts was $76,083 and $104,000,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OCI and reclassified into earnings in the same period or periods during which the hedged transaction affects earnings. As of April 30, 2015 and 2014, unrealized gains of $813 and unrealized losses of $5 have been included in OCI, respectively. Balances are reclassified from OCI to earnings during the next twelve months when the hedged transactions impact earnings. For the three months ended April 30, 2015 and 2014, the Company reclassified gains of $457 and $43 from OCI into earnings, respectively. For the nine months ended April 30, 2015 and 2014, the Company reclassified gains of $552 and $135 from OCI into earnings. At April 30, 2015, the U.S. dollar equivalent of these outstanding forward foreign exchange contracts totaled $21,943, including contracts to sell Euros, Canadian Dollars, Australian Dollars, Mexican Pesos, and U.S. Dollars.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At April 30, 2015, the Company designated £25,036 of intercompany loans as net investment hedges to hedge portions of its net investment in British foreign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operations. The Company’s foreign denominated debt obligations are valued under a market approach using publicized spot prices.</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currency contracts designated as hedge instruments to hedge portions of the Company’s net investments in foreign operations. The net gains or losses attributable to changes in spot exchange rates are recorded in OCI. Recognition in earnings of amounts previously recorded in cumulative translation is limited to circumstances such as complete or substantially complete liquidation of the net investment in the hedged foreign operation. At April 30, 2015 and July 31, 2014, the U.S dollar equivalent of these outstanding forward foreign exchange contracts totaled $2,600 and $5,300, respectively. As of April 30, 2015 and 2014, the Company recognized OCI losses of $143 and $370, respectively, on its outstanding net investment hedges.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nine months ended April 30, 2015, the Company recognized losses of $667 and $1,287 respectively, in “Investment and other income” on the Condensed Consolidated Statements of Earnings related to non-designated hedges. For the three and nine months ended April 30, 2014, the Company recognized gains of $403 and gains of $2,268,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April 30, 2015</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2014</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9"/>
              </w:rPr>
              <w:t>April 30, 2015</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2014</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122,113</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100,410</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122,646</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100,424</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K — Discontinued Operations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it was divested on August 1, 2014. The operating results have been reported as discontinued operations for the three and nine month comparative periods ended April 30, 2015 and 2014.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operating results of discontinued operations for the three and nine months ended April 30, 2015 and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52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4"/>
              </w:rPr>
              <w:t>Nine months ended April 30,</w:t>
            </w:r>
          </w:p>
        </w:tc>
      </w:tr>
      <w:tr>
        <w:trPr>
          <w:trHeight w:val="33"/>
        </w:trPr>
        <w:tc>
          <w:tcPr>
            <w:tcW w:w="4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4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161,862</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w w:val="99"/>
              </w:rPr>
              <w:t>Earnings (loss) from operations of discontinued businesses</w:t>
            </w:r>
          </w:p>
        </w:tc>
        <w:tc>
          <w:tcPr>
            <w:tcW w:w="84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16,390</w:t>
            </w:r>
          </w:p>
        </w:tc>
      </w:tr>
      <w:tr>
        <w:trPr>
          <w:trHeight w:val="33"/>
        </w:trPr>
        <w:tc>
          <w:tcPr>
            <w:tcW w:w="4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Loss on sale of discontinued operations</w:t>
            </w:r>
          </w:p>
        </w:tc>
        <w:tc>
          <w:tcPr>
            <w:tcW w:w="84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on sale of discontinued operations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220" w:type="dxa"/>
            <w:vAlign w:val="bottom"/>
          </w:tcPr>
          <w:p>
            <w:pPr>
              <w:ind w:left="40"/>
              <w:spacing w:after="0"/>
              <w:rPr>
                <w:sz w:val="20"/>
                <w:szCs w:val="20"/>
                <w:color w:val="auto"/>
              </w:rPr>
            </w:pPr>
            <w:r>
              <w:rPr>
                <w:rFonts w:ascii="Arial" w:cs="Arial" w:eastAsia="Arial" w:hAnsi="Arial"/>
                <w:sz w:val="16"/>
                <w:szCs w:val="16"/>
                <w:color w:val="auto"/>
                <w:w w:val="92"/>
              </w:rPr>
              <w:t>Earnings (loss) from discontinued operations, net of income tax</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15,606</w:t>
            </w:r>
          </w:p>
        </w:tc>
      </w:tr>
      <w:tr>
        <w:trPr>
          <w:trHeight w:val="20"/>
        </w:trPr>
        <w:tc>
          <w:tcPr>
            <w:tcW w:w="4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assets or liabilities held for sale as of April 30, 2015. In accordance with authoritative literature, accumulated other comprehensive income of $34,697 was reclassified to the statement of earnings upon the closing of the second phase of the Die-Cut divestiture during the nine months ended April 30,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L — New Accounting Pronouncements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June 2014, the FASB issued ASU 2014-12, "Accounting for Share-Based Payments When the Terms of an Award Provide That a Performance Target Could be Achieved after the Requisite Service Period". The new guidance requires that a performance target that affects vesting and that could be achieved after the requisite service period be treated as a performance condition. The guidance also clarifies that the performance target should not be reflected in estimating the grant-date fair value of the award. This guidance is effective for interim and annual periods beginning after December 15, 2015, with early adoption permitted. The adoption of this update did not have a material impact on the financial statements of the Company.</w:t>
      </w:r>
    </w:p>
    <w:p>
      <w:pPr>
        <w:spacing w:after="0" w:line="11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May 2014, the FASB issued ASU 2014-09, "Revenue from Contracts with Customers", which eliminates the transaction-and industry-specific revenue recognition guidance under current GAAP and replaces it with a principle-based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 The guidance is effective for fiscal and interim periods beginning after December 15, 2016. In April 2015, the FASB proposed a one-year deferral of the effective date of the new revenue standard. Under the proposal, the standard would be effective for fiscal and interim periods beginning after December 15, 2017, with early adoption permitted. The Company is currently evaluating the impact of this update on its consolidated financial statements.</w:t>
      </w:r>
    </w:p>
    <w:p>
      <w:pPr>
        <w:spacing w:after="0" w:line="1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which includes amendments that change the requirements for reporting discontinued operations and requires additional disclosures about discontinued operations. Under the new guidance, only disposals representing a strategic shift in operations should be presented as discontinued operations. Those strategic shifts should have a major effect on the organization’s operations and financial results. Additionally, ASU 2014-08 requires expanded disclosures about discontinued operations that will provide financial statement users with more information about the assets, liabilities, income, expenses and cash flows of discontinued operations. The guidance is effective for fiscal and interim periods beginning after December 15, 2014. The adoption of this update did not have a material impact on the financial statements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M — Subsequent Events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20, 2015, the Board of Directors declared a quarterly cash dividend to shareholders of the Company’s Class A and Class B Common Stock of $0.20 per share payable on July 31, 2015, to shareholders of record at the close of business on July 10,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last two years, the Company made significant portfolio and management decisions designed to better position the Company for growth in the future. These changes were a meaningful shift from the more volatile and less profitable consumer electronics Die-Cut business, which was partially divested in fiscal 2014 and completed in the first quarter of fiscal 2015, to a focus on organic growth opportunities within our Identification Solutions (“ID Solutions" or "IDS”) business. In our Workplace Safety ("WPS") business, our strategy to return to growth includes a focus on workplace safety critical industries in addition to increased investment in e-commerce expertise.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Part I, Item 1, "Business," of the Company’s fiscal 2014 Form 10-K for additional information regarding fiscal 2014 activities impacting the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these changes in place, the Company is targeting the following key initiatives in fiscal 2015:</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Driving operational excellence and providing the Company's customers with innovative products and the highest level of customer service.</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R&amp;D to identify emerging technology opportunities that align with the Company's target markets and enhancing our innovation development process.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the Company's business primarily through focused sales and marketing efforts in selected vertical markets and an increased focus on strategic accounts.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the direct-marketing model in the WPS business by increasing its offering of identification and workplace safety products with a heightened focus on proprietary and customized product offerings and an increased emphasis on e-commerce.</w:t>
      </w: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Completing the consolidation of selected manufacturing facilities in the Americas and Europe to reduce the Company's cost structure, improve customer experience, and build a more efficient global footprint.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nine months ended April 30, 2015 and 2014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2"/>
              </w:rPr>
              <w:t>Three months ended April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91"/>
              </w:rPr>
              <w:t>Nine months ended April 30,</w:t>
            </w:r>
          </w:p>
        </w:tc>
        <w:tc>
          <w:tcPr>
            <w:tcW w:w="540" w:type="dxa"/>
            <w:vAlign w:val="bottom"/>
          </w:tcPr>
          <w:p>
            <w:pPr>
              <w:spacing w:after="0"/>
              <w:rPr>
                <w:sz w:val="18"/>
                <w:szCs w:val="18"/>
                <w:color w:val="auto"/>
              </w:rPr>
            </w:pPr>
          </w:p>
        </w:tc>
      </w:tr>
      <w:tr>
        <w:trPr>
          <w:trHeight w:val="33"/>
        </w:trPr>
        <w:tc>
          <w:tcPr>
            <w:tcW w:w="1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r>
      <w:tr>
        <w:trPr>
          <w:trHeight w:val="210"/>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w w:val="93"/>
              </w:rPr>
              <w:t>(Dollars in thousands)</w:t>
            </w:r>
          </w:p>
        </w:tc>
        <w:tc>
          <w:tcPr>
            <w:tcW w:w="16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Sales</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Sales</w:t>
            </w: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Sales</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1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Sales</w:t>
            </w:r>
          </w:p>
        </w:tc>
      </w:tr>
      <w:tr>
        <w:trPr>
          <w:trHeight w:val="33"/>
        </w:trPr>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290,227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309,577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883,095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908,301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140,999</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155,120</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429,363</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455,504</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33"/>
        </w:trPr>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8"/>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20"/>
        </w:trPr>
        <w:tc>
          <w:tcPr>
            <w:tcW w:w="1640" w:type="dxa"/>
            <w:vAlign w:val="bottom"/>
          </w:tcPr>
          <w:p>
            <w:pPr>
              <w:ind w:left="280"/>
              <w:spacing w:after="0"/>
              <w:rPr>
                <w:sz w:val="20"/>
                <w:szCs w:val="20"/>
                <w:color w:val="auto"/>
              </w:rPr>
            </w:pPr>
            <w:r>
              <w:rPr>
                <w:rFonts w:ascii="Arial" w:cs="Arial" w:eastAsia="Arial" w:hAnsi="Arial"/>
                <w:sz w:val="16"/>
                <w:szCs w:val="16"/>
                <w:color w:val="auto"/>
              </w:rPr>
              <w:t>Research and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6"/>
        </w:trPr>
        <w:tc>
          <w:tcPr>
            <w:tcW w:w="1640" w:type="dxa"/>
            <w:vAlign w:val="bottom"/>
          </w:tcPr>
          <w:p>
            <w:pPr>
              <w:ind w:left="40"/>
              <w:spacing w:after="0"/>
              <w:rPr>
                <w:sz w:val="20"/>
                <w:szCs w:val="20"/>
                <w:color w:val="auto"/>
              </w:rPr>
            </w:pPr>
            <w:r>
              <w:rPr>
                <w:rFonts w:ascii="Arial" w:cs="Arial" w:eastAsia="Arial" w:hAnsi="Arial"/>
                <w:sz w:val="16"/>
                <w:szCs w:val="16"/>
                <w:color w:val="auto"/>
              </w:rPr>
              <w:t>Development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8,928</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8,648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27,507</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25,675</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0"/>
        </w:trPr>
        <w:tc>
          <w:tcPr>
            <w:tcW w:w="16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Selling, General and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9"/>
        </w:trPr>
        <w:tc>
          <w:tcPr>
            <w:tcW w:w="1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102,952</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116,666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319,796</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340,825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20"/>
        </w:trPr>
        <w:tc>
          <w:tcPr>
            <w:tcW w:w="164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6"/>
        </w:trPr>
        <w:tc>
          <w:tcPr>
            <w:tcW w:w="1640" w:type="dxa"/>
            <w:vAlign w:val="bottom"/>
          </w:tcPr>
          <w:p>
            <w:pPr>
              <w:ind w:left="40"/>
              <w:spacing w:after="0"/>
              <w:rPr>
                <w:sz w:val="20"/>
                <w:szCs w:val="20"/>
                <w:color w:val="auto"/>
              </w:rPr>
            </w:pPr>
            <w:r>
              <w:rPr>
                <w:rFonts w:ascii="Arial" w:cs="Arial" w:eastAsia="Arial" w:hAnsi="Arial"/>
                <w:sz w:val="16"/>
                <w:szCs w:val="16"/>
                <w:color w:val="auto"/>
              </w:rPr>
              <w:t>charges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4,834</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3,039</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13,991</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14,202</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0"/>
        </w:trPr>
        <w:tc>
          <w:tcPr>
            <w:tcW w:w="1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9"/>
        </w:trPr>
        <w:tc>
          <w:tcPr>
            <w:tcW w:w="1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116,714</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128,353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361,294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380,702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17"/>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24,285</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26,767</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68,069</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74,802</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1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Sales for the three months ended April 30, 2015 decreased 6.3% to $290.2 million, compared to $309.6 million in the same period of the prior year, which consisted of organic sales growth of 1.7% and a negative currency impact of 8.0% due to the strengthening of the U.S. Dollar against other major currencies during the three-month period. Organic sales grew 3.0% in the IDS segment and declined 1.1% in the WPS segment.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for the nine months ended April 30, 2015 decreased 2.8% to $883.1 million, compared to $908.3 million in the same period of the prior year, which consisted of organic sales growth of 1.8% and a negative currency impact of 4.6%. Organic sales growth was 2.4% in the IDS segment and 0.6% in the WPS segment.</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Gross margin as a percentage of sales decreased to 48.6% for the three and nine months ended April 30, 2015, from 50.1% in the same periods of the prior year. The decline in gross margin was primarily due to increased costs related to facility consolidation activities in North America and South America, operating inefficiencies following the facility moves, and to a lesser extent, geographic product mix as Asia continues to be our region of greatest growth and in general has the lowest gross profit margins. Facility consolidations had less of an impact on gross profit margins in the quarter ended April 30, 2015, compared to the quarter ended January 31, 2015, as costs are beginning to subside as the facility consolidation actions near completion.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(“R&amp;D”) for the three months ended April 30, 2015 increased 3.2% to $8.9 million, compared to $8.6 million in the same period of the prior year, and increased 7.1% to $27.5 million for the nine months ended April 30, 2015, compared to $25.7 million for the same period in the prior year. As a percentage of sales for both the three and nine months ended April 30, 2015, R&amp;D expenses increased to 3.1% from 2.8% in the same periods of the prior year. The increase in R&amp;D expenses was due to our innovation development initiative and investment in emerging technologies such as RFID and sensing technologies.</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Selling, general and administrative expenses (“SG&amp;A”) decreased 11.8% to $103.0 million for the three months ended April 30, 2015 and 6.2% to $319.8 million for the nine months ended April 30, 2015, compared to $116.7 million and $340.8 million in the same periods of the prior year, respectively. The decline in the three-month period was primarily due to an amendment to our U.S.-based postretirement medical benefit plan resulting in a $4.3 million curtailment gain, and to a lesser extent, the strengthening of the U.S. dollar, reduced amortization expense and our continued focus on reducing non-customer facing selling, general and administrative expenses. The decline in the nine-month period was primarily due to the strengthening of the U.S. dollar, and to a lesser extent reduced amortization expense, an amendment to our U.S.-based postretirement medical benefit plan and our continued focus on reducing administrative expenses. In both the three and nine-month periods, these reductions were partially offset by increased investments in sales personnel within the IDS segment and increased spending within the WPS segment for both on-line advertising and traditional print advertising.</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fiscal 2014, the Company announced a restructuring plan to consolidate facilities in the Americas, Europe and Asia. The Company implemented this restructuring plan to enhance customer service, improve efficiency of operations and reduce operating expenses. Restructuring activities related to facility consolidation activities have continued through fiscal 2015 and are expected to be completed by the end of the fiscal year. However, the Company is experiencing operational inefficiencies and customer service disruptions which we expect to continue to be a challenge over the next several quarters. The Company expects to incur restructuring charges of approximately $15 to $17 million associated with these activities in fiscal 2015.</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this plan, the Company incurred restructuring charges of $4.8 million and $14.0 million during the three and nine months ended April 30, 2015, respectively, which consisted primarily of employee separation costs, facility closure costs, and contract termination costs. Of the $4.8 million of restructuring charges recognized during the three-month period ended April 30, 2015, $3.5 million was incurred within the IDS segment and $1.3 million was incurred within the WPS segment. Of the $14.0 million of restructuring charges recognized during the nine-month period ended April 30, 2015, $9.8 million was incurred within IDS and $4.1 million was incurred within WPS.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fiscal 2013, the Company announced a restructuring action to reduce its global workforce by approximately 5-7% in order to address its cost structure, which was expected to result in annual cost savings of $25 to $30 million. The Company realized annualized savings of approximately $25 million; however, investments in initiatives to drive sales growth and an extension of the timeframe of the restructuring actions into fiscal 2014 had an impact on the SG&amp;A line item within the Condensed Consolidated Statements of Earnings. During fiscal 2014, the Company invested an incremental $13 million in its e-commerce strategy as well as additional selling and R&amp;D resources. In addition, the restructuring activities announced in fiscal 2013 continued into fiscal 2014, which partially reduced the savings expected from the restructuring plan in fiscal 2014.</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Due to the incremental investment in the e-commerce initiative and the extension of the headcount reduction into fiscal 2014, this restructuring plan did not reduce overall SG&amp;A expenses in fiscal 2014 compared to fiscal 2013 as the e-commerce investments are also reported on the SG&amp;A line item within the Condensed Consolidated Statements of Earnings. In connection with the fiscal 2013 and fiscal 2014 plans, the Company incurred restructuring charges of $3.0 million and $14.2 million during the three and nine months ended April 30, 2014, respectively, which consisted primarily of employee separation costs and facility closure costs. Of the $3.0 million of restructuring charges recorded during the quarter, $1.1 million was incurred within the IDS segment and $1.9 million was incurred within the WPS segment. Of the $14.2 million of restructuring charges recorded for the nine months ended April 30, 2014, $7.6 million was incurred within IDS and $6.6 million was incurred within WPS.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Operating income was $24.3 million during the three months ended April 30, 2015; excluding restructuring charges of $4.8 million, operating income was $29.1 million. Operating income was $26.8 million for the three months ended April 30, 2014; excluding restructuring charges of $3.0 million, operating income was $29.8 million. The decrease of $0.7 million was primarily due to the decline in organic sales and profit in the WPS segment, facility consolidation costs incurred in both segments, as well as the negative impact of currency fluctuations during the three-month period.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was $68.1 million during the nine months ended April 30, 2015; excluding restructuring charges of $14.0 million, operating income was $82.1 million. Operating income was $74.8 million for the nine months ended April 30, 2014; excluding restructuring charges of $14.2 million, operating income was $89.0 million. The decrease of $6.9 million was primarily due to the segment profit declines in both the IDS and WPS segments, which are discussed in further detail within the Business Segment Operating Results section.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3360" w:type="dxa"/>
            <w:vAlign w:val="bottom"/>
            <w:gridSpan w:val="8"/>
          </w:tcPr>
          <w:p>
            <w:pPr>
              <w:ind w:left="600"/>
              <w:spacing w:after="0"/>
              <w:rPr>
                <w:sz w:val="20"/>
                <w:szCs w:val="20"/>
                <w:color w:val="auto"/>
              </w:rPr>
            </w:pPr>
            <w:r>
              <w:rPr>
                <w:rFonts w:ascii="Arial" w:cs="Arial" w:eastAsia="Arial" w:hAnsi="Arial"/>
                <w:sz w:val="16"/>
                <w:szCs w:val="16"/>
                <w:b w:val="1"/>
                <w:bCs w:val="1"/>
                <w:color w:val="auto"/>
              </w:rPr>
              <w:t>Three months ended April 30,</w:t>
            </w:r>
          </w:p>
        </w:tc>
        <w:tc>
          <w:tcPr>
            <w:tcW w:w="3260" w:type="dxa"/>
            <w:vAlign w:val="bottom"/>
            <w:gridSpan w:val="7"/>
          </w:tcPr>
          <w:p>
            <w:pPr>
              <w:jc w:val="right"/>
              <w:ind w:right="53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 Sales</w:t>
            </w:r>
          </w:p>
        </w:tc>
        <w:tc>
          <w:tcPr>
            <w:tcW w:w="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 Sales</w:t>
            </w: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$ 24,285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$ 26,767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$ 68,069</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$ 74,802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2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37"/>
        </w:trPr>
        <w:tc>
          <w:tcPr>
            <w:tcW w:w="25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(8,394)</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(10,777)</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income tax</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22,216</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60,643</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65,912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5,003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4,074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16,347</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17,077</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$ 17,213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$ 20,184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$ 44,296</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$ 48,835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20"/>
        </w:trPr>
        <w:tc>
          <w:tcPr>
            <w:tcW w:w="2580" w:type="dxa"/>
            <w:vAlign w:val="bottom"/>
          </w:tcPr>
          <w:p>
            <w:pPr>
              <w:ind w:left="40"/>
              <w:spacing w:after="0"/>
              <w:rPr>
                <w:sz w:val="20"/>
                <w:szCs w:val="20"/>
                <w:color w:val="auto"/>
              </w:rPr>
            </w:pPr>
            <w:r>
              <w:rPr>
                <w:rFonts w:ascii="Arial" w:cs="Arial" w:eastAsia="Arial" w:hAnsi="Arial"/>
                <w:sz w:val="16"/>
                <w:szCs w:val="16"/>
                <w:color w:val="auto"/>
              </w:rPr>
              <w:t>Earnings (loss) from discontinued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2580" w:type="dxa"/>
            <w:vAlign w:val="bottom"/>
          </w:tcPr>
          <w:p>
            <w:pPr>
              <w:ind w:left="40"/>
              <w:spacing w:after="0"/>
              <w:rPr>
                <w:sz w:val="20"/>
                <w:szCs w:val="20"/>
                <w:color w:val="auto"/>
              </w:rPr>
            </w:pPr>
            <w:r>
              <w:rPr>
                <w:rFonts w:ascii="Arial" w:cs="Arial" w:eastAsia="Arial" w:hAnsi="Arial"/>
                <w:sz w:val="16"/>
                <w:szCs w:val="16"/>
                <w:color w:val="auto"/>
              </w:rPr>
              <w:t>operations, net of income taxes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3,904</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15,606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$ 17,213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$ 24,088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$ 42,381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$ 64,441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0"/>
        </w:trPr>
        <w:tc>
          <w:tcPr>
            <w:tcW w:w="2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income decreased to $0.4 million from $0.9 million for the three months ended April 30, 2015, and decreased to $1.0 million from $1.9 million for the nine months ended April 30, 2015, compared to the same periods in the prior year. For both the three and nine-month periods, this decrease was primarily due to a reduction in interest income and a smaller gain recognized on securities held in executive deferred compensation plans in the current three and nine-month periods compared to the prior-year periods.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$2.5 million from $3.4 million for the three months ended April 30, 2015, and decreased to $8.4 million from $10.8 million for the nine months ended April 30, 2015, compared to the same periods in the prior year. For both the three and nine-month periods, the decrease was due to the Company’s declining principal balance under its outstanding long-term debt agreements.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income tax rate on continuing operations was 22.5% for the three months ended April 30, 2015, compared to 16.8% for the same period in the prior year, and it was 27.0% for the nine months ended April 30, 2015, compared to 25.9% for the same period in the prior year. The increase in the income tax rate for both the three and nine-month periods was due to a benefit that was recognized in the prior year from the release of tax reserves as a result of expired statutes of limitation, which reduced the prior year income tax rate. The tax rate is anticipated to be in the upper 20% range for fiscal year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Discontinued operations include the Asia Die-Cut and Balkhausen Die-Cut business ("Die-Cut"), of which a portion was divested in the fourth quarter of fiscal 2014 and the remainder was divested in the first quarter of fiscal 2015. The closing on the second and final phase was completed on August 1, 2014. The loss from discontinued operations net of income taxes was $1.9 million for the nine months ended April 30, 2015, compared to earnings from discontinued operations of $15.6 million for the same period in the prior year. The loss in the nine months ended April 30, 2015 consisted of a loss on operations of $1.5 million primarily related to professional fees associated with the divestiture and a $0.4 million loss on the sale of Die-Cut, recorded during the three months ended October 31, 2015. Refer to Note K, "Discontinued Operations" for further discussion regarding discontinued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organized and managed on a global basis within two business platforms: IDS and WPS, which are the reportable segments. Each business platform has a President that reports directly to the Company's chief operating decision maker, its Chief Executive Officer. Each platform has its own distinct operations, is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2015 and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5"/>
              </w:rPr>
              <w:t>Three months ended April 30,</w:t>
            </w:r>
          </w:p>
        </w:tc>
        <w:tc>
          <w:tcPr>
            <w:tcW w:w="200" w:type="dxa"/>
            <w:vAlign w:val="bottom"/>
          </w:tcPr>
          <w:p>
            <w:pPr>
              <w:spacing w:after="0"/>
              <w:rPr>
                <w:sz w:val="18"/>
                <w:szCs w:val="18"/>
                <w:color w:val="auto"/>
              </w:rPr>
            </w:pPr>
          </w:p>
        </w:tc>
        <w:tc>
          <w:tcPr>
            <w:tcW w:w="23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w w:val="95"/>
              </w:rPr>
              <w:t>Nine months ended April 30,</w:t>
            </w:r>
          </w:p>
        </w:tc>
      </w:tr>
      <w:tr>
        <w:trPr>
          <w:trHeight w:val="3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200,786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206,448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604,948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610,726</w:t>
            </w: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89,441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103,129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278,147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297,575</w:t>
            </w: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290,227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309,577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883,095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908,301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48985"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73"/>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73"/>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132,795</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12,292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14,771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40,607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47,813</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59,073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161,407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180,608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reconciliation of segment profit to earnings from continuing operations before income taxes for the three and nine months ended April 30, 2015 and 2014:</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5"/>
              </w:rPr>
              <w:t>Nine months ended April 30,</w:t>
            </w:r>
          </w:p>
        </w:tc>
      </w:tr>
      <w:tr>
        <w:trPr>
          <w:trHeight w:val="3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161,407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180,608</w:t>
            </w:r>
          </w:p>
        </w:tc>
      </w:tr>
      <w:tr>
        <w:trPr>
          <w:trHeight w:val="224"/>
        </w:trPr>
        <w:tc>
          <w:tcPr>
            <w:tcW w:w="40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(91,604)</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(14,202)</w:t>
            </w: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(10,777)</w:t>
            </w:r>
          </w:p>
        </w:tc>
      </w:tr>
      <w:tr>
        <w:trPr>
          <w:trHeight w:val="3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65,912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Approximately 70% of net sales in the IDS segment are generated in the Americas region, 20% in Europe and 10% in Asia. IDS sales decreased 2.7% to $200.8 million for the three months ended April 30, 2015, compared to $206.4 million for the same period in the prior year, which consisted of organic sales growth of 3.0% and a negative currency impact of 5.7%. IDS sales decreased 0.9% to $604.9 million for the nine months ended April 30, 2015, compared to $610.7 million for the same period in the prior year, which consisted of organic sales growth of 2.4% and a negative currency impact of 3.3%.</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Organic sales in the Americas grew in the low-single digits for the three and nine months ended April 30, 2015, compared to the same periods in the prior year. This growth was primarily within the U.S. and was driven by our continued focus on expanding the core Brady-brand businesses and an increased focus on key customers, industries and new products. Our areas of highest growth were in the global safety and facility identification product offerings, as well as in portable printer consumables, product identification and healthcare identification in the three and nine months ended April 30, 2015, compared to the same periods in the prior year. This growth was partially offset by organic sales declines in Brazil for the three and nine-month periods due to continued economic challenges.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Europe grew in the low-single digits for both the three and nine months ended April 30, 2015, compared to the same periods in the prior year. This increase was driven by Central Europe where we increased our salesforce and continue to expand in focused geographies. Economic growth softened slightly in Western Europe at the beginning of the third fiscal quarter; however, this geography contributed to organic sales growth in both the three and nine-month periods as we concluded the quarter.</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Asia grew in the mid-single digits for the three months and grew in the low-double digits for the nine months ended April 30, 2015, compared to the same periods in the prior year. Product identification sales continue to increase, primarily to our OEM customers in China as we expand production capacity and capabilities. The investment in our MRO growth strategies and the expansion of the MRO business in China also continues to positively impact sales.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Segment profit decreased to $41.6 million from $44.3 million for the three months, and decreased to $120.8 million from $132.8 million for the nine months ended April 30, 2015, compared to the same periods in the prior year. As a percentage of sales, segment profit decreased to 20.7% from 21.5% for the three months, and decreased to 20.0% from 21.7% for the nine months ended April 30, 2015, compared to the same periods in the prior year. The decrease in the nine-month period was primarily a result of increased costs associated with facility consolidation activities, such as duplicate labor and facilities expenses, as well as our geographic product mix, as Asia continues to be our region of greatest growth and generally has the lowest segment profit margins.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Within the IDS reportable segment there are three reporting units for purposes of the Company's annual goodwill impairment analysis: IDS Americas &amp; Europe, IDS APAC, and PeopleID. The PeopleID reporting unit had a goodwill balance of $93.2 million as of April 30, 2015, the majority of which consists of the Company's acquisition of Precision Dynamics Corporation ("PDC"). The PDC business primarily supplies identification-related products to healthcare providers, and these customers generate approximately 65% of the revenue in the PeopleID reporting unit. As a result, sales to these customers generally correspond with changes in U.S. hospital admission rates. The remaining 35% of the revenue within the PeopleID reporting unit is generated by the non-healthcare portion of the PDC business as well as the Company's existing PeopleID business, which supplies people identification-related products to a variety of customers and industries. As a result, sales to these customers generally correspond with changes in U.S. GDP growth. In addition to these two metrics, the Company considers multiple factors specific to the PeopleID reporting unit that have a reasonable possibility of changing, including (a) industry and market factors such as competition and changes in the market for the reporting unit's products, (b) new product development, (c) competing technologies, (d) overall</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performance such as cash flows, actual and planned revenue and profitability, and (e) changes in the strategy of the reporting unit. Management evaluates these factors for potential triggering events in accordance with ASC 350, and there were no adverse indications that would require management to conduct an interim test for impairment.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Approximately 50% of net sales in the WPS segment are generated in Europe, 35% in the Americas and 15% in Australia. WPS sales decreased 13.3% to $89.4 million for the three months ended April 30, 2015, compared to $103.1 million for the same period in the prior year, which consisted of an organic sales decline of 1.1% and a negative currency impact of 12.2%. WPS sales decreased 6.5% to $278.1 million for the nine months ended April 30, 2015, compared to $297.6 million for the same period in the prior year, which consisted of organic sales growth of 0.6% and a negative currency impact of 7.1%. Because approximately half of the WPS business is located in Western Europe, the strengthening of the U.S. dollar against the Euro had a larger impact on the WPS segment than it did on the IDS segment.</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Americas declined in the low-single digits for both the three and nine months ended April 30, 2015, compared to the same periods in the prior year. The decrease in the three-month period was due to reduced end-user demand in the industrial marketplace. Sales through the digital channel increased in the nine-month period; however, sales through traditional catalog channels decreased and resulted in the decline compared to the same period in the prior year.</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Europe grew in the low-single digits for the three and nine months ended April 30, 2015, compared to the same periods in the prior year. The growth in both the three and nine month periods was driven primarily by Germany and France despite a slight economic slowdown in Western Europe, due to improvements in website functionality, key account management and pricing efforts.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Australia declined in the mid-single digits for the three and nine months ended April 30, 2015, as compared to the same periods of the prior year. Our business in Australia is diversified in many industries, however, it has a higher concentration in industries that are experiencing economic challenges, including manufacturing, non-residential construction, and mining.</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profit decreased to $12.3 million from $14.8 million for the three months, and decreased to $40.6 million from $47.8 million for the nine months ended April 30, 2015, compared to the same periods in the prior year. As a percentage of sales, segment profit decreased to 13.7% from 14.3% for the three months, and decreased to 14.6% from 16.1% for the nine months ended April 30, 2015, compared to the same periods in the prior year. The decrease in segment profit in both the three and nine-month periods was mainly driven by increased spending for both on-line and traditional print advertising due to the timing of catalog mailings, investments in e-commerce capabilities and the increased costs associated with facility consolidation activities in the U.S., such as duplicate labor and facilities expenses.</w:t>
      </w:r>
    </w:p>
    <w:p>
      <w:pPr>
        <w:spacing w:after="0" w:line="19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Within the WPS reportable segment there are three reporting units for purposes of the Company's annual goodwill impairment analysis: WPS Americas, WPS Europe and WPS APAC. The WPS APAC reporting unit consists entirely of Australia and had a goodwill balance of $28.3 million as of April 30, 2015. As stated above, the WPS APAC reporting unit has experienced a decline in organic sales due to economic challenges in key industries including manufacturing, non-residential construction and mining. Management is addressing this through a focused effort on growing the customer base, investments in digital capabilities and increased catalog advertising, and we anticipate returning to annual sales growth over the next several years. The annual goodwill impairment analysis performed as of May 1, 2014 for the WPS APAC reporting unit resulted in a significant fair value excess over carrying value, which the Company considers to be at 20% or greater. If the Company does not realize a sufficient return on its strategic investment, the reporting unit could face the risk of a material goodwill impairment charge, which may adversely affect earnings in the period in which the charge is recorded. Management considers multiple factors in order to conclude upon the fair value of the reporting unit, including (a) macroeconomic conditions, (b) industry and market factors such as competition and changes in the market for the reporting unit's products, (c) overall financial performance such as cash flows, actual and planned revenue, and profitability, and (d) changes in the strategy for the reporting unit. Management evaluates these factors for potential triggering events in accordance with ASC 350, and there were no adverse indications that would require management to conduct an interim test for impairment.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Cash and cash equivalents increased by $18.6 million and decreased by $12.3 million during the nine months ended April 30,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7"/>
              </w:rPr>
              <w:t>Nine months ended April 30,</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33"/>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52,740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75,840</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(30,455)</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(61,626)</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3,898</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18,634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(12,343)</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provided by operating activities decreased $23.1 million to $52.7 million for the nine months ended April 30, 2015, compared to $75.8 million in the same period of the prior year. The prior year results included discontinued operations, which generated approximately $11 million in cash from operating activities. Therefore, the decline in cash flow from operating activities from continuing operations was approximately $12 million, which primarily consisted of a decrease in earnings from continuing operations of $3.0 million and an increase in cash paid for income taxes of $6.7 million.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investing activities was $13.5 million for the nine months ended April 30, 2015, compared to $30.5 million in the same period of the prior year. The decrease in cash used in investing activities of $17.0 million was primarily due to net cash received of $6.1 million from the Die-Cut divestiture during the nine months ended April 30, 2015. Additionally, certain assets were sold in connection with the facility consolidation project, and capital expenditures were reduced by $6.3 million as the project is nearly complete, both of which reduced cash used in investing activities compared to the prior year.</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financing activities was $10.8 million for the nine months ended April 30, 2015, compared to $61.6 million in the same period of the prior year. The decrease in cash used in financing activities of $50.8 million was primarily due to increased net borrowings of $39.9 million on the revolving loan agreement and lines of credit during the nine months ended April 30, 2015. In addition, there were no share purchases in the current period compared to cash used of $23.3 million on share purchases in the prior year, and proceeds from stock option exercises were reduced by $9.3 million in the current period compared to the prior year.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Currency had a negative impact on cash of $9.8 million during the nine months ended April 30, 2015 due to the strengthening of the U.S. Dollar against other major currencies.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fiscal 2006 and 2007, the Company completed two private placement note issuances totaling $350 million in ten-year fixed rate notes with varying maturity dates to institutional investors at interest rates varying from 5.30% to 5.33%. The notes must be repaid equally over seven years, with final payments due in 2016 and 2017, with interest payable on the notes due semiannually on various dates throughout the year. The notes have certain prepayment penalties for repaying them prior to the maturity date.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The notes have certain prepayment penalties for repaying them prior to maturity.</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February 1, 2012, the Company and certain of its subsidiaries entered into an unsecured $300 million multi-currency revolving loan agreement.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to $450 million. During the nine months ended April 30, 2015, the Company drew down an additional $72.0 million in order to fund general corporate needs. During the period ended April 30, 2015, the maximum amount outstanding on the revolving loan agreement was $124.0 million. As of April 30, 2015, the outstanding balance on the credit facility was $114.0 million. The Company also had letters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credit outstanding under the loan agreement of $4.5 million as of April 30, 2015 and there was $181.5 million available for future borrowing, which can be increased to $331.5 million at the Company's option, subject to certain conditions.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February 2013, the Company entered into an unsecured $26.2 million multi-currency line of credit in China, which was amended in November 2013 to $24.2 million and further amended in February 2015 to $10.0 million. In August 2014, the Company entered into an additional unsecured $10.0 million multi-currency line of credit in China, but did not borrow on this facility until January 2015. These lines of credit support USD-denominated or CNY-denominated borrowing to fund working capital and operations for the Company's Chinese entities and are due on demand. The borrowings under these facilities may be made for a period up to one year from the date of borrowing with interest on the USD-denominated borrowings incurred equal to U.S. Dollar LIBOR on the date of borrowing plus a margin and on the CNY-denominated borrowings incurred equal to the local China rate based upon duration. The facilities are subject to periodic review and repricing. The Company is not required to comply with any financial covenants as part of the agreements. During the nine months ended April 30, 2015, the Company drew $6.4 million USD equivalent to fund working capital needs. As of April 30, 2015, the outstanding balance was $12.0 million USD equivalent of borrowings and there was $8.0 million available for future borrowing under these credit facilities.</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private placement notes and revolving loan agreement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April 30, 2015, the Company was in compliance with these financial covenants, with the ratio of debt to EBITDA, as defined by the agreements, equal to 1.8 to 1.0 and the interest expense coverage ratio equal to 13.0 to 1.0.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paid dividends of $30.7 million and $30.5 million in the nine months ended April 30, 2015 and 2014, respectively.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April 30, 2015, approximately 93%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common stock repurchases, scheduled debt repayments, and dividend payments for the next twelve months.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20, 2015, the Board of Directors declared a quarterly cash dividend to shareholders of the Company’s Class A and Class B Common Stock of $0.20 per share payable on July 31, 2015, to shareholders of record at the close of business on July 10,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the healthcare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ownership structure;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divestitures and businesses held for sale;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in our level of debt;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29, 2014.</w:t>
      </w:r>
    </w:p>
    <w:p>
      <w:pPr>
        <w:spacing w:after="0" w:line="1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2014. There has been no material change in this information since July 31,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&amp; Chief Executive Officer and Senior Vice President and Chief Financial Officer concluded that the Company’s disclosure controls and procedures are effective as of the end of the period covered by this report.</w:t>
      </w:r>
    </w:p>
    <w:p>
      <w:pPr>
        <w:spacing w:after="0" w:line="1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600" w:hanging="566"/>
        <w:spacing w:after="0" w:line="277" w:lineRule="auto"/>
        <w:tabs>
          <w:tab w:leader="none" w:pos="580" w:val="left"/>
        </w:tabs>
        <w:rPr>
          <w:sz w:val="20"/>
          <w:szCs w:val="20"/>
          <w:color w:val="auto"/>
        </w:rPr>
      </w:pPr>
      <w:r>
        <w:rPr>
          <w:rFonts w:ascii="Arial" w:cs="Arial" w:eastAsia="Arial" w:hAnsi="Arial"/>
          <w:sz w:val="18"/>
          <w:szCs w:val="18"/>
          <w:color w:val="auto"/>
        </w:rPr>
        <w:t>10.1</w:t>
        <w:tab/>
        <w:t>Consolidated Amendment to Complete and Permanent Release and Retirement Agreement, dated as of May 21, 2015, with Matthew Williamson (reflects immaterial changes)</w:t>
      </w:r>
    </w:p>
    <w:p>
      <w:pPr>
        <w:spacing w:after="0" w:line="33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240" w:top="121" w:right="6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100" w:type="dxa"/>
            <w:vAlign w:val="bottom"/>
            <w:gridSpan w:val="2"/>
          </w:tcPr>
          <w:p>
            <w:pPr>
              <w:jc w:val="center"/>
              <w:ind w:right="3230"/>
              <w:spacing w:after="0"/>
              <w:rPr>
                <w:sz w:val="20"/>
                <w:szCs w:val="20"/>
                <w:color w:val="auto"/>
              </w:rPr>
            </w:pPr>
            <w:r>
              <w:rPr>
                <w:rFonts w:ascii="Arial" w:cs="Arial" w:eastAsia="Arial" w:hAnsi="Arial"/>
                <w:sz w:val="18"/>
                <w:szCs w:val="18"/>
                <w:color w:val="auto"/>
                <w:w w:val="93"/>
              </w:rPr>
              <w:t>SIGNATURES</w:t>
            </w:r>
          </w:p>
        </w:tc>
      </w:tr>
      <w:tr>
        <w:trPr>
          <w:trHeight w:val="378"/>
        </w:trPr>
        <w:tc>
          <w:tcPr>
            <w:tcW w:w="3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280" w:type="dxa"/>
            <w:vAlign w:val="bottom"/>
          </w:tcPr>
          <w:p>
            <w:pPr>
              <w:spacing w:after="0"/>
              <w:rPr>
                <w:sz w:val="20"/>
                <w:szCs w:val="20"/>
                <w:color w:val="auto"/>
              </w:rPr>
            </w:pPr>
            <w:r>
              <w:rPr>
                <w:rFonts w:ascii="Arial" w:cs="Arial" w:eastAsia="Arial" w:hAnsi="Arial"/>
                <w:sz w:val="18"/>
                <w:szCs w:val="18"/>
                <w:color w:val="auto"/>
              </w:rPr>
              <w:t>Date: May 27, 2015</w:t>
            </w: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280" w:type="dxa"/>
            <w:vAlign w:val="bottom"/>
          </w:tcPr>
          <w:p>
            <w:pPr>
              <w:spacing w:after="0"/>
              <w:rPr>
                <w:sz w:val="20"/>
                <w:szCs w:val="20"/>
                <w:color w:val="auto"/>
              </w:rPr>
            </w:pPr>
            <w:r>
              <w:rPr>
                <w:rFonts w:ascii="Arial" w:cs="Arial" w:eastAsia="Arial" w:hAnsi="Arial"/>
                <w:sz w:val="18"/>
                <w:szCs w:val="18"/>
                <w:color w:val="auto"/>
              </w:rPr>
              <w:t>Date: May 27, 2015</w:t>
            </w: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w w:val="97"/>
              </w:rPr>
              <w:t>Senior Vice President and Chief Financial Officer</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280" w:type="dxa"/>
            <w:vAlign w:val="bottom"/>
          </w:tcPr>
          <w:p>
            <w:pPr>
              <w:spacing w:after="0"/>
              <w:rPr>
                <w:sz w:val="24"/>
                <w:szCs w:val="24"/>
                <w:color w:val="auto"/>
              </w:rPr>
            </w:pPr>
          </w:p>
        </w:tc>
        <w:tc>
          <w:tcPr>
            <w:tcW w:w="4000" w:type="dxa"/>
            <w:vAlign w:val="bottom"/>
          </w:tcPr>
          <w:p>
            <w:pPr>
              <w:jc w:val="right"/>
              <w:ind w:right="1430"/>
              <w:spacing w:after="0"/>
              <w:rPr>
                <w:sz w:val="20"/>
                <w:szCs w:val="20"/>
                <w:color w:val="auto"/>
              </w:rPr>
            </w:pPr>
            <w:r>
              <w:rPr>
                <w:rFonts w:ascii="Arial" w:cs="Arial" w:eastAsia="Arial" w:hAnsi="Arial"/>
                <w:sz w:val="18"/>
                <w:szCs w:val="18"/>
                <w:color w:val="auto"/>
              </w:rPr>
              <w:t>31</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AMENDMENT TO COMPLETE AND PERMANENT RELEASE AND RETIREMENT AGREEMENT</w:t>
      </w:r>
    </w:p>
    <w:p>
      <w:pPr>
        <w:spacing w:after="0" w:line="229"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Effective on this 21st day of May, 2015 (the “Amendment Date”), Matthew Williamson (“Mr. Williamson” or “You”) and Brady Corporation (the “Company”) hereby enter into this Consolidated Amendment To Complete and Permanent Release and Retirement Agreement (the “Amendment”).</w:t>
      </w:r>
    </w:p>
    <w:p>
      <w:pPr>
        <w:spacing w:after="0" w:line="124" w:lineRule="exact"/>
        <w:rPr>
          <w:sz w:val="20"/>
          <w:szCs w:val="20"/>
          <w:color w:val="auto"/>
        </w:rPr>
      </w:pPr>
    </w:p>
    <w:p>
      <w:pPr>
        <w:ind w:right="900" w:firstLine="486"/>
        <w:spacing w:after="0" w:line="277" w:lineRule="auto"/>
        <w:rPr>
          <w:sz w:val="20"/>
          <w:szCs w:val="20"/>
          <w:color w:val="auto"/>
        </w:rPr>
      </w:pPr>
      <w:r>
        <w:rPr>
          <w:rFonts w:ascii="Arial" w:cs="Arial" w:eastAsia="Arial" w:hAnsi="Arial"/>
          <w:sz w:val="18"/>
          <w:szCs w:val="18"/>
          <w:color w:val="auto"/>
        </w:rPr>
        <w:t>WHEREAS, Mr. Williamson and the Company entered into the Complete and Permanent Release and Retirement Agreement (“Retirement Agreement”) effective February 9, 2015 regarding Mr. Williamson’s retirement from the Company;</w:t>
      </w:r>
    </w:p>
    <w:p>
      <w:pPr>
        <w:spacing w:after="0" w:line="170"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WHEREAS, Mr. Williamson and the Company entered into Amendment No. 1 to Complete and Permanent Release and Retirement Agreement effective April 13, 2015 (“Amendment 1”); and</w:t>
      </w:r>
    </w:p>
    <w:p>
      <w:pPr>
        <w:spacing w:after="0" w:line="1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WHEREAS, Mr. Williamson and the Company desire to further amend the Retirement Agreement, and to revoke Amendment 1 and restate its terms in this Amendment.</w:t>
      </w:r>
    </w:p>
    <w:p>
      <w:pPr>
        <w:spacing w:after="0" w:line="17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NOW, THEREFORE, in consideration of the premises set forth above and other good and valuable consideration, the receipt and sufficiency of which are hereby acknowledged, Mr. Williamson and the Company hereby agree as follows:</w:t>
      </w:r>
    </w:p>
    <w:p>
      <w:pPr>
        <w:spacing w:after="0" w:line="17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Capitalized terms used and not defined in this Amendment have the respective meanings assigned to them in the Retirement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 1 is hereby revoked and superseded in its entirety by this Amendment.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second sentence of Paragraph 1 of the Retirement Agreement is deleted in its entirety and replaced with the following:</w:t>
      </w:r>
    </w:p>
    <w:p>
      <w:pPr>
        <w:spacing w:after="0" w:line="225" w:lineRule="exact"/>
        <w:rPr>
          <w:sz w:val="20"/>
          <w:szCs w:val="20"/>
          <w:color w:val="auto"/>
        </w:rPr>
      </w:pPr>
    </w:p>
    <w:p>
      <w:pPr>
        <w:ind w:left="340" w:right="240" w:firstLine="324"/>
        <w:spacing w:after="0" w:line="277" w:lineRule="auto"/>
        <w:rPr>
          <w:sz w:val="20"/>
          <w:szCs w:val="20"/>
          <w:color w:val="auto"/>
        </w:rPr>
      </w:pPr>
      <w:r>
        <w:rPr>
          <w:rFonts w:ascii="Arial" w:cs="Arial" w:eastAsia="Arial" w:hAnsi="Arial"/>
          <w:sz w:val="18"/>
          <w:szCs w:val="18"/>
          <w:color w:val="auto"/>
        </w:rPr>
        <w:t>“From the Effective Date to July 31, 2015 (the “Separation Date”), Mr. Williamson will remain employed by the Company and receive his current salary and fringe benefits.”</w:t>
      </w:r>
    </w:p>
    <w:p>
      <w:pPr>
        <w:spacing w:after="0" w:line="17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second paragraph of Section 3 of the Retirement Agreement is deleted in its entirety and replaced with the following:</w:t>
      </w:r>
    </w:p>
    <w:p>
      <w:pPr>
        <w:spacing w:after="0" w:line="225" w:lineRule="exact"/>
        <w:rPr>
          <w:sz w:val="20"/>
          <w:szCs w:val="20"/>
          <w:color w:val="auto"/>
        </w:rPr>
      </w:pPr>
    </w:p>
    <w:p>
      <w:pPr>
        <w:ind w:left="340" w:right="20" w:firstLine="486"/>
        <w:spacing w:after="0" w:line="293" w:lineRule="auto"/>
        <w:rPr>
          <w:sz w:val="20"/>
          <w:szCs w:val="20"/>
          <w:color w:val="auto"/>
        </w:rPr>
      </w:pPr>
      <w:r>
        <w:rPr>
          <w:rFonts w:ascii="Arial" w:cs="Arial" w:eastAsia="Arial" w:hAnsi="Arial"/>
          <w:sz w:val="16"/>
          <w:szCs w:val="16"/>
          <w:color w:val="auto"/>
        </w:rPr>
        <w:t>“Mr. Williamson will also be provided the option of: (i) selecting retiree health insurance benefits or healthcare benefits under COBRA in accordance with the Company’s healthcare plans and applicable law, provided that if Mr. Williamson selects COBRA benefits, the first six (6) months of COBRA benefits will be at active employee rates and the remaining period of COBRA benefits will be at regular COBRA rates; (ii) retaining his cell phone fully wiped of all Company-related data and information; (iii) purchasing his Company vehicle for 80% of its book value as of the Effective Date ( such purchase price to reflect consideration of any funds paid by Mr. Williamson toward the Company’s initial purchase of the vehicle in a manner consistent with the Company’s policies and practices); and (iv) selecting outplacement services chosen by the Company or the payment of $7,500.”</w:t>
      </w:r>
    </w:p>
    <w:p>
      <w:pPr>
        <w:spacing w:after="0" w:line="165" w:lineRule="exact"/>
        <w:rPr>
          <w:sz w:val="20"/>
          <w:szCs w:val="20"/>
          <w:color w:val="auto"/>
        </w:rPr>
      </w:pPr>
    </w:p>
    <w:p>
      <w:pPr>
        <w:ind w:left="340" w:hanging="332"/>
        <w:spacing w:after="0" w:line="25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Amendment is effective as of the Amendment Date. Except as expressly provided in this Amendment, all of the terms and provisions of the Retirement Agreement are and will remain in full force and effect. Without limiting the generality of the foregoing, the amendments contained herein will not be construed as amendments to or waiver of any other provisions of the Retirement Agreement. On and after the Effective Date, each reference in the Retirement Agreement to "this Agreement," "the Agreement," "hereunder," "hereof," "herein" or words of like import will mean and be a reference to the Retirement Agreement as amended by this Amendment.</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Amendment is governed by, and construed in accordance with, the laws of the State of Wisconsin, without regard to its conflict of law provisions.</w:t>
      </w:r>
    </w:p>
    <w:p>
      <w:pPr>
        <w:spacing w:after="0" w:line="248" w:lineRule="exact"/>
        <w:rPr>
          <w:rFonts w:ascii="Arial" w:cs="Arial" w:eastAsia="Arial" w:hAnsi="Arial"/>
          <w:sz w:val="16"/>
          <w:szCs w:val="16"/>
          <w:color w:val="auto"/>
        </w:rPr>
      </w:pPr>
    </w:p>
    <w:p>
      <w:pPr>
        <w:ind w:left="340" w:right="8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Amendment constitutes the sole and entire agreement of Mr. Williamson and the Company with respect to the subject matter contained herein, and supersedes all prior and contemporaneous understandings, agreements, representations and warranties, both written and oral, with respect to such subject matter.</w:t>
      </w:r>
    </w:p>
    <w:p>
      <w:pPr>
        <w:sectPr>
          <w:pgSz w:w="11900" w:h="16838" w:orient="portrait"/>
          <w:cols w:equalWidth="0" w:num="1">
            <w:col w:w="11420"/>
          </w:cols>
          <w:pgMar w:left="240" w:top="58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Date: May 21, 2015</w:t>
            </w:r>
          </w:p>
        </w:tc>
        <w:tc>
          <w:tcPr>
            <w:tcW w:w="4960" w:type="dxa"/>
            <w:vAlign w:val="bottom"/>
          </w:tcPr>
          <w:p>
            <w:pPr>
              <w:ind w:left="20"/>
              <w:spacing w:after="0"/>
              <w:rPr>
                <w:sz w:val="20"/>
                <w:szCs w:val="20"/>
                <w:color w:val="auto"/>
              </w:rPr>
            </w:pPr>
            <w:r>
              <w:rPr>
                <w:rFonts w:ascii="Arial" w:cs="Arial" w:eastAsia="Arial" w:hAnsi="Arial"/>
                <w:sz w:val="18"/>
                <w:szCs w:val="18"/>
                <w:color w:val="auto"/>
              </w:rPr>
              <w:t>/s/ MATTHEW WILLIAMSON</w:t>
            </w:r>
          </w:p>
        </w:tc>
      </w:tr>
      <w:tr>
        <w:trPr>
          <w:trHeight w:val="27"/>
        </w:trPr>
        <w:tc>
          <w:tcPr>
            <w:tcW w:w="60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Matthew Williamson</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Brady Corporation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31750</wp:posOffset>
            </wp:positionV>
            <wp:extent cx="31470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Authorized Representative</w:t>
      </w:r>
    </w:p>
    <w:p>
      <w:pPr>
        <w:sectPr>
          <w:pgSz w:w="11900" w:h="16838" w:orient="portrait"/>
          <w:cols w:equalWidth="0" w:num="1">
            <w:col w:w="11000"/>
          </w:cols>
          <w:pgMar w:left="480" w:top="1084" w:right="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27,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27,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27,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27,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2019-12-29T16:59:50Z</dcterms:created>
  <dcterms:modified xsi:type="dcterms:W3CDTF">2019-12-29T16:59:50Z</dcterms:modified>
</cp:coreProperties>
</file>