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31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317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Shaller Russell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6555 W. GOOD HOPE 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BRADY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BRC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10/02/2025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65"/>
        <w:spacing w:after="0"/>
        <w:rPr>
          <w:sz w:val="20"/>
          <w:szCs w:val="20"/>
          <w:color w:val="auto"/>
        </w:rPr>
      </w:pPr>
      <w:r>
        <w:rPr>
          <w:rFonts w:ascii="Times New Roman" w:cs="Times New Roman" w:eastAsia="Times New Roman" w:hAnsi="Times New Roman"/>
          <w:sz w:val="17"/>
          <w:szCs w:val="17"/>
          <w:color w:val="0000FF"/>
        </w:rPr>
        <w:t>President &amp; CEO</w:t>
      </w:r>
    </w:p>
    <w:p>
      <w:pPr>
        <w:spacing w:after="0" w:line="279"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29"/>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840" w:type="dxa"/>
            <w:vAlign w:val="bottom"/>
            <w:shd w:val="clear" w:color="auto" w:fill="9A9A9A"/>
          </w:tcPr>
          <w:p>
            <w:pPr>
              <w:spacing w:after="0"/>
              <w:rPr>
                <w:sz w:val="2"/>
                <w:szCs w:val="2"/>
                <w:color w:val="auto"/>
              </w:rPr>
            </w:pPr>
          </w:p>
        </w:tc>
        <w:tc>
          <w:tcPr>
            <w:tcW w:w="840" w:type="dxa"/>
            <w:vAlign w:val="bottom"/>
            <w:shd w:val="clear" w:color="auto" w:fill="9A9A9A"/>
          </w:tcPr>
          <w:p>
            <w:pPr>
              <w:spacing w:after="0"/>
              <w:rPr>
                <w:sz w:val="2"/>
                <w:szCs w:val="2"/>
                <w:color w:val="auto"/>
              </w:rPr>
            </w:pPr>
          </w:p>
        </w:tc>
        <w:tc>
          <w:tcPr>
            <w:tcW w:w="1340" w:type="dxa"/>
            <w:vAlign w:val="bottom"/>
            <w:shd w:val="clear" w:color="auto" w:fill="9A9A9A"/>
          </w:tcPr>
          <w:p>
            <w:pPr>
              <w:spacing w:after="0"/>
              <w:rPr>
                <w:sz w:val="2"/>
                <w:szCs w:val="2"/>
                <w:color w:val="auto"/>
              </w:rPr>
            </w:pPr>
          </w:p>
        </w:tc>
        <w:tc>
          <w:tcPr>
            <w:tcW w:w="20" w:type="dxa"/>
            <w:vAlign w:val="bottom"/>
            <w:vMerge w:val="restart"/>
          </w:tcPr>
          <w:p>
            <w:pPr>
              <w:spacing w:after="0"/>
              <w:rPr>
                <w:sz w:val="2"/>
                <w:szCs w:val="2"/>
                <w:color w:val="auto"/>
              </w:rPr>
            </w:pPr>
          </w:p>
        </w:tc>
        <w:tc>
          <w:tcPr>
            <w:tcW w:w="354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2"/>
                <w:szCs w:val="2"/>
                <w:color w:val="auto"/>
              </w:rPr>
            </w:pPr>
          </w:p>
        </w:tc>
        <w:tc>
          <w:tcPr>
            <w:tcW w:w="3540" w:type="dxa"/>
            <w:vAlign w:val="bottom"/>
            <w:gridSpan w:val="9"/>
            <w:vMerge w:val="restart"/>
          </w:tcPr>
          <w:p>
            <w:pPr>
              <w:ind w:left="2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vMerge w:val="continue"/>
          </w:tcPr>
          <w:p>
            <w:pPr>
              <w:spacing w:after="0"/>
              <w:rPr>
                <w:sz w:val="10"/>
                <w:szCs w:val="10"/>
                <w:color w:val="auto"/>
              </w:rPr>
            </w:pPr>
          </w:p>
        </w:tc>
        <w:tc>
          <w:tcPr>
            <w:tcW w:w="3540" w:type="dxa"/>
            <w:vAlign w:val="bottom"/>
            <w:gridSpan w:val="6"/>
            <w:vMerge w:val="continue"/>
          </w:tcPr>
          <w:p>
            <w:pPr>
              <w:spacing w:after="0"/>
              <w:rPr>
                <w:sz w:val="10"/>
                <w:szCs w:val="10"/>
                <w:color w:val="auto"/>
              </w:rPr>
            </w:pPr>
          </w:p>
        </w:tc>
        <w:tc>
          <w:tcPr>
            <w:tcW w:w="220" w:type="dxa"/>
            <w:vAlign w:val="bottom"/>
          </w:tcPr>
          <w:p>
            <w:pPr>
              <w:spacing w:after="0"/>
              <w:rPr>
                <w:sz w:val="10"/>
                <w:szCs w:val="10"/>
                <w:color w:val="auto"/>
              </w:rPr>
            </w:pPr>
          </w:p>
        </w:tc>
        <w:tc>
          <w:tcPr>
            <w:tcW w:w="354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8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gridSpan w:val="3"/>
          </w:tcPr>
          <w:p>
            <w:pPr>
              <w:ind w:left="20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MILWAUKEE  WI</w:t>
            </w:r>
          </w:p>
        </w:tc>
        <w:tc>
          <w:tcPr>
            <w:tcW w:w="840" w:type="dxa"/>
            <w:vAlign w:val="bottom"/>
          </w:tcPr>
          <w:p>
            <w:pPr>
              <w:spacing w:after="0"/>
              <w:rPr>
                <w:sz w:val="19"/>
                <w:szCs w:val="19"/>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53223</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tcBorders>
              <w:top w:val="single" w:sz="8" w:color="EEEEEE"/>
            </w:tcBorders>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tcBorders>
              <w:top w:val="single" w:sz="8" w:color="EEEEEE"/>
            </w:tcBorders>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168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5"/>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0" w:type="dxa"/>
            <w:vAlign w:val="bottom"/>
            <w:gridSpan w:val="3"/>
          </w:tcPr>
          <w:p>
            <w:pPr>
              <w:ind w:left="7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10/02/2025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33,584</w:t>
            </w:r>
            <w:r>
              <w:rPr>
                <w:rFonts w:ascii="Times New Roman" w:cs="Times New Roman" w:eastAsia="Times New Roman" w:hAnsi="Times New Roman"/>
                <w:sz w:val="22"/>
                <w:szCs w:val="22"/>
                <w:color w:val="008000"/>
                <w:vertAlign w:val="superscript"/>
              </w:rPr>
              <w:t>(1)</w:t>
            </w:r>
          </w:p>
        </w:tc>
        <w:tc>
          <w:tcPr>
            <w:tcW w:w="4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7"/>
              </w:rPr>
              <w:t>A</w:t>
            </w:r>
          </w:p>
        </w:tc>
        <w:tc>
          <w:tcPr>
            <w:tcW w:w="2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168,664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10/02/2025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10,114</w:t>
            </w:r>
            <w:r>
              <w:rPr>
                <w:rFonts w:ascii="Times New Roman" w:cs="Times New Roman" w:eastAsia="Times New Roman" w:hAnsi="Times New Roman"/>
                <w:sz w:val="22"/>
                <w:szCs w:val="22"/>
                <w:color w:val="008000"/>
                <w:vertAlign w:val="superscript"/>
              </w:rPr>
              <w:t>(2)</w:t>
            </w:r>
          </w:p>
        </w:tc>
        <w:tc>
          <w:tcPr>
            <w:tcW w:w="4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78.16</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158,550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which vest one third each year for the three years subsequent to the grant date. Upon vesting, each restricted stock unit will be settled solely by delivery of one share of Class A Common Stock.</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to cover taxes on 21,520 restricted stock units that vested on October 2, 2025.</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Heidi Knueppel, Attorney-In-  </w:t>
      </w:r>
      <w:r>
        <w:rPr>
          <w:rFonts w:ascii="Times New Roman" w:cs="Times New Roman" w:eastAsia="Times New Roman" w:hAnsi="Times New Roman"/>
          <w:sz w:val="34"/>
          <w:szCs w:val="34"/>
          <w:color w:val="0000FF"/>
          <w:vertAlign w:val="subscript"/>
        </w:rPr>
        <w:t>10/06/2025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106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646159" TargetMode="External"/><Relationship Id="rId14" Type="http://schemas.openxmlformats.org/officeDocument/2006/relationships/hyperlink" Target="http://www.sec.gov/cgi-bin/browse-edgar?action=getcompany&amp;CIK=00007465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2025-10-06T10:30:31Z</dcterms:created>
  <dcterms:modified xsi:type="dcterms:W3CDTF">2025-10-06T10:30:31Z</dcterms:modified>
</cp:coreProperties>
</file>