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w:t>
      </w:r>
    </w:p>
    <w:p>
      <w:pPr>
        <w:spacing w:after="0" w:line="238" w:lineRule="auto"/>
        <w:rPr>
          <w:sz w:val="20"/>
          <w:szCs w:val="20"/>
          <w:color w:val="auto"/>
        </w:rPr>
      </w:pPr>
      <w:r>
        <w:rPr>
          <w:rFonts w:ascii="Courier New" w:cs="Courier New" w:eastAsia="Courier New" w:hAnsi="Courier New"/>
          <w:sz w:val="18"/>
          <w:szCs w:val="18"/>
          <w:color w:val="auto"/>
        </w:rPr>
        <w:t>(12-02)Persons who respond to the collection of information contained in this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are not required to respond unless the form displays a currently valid OMB</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control number</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OMB APPROVALOMB NUMBER:</w:t>
      </w:r>
      <w:r>
        <w:rPr>
          <w:sz w:val="20"/>
          <w:szCs w:val="20"/>
          <w:color w:val="auto"/>
        </w:rPr>
        <w:tab/>
      </w:r>
      <w:r>
        <w:rPr>
          <w:rFonts w:ascii="Courier New" w:cs="Courier New" w:eastAsia="Courier New" w:hAnsi="Courier New"/>
          <w:sz w:val="16"/>
          <w:szCs w:val="16"/>
          <w:color w:val="auto"/>
        </w:rPr>
        <w:t>3235-0145Expires: 12/31/2008 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rPr>
          <w:sz w:val="20"/>
          <w:szCs w:val="20"/>
          <w:color w:val="auto"/>
        </w:rPr>
      </w:pPr>
      <w:r>
        <w:rPr>
          <w:rFonts w:ascii="Courier New" w:cs="Courier New" w:eastAsia="Courier New" w:hAnsi="Courier New"/>
          <w:sz w:val="18"/>
          <w:szCs w:val="18"/>
          <w:color w:val="auto"/>
        </w:rPr>
        <w:t>UNITED STATES</w:t>
      </w:r>
    </w:p>
    <w:p>
      <w:pPr>
        <w:spacing w:after="0" w:line="237"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No.24)*</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7"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12/31/2009</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 w:lineRule="exact"/>
        <w:rPr>
          <w:rFonts w:ascii="Courier New" w:cs="Courier New" w:eastAsia="Courier New" w:hAnsi="Courier New"/>
          <w:sz w:val="18"/>
          <w:szCs w:val="18"/>
          <w:color w:val="auto"/>
        </w:rPr>
      </w:pPr>
    </w:p>
    <w:p>
      <w:pPr>
        <w:ind w:left="860" w:right="5579" w:hanging="852"/>
        <w:spacing w:after="0" w:line="536"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line="234" w:lineRule="auto"/>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4"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2,587,588</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2,658,738</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2,663,043</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2,663,043/48,815,846=5.5%</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right="70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Ariel Investments, LLC</w:t>
      </w: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2,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2,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2,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2,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2,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5"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w:t>
      </w:r>
    </w:p>
    <w:tbl>
      <w:tblPr>
        <w:tblLayout w:type="fixed"/>
        <w:tblInd w:w="0" w:type="dxa"/>
        <w:tblCellMar>
          <w:top w:w="0" w:type="dxa"/>
          <w:left w:w="0" w:type="dxa"/>
          <w:bottom w:w="0" w:type="dxa"/>
          <w:right w:w="0" w:type="dxa"/>
        </w:tblCellMar>
      </w:tblPr>
      <w:tr>
        <w:trPr>
          <w:trHeight w:val="204"/>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w w:val="98"/>
              </w:rPr>
              <w:t>Investments, LLC's clients have an economic interest</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 more than 5% of 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reported upon this Schedule.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7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the Subsidiary Which Acquired</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Security Being Reported on by the Parent Holding</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Identification and Classification of Members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Group.</w:t>
            </w: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29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10.</w:t>
            </w: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Certifications.</w:t>
            </w:r>
          </w:p>
        </w:tc>
        <w:tc>
          <w:tcPr>
            <w:tcW w:w="29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my knowledge and belief,</w:t>
            </w: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securities referred to above were acquired and are held in the ordinary</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course of business and were not acquired and are not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held for the purpose</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or with the effect of changing or influencing the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 of</w:t>
            </w:r>
          </w:p>
        </w:tc>
      </w:tr>
    </w:tbl>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5"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2019-12-10T05:51:02Z</dcterms:created>
  <dcterms:modified xsi:type="dcterms:W3CDTF">2019-12-10T05:51:02Z</dcterms:modified>
</cp:coreProperties>
</file>