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173355</wp:posOffset>
            </wp:positionV>
            <wp:extent cx="15995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148590</wp:posOffset>
            </wp:positionV>
            <wp:extent cx="15995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CURRENT REPORT</w:t>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(Date of earliest event reported): May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179070</wp:posOffset>
            </wp:positionV>
            <wp:extent cx="15995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16" w:lineRule="exact"/>
        <w:rPr>
          <w:sz w:val="24"/>
          <w:szCs w:val="24"/>
          <w:color w:val="auto"/>
        </w:rPr>
      </w:pPr>
    </w:p>
    <w:tbl>
      <w:tblPr>
        <w:tblLayout w:type="fixed"/>
        <w:tblInd w:w="2440" w:type="dxa"/>
        <w:tblCellMar>
          <w:top w:w="0" w:type="dxa"/>
          <w:left w:w="0" w:type="dxa"/>
          <w:bottom w:w="0" w:type="dxa"/>
          <w:right w:w="0" w:type="dxa"/>
        </w:tblCellMar>
      </w:tblPr>
      <w:tr>
        <w:trPr>
          <w:trHeight w:val="430"/>
        </w:trPr>
        <w:tc>
          <w:tcPr>
            <w:tcW w:w="1020" w:type="dxa"/>
            <w:vAlign w:val="bottom"/>
          </w:tcPr>
          <w:p>
            <w:pPr>
              <w:spacing w:after="0"/>
              <w:rPr>
                <w:sz w:val="24"/>
                <w:szCs w:val="24"/>
                <w:color w:val="auto"/>
              </w:rPr>
            </w:pPr>
          </w:p>
        </w:tc>
        <w:tc>
          <w:tcPr>
            <w:tcW w:w="5720" w:type="dxa"/>
            <w:vAlign w:val="bottom"/>
            <w:gridSpan w:val="3"/>
          </w:tcPr>
          <w:p>
            <w:pPr>
              <w:jc w:val="center"/>
              <w:ind w:right="1121"/>
              <w:spacing w:after="0"/>
              <w:rPr>
                <w:sz w:val="20"/>
                <w:szCs w:val="20"/>
                <w:color w:val="auto"/>
              </w:rPr>
            </w:pPr>
            <w:r>
              <w:rPr>
                <w:rFonts w:ascii="Arial" w:cs="Arial" w:eastAsia="Arial" w:hAnsi="Arial"/>
                <w:sz w:val="36"/>
                <w:szCs w:val="36"/>
                <w:b w:val="1"/>
                <w:bCs w:val="1"/>
                <w:color w:val="auto"/>
                <w:w w:val="98"/>
              </w:rPr>
              <w:t>BRADY CORPORATION</w:t>
            </w:r>
          </w:p>
        </w:tc>
      </w:tr>
      <w:tr>
        <w:trPr>
          <w:trHeight w:val="192"/>
        </w:trPr>
        <w:tc>
          <w:tcPr>
            <w:tcW w:w="1020" w:type="dxa"/>
            <w:vAlign w:val="bottom"/>
          </w:tcPr>
          <w:p>
            <w:pPr>
              <w:spacing w:after="0"/>
              <w:rPr>
                <w:sz w:val="16"/>
                <w:szCs w:val="16"/>
                <w:color w:val="auto"/>
              </w:rPr>
            </w:pPr>
          </w:p>
        </w:tc>
        <w:tc>
          <w:tcPr>
            <w:tcW w:w="5720" w:type="dxa"/>
            <w:vAlign w:val="bottom"/>
            <w:gridSpan w:val="3"/>
          </w:tcPr>
          <w:p>
            <w:pPr>
              <w:jc w:val="center"/>
              <w:ind w:right="1121"/>
              <w:spacing w:after="0"/>
              <w:rPr>
                <w:sz w:val="20"/>
                <w:szCs w:val="20"/>
                <w:color w:val="auto"/>
              </w:rPr>
            </w:pPr>
            <w:r>
              <w:rPr>
                <w:rFonts w:ascii="Arial" w:cs="Arial" w:eastAsia="Arial" w:hAnsi="Arial"/>
                <w:sz w:val="15"/>
                <w:szCs w:val="15"/>
                <w:b w:val="1"/>
                <w:bCs w:val="1"/>
                <w:color w:val="auto"/>
                <w:w w:val="88"/>
              </w:rPr>
              <w:t>(Exact name of registrant as specified in its charter)</w:t>
            </w:r>
          </w:p>
        </w:tc>
      </w:tr>
      <w:tr>
        <w:trPr>
          <w:trHeight w:val="211"/>
        </w:trPr>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00" w:type="dxa"/>
            <w:vAlign w:val="bottom"/>
            <w:gridSpan w:val="2"/>
          </w:tcPr>
          <w:p>
            <w:pPr>
              <w:jc w:val="center"/>
              <w:ind w:right="2141"/>
              <w:spacing w:after="0"/>
              <w:rPr>
                <w:sz w:val="20"/>
                <w:szCs w:val="20"/>
                <w:color w:val="auto"/>
              </w:rPr>
            </w:pPr>
            <w:r>
              <w:rPr>
                <w:rFonts w:ascii="Arial" w:cs="Arial" w:eastAsia="Arial" w:hAnsi="Arial"/>
                <w:sz w:val="15"/>
                <w:szCs w:val="15"/>
                <w:b w:val="1"/>
                <w:bCs w:val="1"/>
                <w:color w:val="auto"/>
                <w:w w:val="89"/>
              </w:rPr>
              <w:t>Commission File Number 1-14959</w:t>
            </w:r>
          </w:p>
        </w:tc>
      </w:tr>
      <w:tr>
        <w:trPr>
          <w:trHeight w:val="577"/>
        </w:trPr>
        <w:tc>
          <w:tcPr>
            <w:tcW w:w="1020" w:type="dxa"/>
            <w:vAlign w:val="bottom"/>
          </w:tcPr>
          <w:p>
            <w:pPr>
              <w:jc w:val="center"/>
              <w:ind w:right="196"/>
              <w:spacing w:after="0"/>
              <w:rPr>
                <w:sz w:val="20"/>
                <w:szCs w:val="20"/>
                <w:color w:val="auto"/>
              </w:rPr>
            </w:pPr>
            <w:r>
              <w:rPr>
                <w:rFonts w:ascii="Arial" w:cs="Arial" w:eastAsia="Arial" w:hAnsi="Arial"/>
                <w:sz w:val="15"/>
                <w:szCs w:val="15"/>
                <w:b w:val="1"/>
                <w:bCs w:val="1"/>
                <w:color w:val="auto"/>
                <w:w w:val="85"/>
              </w:rPr>
              <w:t>Wisconsin</w:t>
            </w:r>
          </w:p>
        </w:tc>
        <w:tc>
          <w:tcPr>
            <w:tcW w:w="5720" w:type="dxa"/>
            <w:vAlign w:val="bottom"/>
            <w:gridSpan w:val="3"/>
          </w:tcPr>
          <w:p>
            <w:pPr>
              <w:jc w:val="center"/>
              <w:ind w:left="4708"/>
              <w:spacing w:after="0"/>
              <w:rPr>
                <w:sz w:val="20"/>
                <w:szCs w:val="20"/>
                <w:color w:val="auto"/>
              </w:rPr>
            </w:pPr>
            <w:r>
              <w:rPr>
                <w:rFonts w:ascii="Arial" w:cs="Arial" w:eastAsia="Arial" w:hAnsi="Arial"/>
                <w:sz w:val="15"/>
                <w:szCs w:val="15"/>
                <w:b w:val="1"/>
                <w:bCs w:val="1"/>
                <w:color w:val="auto"/>
                <w:w w:val="89"/>
              </w:rPr>
              <w:t>39-0971239</w:t>
            </w: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2"/>
                <w:szCs w:val="12"/>
                <w:b w:val="1"/>
                <w:bCs w:val="1"/>
                <w:color w:val="auto"/>
                <w:w w:val="87"/>
              </w:rPr>
              <w:t>(State of</w:t>
            </w:r>
          </w:p>
        </w:tc>
        <w:tc>
          <w:tcPr>
            <w:tcW w:w="1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jc w:val="center"/>
              <w:ind w:left="1201"/>
              <w:spacing w:after="0"/>
              <w:rPr>
                <w:sz w:val="20"/>
                <w:szCs w:val="20"/>
                <w:color w:val="auto"/>
              </w:rPr>
            </w:pPr>
            <w:r>
              <w:rPr>
                <w:rFonts w:ascii="Arial" w:cs="Arial" w:eastAsia="Arial" w:hAnsi="Arial"/>
                <w:sz w:val="12"/>
                <w:szCs w:val="12"/>
                <w:b w:val="1"/>
                <w:bCs w:val="1"/>
                <w:color w:val="auto"/>
                <w:w w:val="92"/>
              </w:rPr>
              <w:t>(IRS Employer</w:t>
            </w:r>
          </w:p>
        </w:tc>
      </w:tr>
      <w:tr>
        <w:trPr>
          <w:trHeight w:val="147"/>
        </w:trPr>
        <w:tc>
          <w:tcPr>
            <w:tcW w:w="1020" w:type="dxa"/>
            <w:vAlign w:val="bottom"/>
          </w:tcPr>
          <w:p>
            <w:pPr>
              <w:jc w:val="center"/>
              <w:ind w:right="196"/>
              <w:spacing w:after="0"/>
              <w:rPr>
                <w:sz w:val="20"/>
                <w:szCs w:val="20"/>
                <w:color w:val="auto"/>
              </w:rPr>
            </w:pPr>
            <w:r>
              <w:rPr>
                <w:rFonts w:ascii="Arial" w:cs="Arial" w:eastAsia="Arial" w:hAnsi="Arial"/>
                <w:sz w:val="12"/>
                <w:szCs w:val="12"/>
                <w:b w:val="1"/>
                <w:bCs w:val="1"/>
                <w:color w:val="auto"/>
                <w:w w:val="93"/>
              </w:rPr>
              <w:t>Incorporation)</w:t>
            </w:r>
          </w:p>
        </w:tc>
        <w:tc>
          <w:tcPr>
            <w:tcW w:w="1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jc w:val="center"/>
              <w:ind w:left="1201"/>
              <w:spacing w:after="0"/>
              <w:rPr>
                <w:sz w:val="20"/>
                <w:szCs w:val="20"/>
                <w:color w:val="auto"/>
              </w:rPr>
            </w:pPr>
            <w:r>
              <w:rPr>
                <w:rFonts w:ascii="Arial" w:cs="Arial" w:eastAsia="Arial" w:hAnsi="Arial"/>
                <w:sz w:val="12"/>
                <w:szCs w:val="12"/>
                <w:b w:val="1"/>
                <w:bCs w:val="1"/>
                <w:color w:val="auto"/>
                <w:w w:val="90"/>
              </w:rPr>
              <w:t>Identification No.)</w:t>
            </w:r>
          </w:p>
        </w:tc>
      </w:tr>
      <w:tr>
        <w:trPr>
          <w:trHeight w:val="178"/>
        </w:trPr>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700" w:type="dxa"/>
            <w:vAlign w:val="bottom"/>
            <w:gridSpan w:val="2"/>
          </w:tcPr>
          <w:p>
            <w:pPr>
              <w:jc w:val="center"/>
              <w:ind w:right="2141"/>
              <w:spacing w:after="0"/>
              <w:rPr>
                <w:sz w:val="20"/>
                <w:szCs w:val="20"/>
                <w:color w:val="auto"/>
              </w:rPr>
            </w:pPr>
            <w:r>
              <w:rPr>
                <w:rFonts w:ascii="Arial" w:cs="Arial" w:eastAsia="Arial" w:hAnsi="Arial"/>
                <w:sz w:val="15"/>
                <w:szCs w:val="15"/>
                <w:b w:val="1"/>
                <w:bCs w:val="1"/>
                <w:color w:val="auto"/>
                <w:w w:val="88"/>
              </w:rPr>
              <w:t>6555 West Good Hope Road</w:t>
            </w:r>
          </w:p>
        </w:tc>
      </w:tr>
      <w:tr>
        <w:trPr>
          <w:trHeight w:val="175"/>
        </w:trPr>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700" w:type="dxa"/>
            <w:vAlign w:val="bottom"/>
            <w:gridSpan w:val="2"/>
          </w:tcPr>
          <w:p>
            <w:pPr>
              <w:jc w:val="center"/>
              <w:ind w:right="2141"/>
              <w:spacing w:after="0"/>
              <w:rPr>
                <w:sz w:val="20"/>
                <w:szCs w:val="20"/>
                <w:color w:val="auto"/>
              </w:rPr>
            </w:pPr>
            <w:r>
              <w:rPr>
                <w:rFonts w:ascii="Arial" w:cs="Arial" w:eastAsia="Arial" w:hAnsi="Arial"/>
                <w:sz w:val="15"/>
                <w:szCs w:val="15"/>
                <w:b w:val="1"/>
                <w:bCs w:val="1"/>
                <w:color w:val="auto"/>
                <w:w w:val="89"/>
              </w:rPr>
              <w:t>Milwaukee, Wisconsin 53223</w:t>
            </w:r>
          </w:p>
        </w:tc>
      </w:tr>
      <w:tr>
        <w:trPr>
          <w:trHeight w:val="151"/>
        </w:trPr>
        <w:tc>
          <w:tcPr>
            <w:tcW w:w="1020" w:type="dxa"/>
            <w:vAlign w:val="bottom"/>
          </w:tcPr>
          <w:p>
            <w:pPr>
              <w:spacing w:after="0"/>
              <w:rPr>
                <w:sz w:val="13"/>
                <w:szCs w:val="13"/>
                <w:color w:val="auto"/>
              </w:rPr>
            </w:pPr>
          </w:p>
        </w:tc>
        <w:tc>
          <w:tcPr>
            <w:tcW w:w="5720" w:type="dxa"/>
            <w:vAlign w:val="bottom"/>
            <w:gridSpan w:val="3"/>
          </w:tcPr>
          <w:p>
            <w:pPr>
              <w:jc w:val="center"/>
              <w:ind w:right="1121"/>
              <w:spacing w:after="0"/>
              <w:rPr>
                <w:sz w:val="20"/>
                <w:szCs w:val="20"/>
                <w:color w:val="auto"/>
              </w:rPr>
            </w:pPr>
            <w:r>
              <w:rPr>
                <w:rFonts w:ascii="Arial" w:cs="Arial" w:eastAsia="Arial" w:hAnsi="Arial"/>
                <w:sz w:val="12"/>
                <w:szCs w:val="12"/>
                <w:b w:val="1"/>
                <w:bCs w:val="1"/>
                <w:color w:val="auto"/>
                <w:w w:val="89"/>
              </w:rPr>
              <w:t>(Address of Principal Executive Offices and Zip Code)</w:t>
            </w:r>
          </w:p>
        </w:tc>
      </w:tr>
      <w:tr>
        <w:trPr>
          <w:trHeight w:val="310"/>
        </w:trPr>
        <w:tc>
          <w:tcPr>
            <w:tcW w:w="1020" w:type="dxa"/>
            <w:vAlign w:val="bottom"/>
          </w:tcPr>
          <w:p>
            <w:pPr>
              <w:spacing w:after="0"/>
              <w:rPr>
                <w:sz w:val="24"/>
                <w:szCs w:val="24"/>
                <w:color w:val="auto"/>
              </w:rPr>
            </w:pPr>
          </w:p>
        </w:tc>
        <w:tc>
          <w:tcPr>
            <w:tcW w:w="3540" w:type="dxa"/>
            <w:vAlign w:val="bottom"/>
            <w:gridSpan w:val="2"/>
          </w:tcPr>
          <w:p>
            <w:pPr>
              <w:jc w:val="center"/>
              <w:ind w:left="928"/>
              <w:spacing w:after="0"/>
              <w:rPr>
                <w:sz w:val="20"/>
                <w:szCs w:val="20"/>
                <w:color w:val="auto"/>
              </w:rPr>
            </w:pPr>
            <w:r>
              <w:rPr>
                <w:rFonts w:ascii="Arial" w:cs="Arial" w:eastAsia="Arial" w:hAnsi="Arial"/>
                <w:sz w:val="15"/>
                <w:szCs w:val="15"/>
                <w:b w:val="1"/>
                <w:bCs w:val="1"/>
                <w:color w:val="auto"/>
                <w:w w:val="89"/>
              </w:rPr>
              <w:t>(414) 358-6600</w:t>
            </w:r>
          </w:p>
        </w:tc>
        <w:tc>
          <w:tcPr>
            <w:tcW w:w="2180" w:type="dxa"/>
            <w:vAlign w:val="bottom"/>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700" w:type="dxa"/>
            <w:vAlign w:val="bottom"/>
            <w:gridSpan w:val="2"/>
          </w:tcPr>
          <w:p>
            <w:pPr>
              <w:jc w:val="center"/>
              <w:ind w:right="2121"/>
              <w:spacing w:after="0"/>
              <w:rPr>
                <w:sz w:val="20"/>
                <w:szCs w:val="20"/>
                <w:color w:val="auto"/>
              </w:rPr>
            </w:pPr>
            <w:r>
              <w:rPr>
                <w:rFonts w:ascii="Arial" w:cs="Arial" w:eastAsia="Arial" w:hAnsi="Arial"/>
                <w:sz w:val="12"/>
                <w:szCs w:val="12"/>
                <w:b w:val="1"/>
                <w:bCs w:val="1"/>
                <w:color w:val="auto"/>
                <w:w w:val="88"/>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147320</wp:posOffset>
            </wp:positionV>
            <wp:extent cx="15995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79"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94"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(17 CFR 230.405) or Rule 12b-2 or the Securities Exchange Act of 1934 (17 CFR 240.12b-2).</w:t>
      </w:r>
    </w:p>
    <w:p>
      <w:pPr>
        <w:spacing w:after="0" w:line="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10" w:lineRule="exact"/>
        <w:rPr>
          <w:sz w:val="24"/>
          <w:szCs w:val="24"/>
          <w:color w:val="auto"/>
        </w:rPr>
      </w:pPr>
    </w:p>
    <w:p>
      <w:pPr>
        <w:ind w:right="20"/>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360"/>
          </w:cols>
          <w:pgMar w:left="220" w:top="627" w:right="319" w:bottom="1440" w:gutter="0" w:footer="0" w:header="0"/>
        </w:sectPr>
      </w:pPr>
    </w:p>
    <w:bookmarkStart w:id="1" w:name="page2"/>
    <w:bookmarkEnd w:id="1"/>
    <w:p>
      <w:pPr>
        <w:ind w:left="40"/>
        <w:spacing w:after="0"/>
        <w:tabs>
          <w:tab w:leader="none" w:pos="880" w:val="left"/>
        </w:tabs>
        <w:rPr>
          <w:sz w:val="20"/>
          <w:szCs w:val="20"/>
          <w:color w:val="auto"/>
        </w:rPr>
      </w:pPr>
      <w:r>
        <w:rPr>
          <w:rFonts w:ascii="Arial" w:cs="Arial" w:eastAsia="Arial" w:hAnsi="Arial"/>
          <w:sz w:val="15"/>
          <w:szCs w:val="15"/>
          <w:color w:val="auto"/>
        </w:rPr>
        <w:t>Item 2.02</w:t>
      </w:r>
      <w:r>
        <w:rPr>
          <w:sz w:val="20"/>
          <w:szCs w:val="20"/>
          <w:color w:val="auto"/>
        </w:rPr>
        <w:tab/>
      </w:r>
      <w:r>
        <w:rPr>
          <w:rFonts w:ascii="Arial" w:cs="Arial" w:eastAsia="Arial" w:hAnsi="Arial"/>
          <w:sz w:val="14"/>
          <w:szCs w:val="14"/>
          <w:color w:val="auto"/>
        </w:rPr>
        <w:t>RESULTS OF OPERATIONS AND FINANCIAL CONDITION</w:t>
      </w:r>
    </w:p>
    <w:p>
      <w:pPr>
        <w:spacing w:after="0" w:line="205" w:lineRule="exact"/>
        <w:rPr>
          <w:sz w:val="20"/>
          <w:szCs w:val="20"/>
          <w:color w:val="auto"/>
        </w:rPr>
      </w:pPr>
    </w:p>
    <w:p>
      <w:pPr>
        <w:ind w:firstLine="533"/>
        <w:spacing w:after="0" w:line="268" w:lineRule="auto"/>
        <w:rPr>
          <w:sz w:val="20"/>
          <w:szCs w:val="20"/>
          <w:color w:val="auto"/>
        </w:rPr>
      </w:pPr>
      <w:r>
        <w:rPr>
          <w:rFonts w:ascii="Arial" w:cs="Arial" w:eastAsia="Arial" w:hAnsi="Arial"/>
          <w:sz w:val="15"/>
          <w:szCs w:val="15"/>
          <w:color w:val="auto"/>
        </w:rPr>
        <w:t>On May 24, 2018, Brady Corporation (the “Company”) issued a press release announcing its fiscal 2018 third quarter financial results. A copy of the press release is being furnished to the Securities and Exchange Commission as Exhibit 99.1 attached hereto and is incorporated herein by reference.</w:t>
      </w:r>
    </w:p>
    <w:p>
      <w:pPr>
        <w:spacing w:after="0" w:line="281"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5"/>
          <w:szCs w:val="15"/>
          <w:color w:val="auto"/>
        </w:rPr>
        <w:t>Item 7.01</w:t>
      </w:r>
      <w:r>
        <w:rPr>
          <w:sz w:val="20"/>
          <w:szCs w:val="20"/>
          <w:color w:val="auto"/>
        </w:rPr>
        <w:tab/>
      </w:r>
      <w:r>
        <w:rPr>
          <w:rFonts w:ascii="Arial" w:cs="Arial" w:eastAsia="Arial" w:hAnsi="Arial"/>
          <w:sz w:val="14"/>
          <w:szCs w:val="14"/>
          <w:color w:val="auto"/>
        </w:rPr>
        <w:t>REGULATION FD DISCLOSURE</w:t>
      </w:r>
    </w:p>
    <w:p>
      <w:pPr>
        <w:spacing w:after="0" w:line="205" w:lineRule="exact"/>
        <w:rPr>
          <w:sz w:val="20"/>
          <w:szCs w:val="20"/>
          <w:color w:val="auto"/>
        </w:rPr>
      </w:pPr>
    </w:p>
    <w:p>
      <w:pPr>
        <w:ind w:firstLine="533"/>
        <w:spacing w:after="0" w:line="304" w:lineRule="auto"/>
        <w:rPr>
          <w:sz w:val="20"/>
          <w:szCs w:val="20"/>
          <w:color w:val="auto"/>
        </w:rPr>
      </w:pPr>
      <w:r>
        <w:rPr>
          <w:rFonts w:ascii="Arial" w:cs="Arial" w:eastAsia="Arial" w:hAnsi="Arial"/>
          <w:sz w:val="14"/>
          <w:szCs w:val="14"/>
          <w:color w:val="auto"/>
        </w:rPr>
        <w:t>On May 24, 2018, the Company hosted a conference call related to its fiscal 2018 third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ind w:left="40"/>
              <w:spacing w:after="0"/>
              <w:rPr>
                <w:sz w:val="20"/>
                <w:szCs w:val="20"/>
                <w:color w:val="auto"/>
              </w:rPr>
            </w:pPr>
            <w:r>
              <w:rPr>
                <w:rFonts w:ascii="Arial" w:cs="Arial" w:eastAsia="Arial" w:hAnsi="Arial"/>
                <w:sz w:val="15"/>
                <w:szCs w:val="15"/>
                <w:color w:val="auto"/>
              </w:rPr>
              <w:t>Item 9.01</w:t>
            </w:r>
          </w:p>
        </w:tc>
        <w:tc>
          <w:tcPr>
            <w:tcW w:w="7200" w:type="dxa"/>
            <w:vAlign w:val="bottom"/>
            <w:gridSpan w:val="5"/>
          </w:tcPr>
          <w:p>
            <w:pPr>
              <w:ind w:left="100"/>
              <w:spacing w:after="0"/>
              <w:rPr>
                <w:sz w:val="20"/>
                <w:szCs w:val="20"/>
                <w:color w:val="auto"/>
              </w:rPr>
            </w:pPr>
            <w:r>
              <w:rPr>
                <w:rFonts w:ascii="Arial" w:cs="Arial" w:eastAsia="Arial" w:hAnsi="Arial"/>
                <w:sz w:val="15"/>
                <w:szCs w:val="15"/>
                <w:color w:val="auto"/>
              </w:rPr>
              <w:t>FINANCIAL STATEMENTS AND EXHIBITS</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0"/>
                <w:szCs w:val="20"/>
                <w:color w:val="auto"/>
              </w:rPr>
            </w:pPr>
            <w:r>
              <w:rPr>
                <w:rFonts w:ascii="Arial" w:cs="Arial" w:eastAsia="Arial" w:hAnsi="Arial"/>
                <w:sz w:val="15"/>
                <w:szCs w:val="15"/>
                <w:color w:val="auto"/>
              </w:rPr>
              <w:t>(d) Exhibits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00" w:type="dxa"/>
            <w:vAlign w:val="bottom"/>
          </w:tcPr>
          <w:p>
            <w:pPr>
              <w:ind w:left="40"/>
              <w:spacing w:after="0"/>
              <w:rPr>
                <w:sz w:val="20"/>
                <w:szCs w:val="20"/>
                <w:color w:val="auto"/>
              </w:rPr>
            </w:pPr>
            <w:r>
              <w:rPr>
                <w:rFonts w:ascii="Arial" w:cs="Arial" w:eastAsia="Arial" w:hAnsi="Arial"/>
                <w:sz w:val="13"/>
                <w:szCs w:val="13"/>
                <w:color w:val="auto"/>
              </w:rPr>
              <w:t>EXHIBIT</w:t>
            </w:r>
          </w:p>
        </w:tc>
        <w:tc>
          <w:tcPr>
            <w:tcW w:w="300" w:type="dxa"/>
            <w:vAlign w:val="bottom"/>
          </w:tcPr>
          <w:p>
            <w:pPr>
              <w:spacing w:after="0"/>
              <w:rPr>
                <w:sz w:val="24"/>
                <w:szCs w:val="24"/>
                <w:color w:val="auto"/>
              </w:rPr>
            </w:pPr>
          </w:p>
        </w:tc>
        <w:tc>
          <w:tcPr>
            <w:tcW w:w="6900" w:type="dxa"/>
            <w:vAlign w:val="bottom"/>
            <w:gridSpan w:val="4"/>
            <w:vMerge w:val="restart"/>
          </w:tcPr>
          <w:p>
            <w:pPr>
              <w:spacing w:after="0"/>
              <w:rPr>
                <w:sz w:val="20"/>
                <w:szCs w:val="20"/>
                <w:color w:val="auto"/>
              </w:rPr>
            </w:pPr>
            <w:r>
              <w:rPr>
                <w:rFonts w:ascii="Arial" w:cs="Arial" w:eastAsia="Arial" w:hAnsi="Arial"/>
                <w:sz w:val="15"/>
                <w:szCs w:val="15"/>
                <w:color w:val="auto"/>
              </w:rPr>
              <w:t>DESCRIPTION</w:t>
            </w:r>
          </w:p>
        </w:tc>
        <w:tc>
          <w:tcPr>
            <w:tcW w:w="0" w:type="dxa"/>
            <w:vAlign w:val="bottom"/>
          </w:tcPr>
          <w:p>
            <w:pPr>
              <w:spacing w:after="0"/>
              <w:rPr>
                <w:sz w:val="1"/>
                <w:szCs w:val="1"/>
                <w:color w:val="auto"/>
              </w:rPr>
            </w:pPr>
          </w:p>
        </w:tc>
      </w:tr>
      <w:tr>
        <w:trPr>
          <w:trHeight w:val="173"/>
        </w:trPr>
        <w:tc>
          <w:tcPr>
            <w:tcW w:w="800" w:type="dxa"/>
            <w:vAlign w:val="bottom"/>
          </w:tcPr>
          <w:p>
            <w:pPr>
              <w:ind w:left="40"/>
              <w:spacing w:after="0"/>
              <w:rPr>
                <w:sz w:val="20"/>
                <w:szCs w:val="20"/>
                <w:color w:val="auto"/>
              </w:rPr>
            </w:pPr>
            <w:r>
              <w:rPr>
                <w:rFonts w:ascii="Arial" w:cs="Arial" w:eastAsia="Arial" w:hAnsi="Arial"/>
                <w:sz w:val="13"/>
                <w:szCs w:val="13"/>
                <w:color w:val="auto"/>
              </w:rPr>
              <w:t>NUMBER</w:t>
            </w:r>
          </w:p>
        </w:tc>
        <w:tc>
          <w:tcPr>
            <w:tcW w:w="300" w:type="dxa"/>
            <w:vAlign w:val="bottom"/>
          </w:tcPr>
          <w:p>
            <w:pPr>
              <w:spacing w:after="0"/>
              <w:rPr>
                <w:sz w:val="15"/>
                <w:szCs w:val="15"/>
                <w:color w:val="auto"/>
              </w:rPr>
            </w:pPr>
          </w:p>
        </w:tc>
        <w:tc>
          <w:tcPr>
            <w:tcW w:w="69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00" w:type="dxa"/>
            <w:vAlign w:val="bottom"/>
          </w:tcPr>
          <w:p>
            <w:pPr>
              <w:ind w:left="40"/>
              <w:spacing w:after="0"/>
              <w:rPr>
                <w:sz w:val="20"/>
                <w:szCs w:val="20"/>
                <w:color w:val="auto"/>
              </w:rPr>
            </w:pPr>
            <w:r>
              <w:rPr>
                <w:rFonts w:ascii="Arial" w:cs="Arial" w:eastAsia="Arial" w:hAnsi="Arial"/>
                <w:sz w:val="15"/>
                <w:szCs w:val="15"/>
                <w:color w:val="auto"/>
              </w:rPr>
              <w:t>99.1</w:t>
            </w:r>
          </w:p>
        </w:tc>
        <w:tc>
          <w:tcPr>
            <w:tcW w:w="300" w:type="dxa"/>
            <w:vAlign w:val="bottom"/>
          </w:tcPr>
          <w:p>
            <w:pPr>
              <w:spacing w:after="0"/>
              <w:rPr>
                <w:sz w:val="19"/>
                <w:szCs w:val="19"/>
                <w:color w:val="auto"/>
              </w:rPr>
            </w:pPr>
          </w:p>
        </w:tc>
        <w:tc>
          <w:tcPr>
            <w:tcW w:w="6540" w:type="dxa"/>
            <w:vAlign w:val="bottom"/>
            <w:tcBorders>
              <w:bottom w:val="single" w:sz="8" w:color="0000FF"/>
            </w:tcBorders>
            <w:gridSpan w:val="3"/>
          </w:tcPr>
          <w:p>
            <w:pPr>
              <w:spacing w:after="0"/>
              <w:rPr>
                <w:rFonts w:ascii="Arial" w:cs="Arial" w:eastAsia="Arial" w:hAnsi="Arial"/>
                <w:sz w:val="15"/>
                <w:szCs w:val="15"/>
                <w:color w:val="0000FF"/>
                <w:w w:val="89"/>
              </w:rPr>
            </w:pPr>
            <w:hyperlink w:anchor="page3">
              <w:r>
                <w:rPr>
                  <w:rFonts w:ascii="Arial" w:cs="Arial" w:eastAsia="Arial" w:hAnsi="Arial"/>
                  <w:sz w:val="15"/>
                  <w:szCs w:val="15"/>
                  <w:color w:val="0000FF"/>
                  <w:w w:val="89"/>
                </w:rPr>
                <w:t>Press Release of Brady Corporation, dated May 24, 2018, relating to third quarter fiscal 2018 financial results.</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00" w:type="dxa"/>
            <w:vAlign w:val="bottom"/>
            <w:vMerge w:val="restart"/>
          </w:tcPr>
          <w:p>
            <w:pPr>
              <w:ind w:left="40"/>
              <w:spacing w:after="0"/>
              <w:rPr>
                <w:sz w:val="20"/>
                <w:szCs w:val="20"/>
                <w:color w:val="auto"/>
              </w:rPr>
            </w:pPr>
            <w:r>
              <w:rPr>
                <w:rFonts w:ascii="Arial" w:cs="Arial" w:eastAsia="Arial" w:hAnsi="Arial"/>
                <w:sz w:val="15"/>
                <w:szCs w:val="15"/>
                <w:color w:val="auto"/>
              </w:rPr>
              <w:t>99.2</w:t>
            </w:r>
          </w:p>
        </w:tc>
        <w:tc>
          <w:tcPr>
            <w:tcW w:w="300" w:type="dxa"/>
            <w:vAlign w:val="bottom"/>
          </w:tcPr>
          <w:p>
            <w:pPr>
              <w:spacing w:after="0"/>
              <w:rPr>
                <w:sz w:val="23"/>
                <w:szCs w:val="23"/>
                <w:color w:val="auto"/>
              </w:rPr>
            </w:pPr>
          </w:p>
        </w:tc>
        <w:tc>
          <w:tcPr>
            <w:tcW w:w="6900" w:type="dxa"/>
            <w:vAlign w:val="bottom"/>
            <w:gridSpan w:val="4"/>
          </w:tcPr>
          <w:p>
            <w:pPr>
              <w:spacing w:after="0"/>
              <w:rPr>
                <w:rFonts w:ascii="Arial" w:cs="Arial" w:eastAsia="Arial" w:hAnsi="Arial"/>
                <w:sz w:val="15"/>
                <w:szCs w:val="15"/>
                <w:color w:val="0000FF"/>
                <w:w w:val="96"/>
              </w:rPr>
            </w:pPr>
            <w:hyperlink w:anchor="page11">
              <w:r>
                <w:rPr>
                  <w:rFonts w:ascii="Arial" w:cs="Arial" w:eastAsia="Arial" w:hAnsi="Arial"/>
                  <w:sz w:val="15"/>
                  <w:szCs w:val="15"/>
                  <w:color w:val="0000FF"/>
                  <w:w w:val="96"/>
                </w:rPr>
                <w:t>Informational slides provided by Brady Corporation, dated May 24, 2018, relating to third quarter fiscal 2018</w:t>
              </w:r>
            </w:hyperlink>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480" w:type="dxa"/>
            <w:vAlign w:val="bottom"/>
            <w:tcBorders>
              <w:top w:val="single" w:sz="8" w:color="0000FF"/>
            </w:tcBorders>
            <w:gridSpan w:val="2"/>
            <w:vMerge w:val="restart"/>
          </w:tcPr>
          <w:p>
            <w:pPr>
              <w:spacing w:after="0" w:line="158" w:lineRule="exact"/>
              <w:rPr>
                <w:rFonts w:ascii="Arial" w:cs="Arial" w:eastAsia="Arial" w:hAnsi="Arial"/>
                <w:sz w:val="15"/>
                <w:szCs w:val="15"/>
                <w:color w:val="0000FF"/>
              </w:rPr>
            </w:pPr>
            <w:hyperlink w:anchor="page11">
              <w:r>
                <w:rPr>
                  <w:rFonts w:ascii="Arial" w:cs="Arial" w:eastAsia="Arial" w:hAnsi="Arial"/>
                  <w:sz w:val="15"/>
                  <w:szCs w:val="15"/>
                  <w:color w:val="0000FF"/>
                </w:rPr>
                <w:t>financial results.</w:t>
              </w:r>
            </w:hyperlink>
          </w:p>
        </w:tc>
        <w:tc>
          <w:tcPr>
            <w:tcW w:w="42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80" w:type="dxa"/>
            <w:vAlign w:val="bottom"/>
            <w:gridSpan w:val="2"/>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SIGNATURE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BRADY CORPORATION</w:t>
      </w: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5"/>
          <w:szCs w:val="15"/>
          <w:color w:val="auto"/>
        </w:rPr>
        <w:t>Date: May 24, 2018</w:t>
      </w:r>
      <w:r>
        <w:rPr>
          <w:sz w:val="20"/>
          <w:szCs w:val="20"/>
          <w:color w:val="auto"/>
        </w:rPr>
        <w:tab/>
      </w:r>
      <w:r>
        <w:rPr>
          <w:rFonts w:ascii="Arial" w:cs="Arial" w:eastAsia="Arial" w:hAnsi="Arial"/>
          <w:sz w:val="13"/>
          <w:szCs w:val="13"/>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24130</wp:posOffset>
            </wp:positionV>
            <wp:extent cx="34874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7420" cy="6985"/>
                    </a:xfrm>
                    <a:prstGeom prst="rect">
                      <a:avLst/>
                    </a:prstGeom>
                    <a:noFill/>
                  </pic:spPr>
                </pic:pic>
              </a:graphicData>
            </a:graphic>
          </wp:anchor>
        </w:drawing>
      </w:r>
    </w:p>
    <w:p>
      <w:pPr>
        <w:spacing w:after="0" w:line="41"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Aaron J. Pearce</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Chief Financial Officer and Treasurer</w:t>
      </w:r>
    </w:p>
    <w:p>
      <w:pPr>
        <w:sectPr>
          <w:pgSz w:w="11900" w:h="16838" w:orient="portrait"/>
          <w:cols w:equalWidth="0" w:num="1">
            <w:col w:w="11460"/>
          </w:cols>
          <w:pgMar w:left="220" w:top="639"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 More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 Ann Thornton 414-438-6887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Kate Venne 414-358-5176</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Brady Corporation Reports Fiscal 2018 Third Quarter Results and Increases the Bottom of its Fiscal 2018 EPS Guidance</w:t>
      </w:r>
    </w:p>
    <w:p>
      <w:pPr>
        <w:spacing w:after="0" w:line="308" w:lineRule="exact"/>
        <w:rPr>
          <w:sz w:val="20"/>
          <w:szCs w:val="20"/>
          <w:color w:val="auto"/>
        </w:rPr>
      </w:pPr>
    </w:p>
    <w:p>
      <w:pPr>
        <w:ind w:left="540" w:right="360" w:hanging="265"/>
        <w:spacing w:after="0" w:line="321"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Earnings before income taxes increased 20.7 percent, finishing at $37.0 million in the third quarter of fiscal 2018 compared to $30.6 million in the third quarter of fiscal 2017. This marks our 11</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consecutive quarter of profit growth.</w:t>
      </w:r>
    </w:p>
    <w:p>
      <w:pPr>
        <w:spacing w:after="0" w:line="1" w:lineRule="exact"/>
        <w:rPr>
          <w:rFonts w:ascii="Arial" w:cs="Arial" w:eastAsia="Arial" w:hAnsi="Arial"/>
          <w:sz w:val="15"/>
          <w:szCs w:val="15"/>
          <w:color w:val="auto"/>
        </w:rPr>
      </w:pPr>
    </w:p>
    <w:p>
      <w:pPr>
        <w:ind w:left="540" w:hanging="265"/>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5"/>
          <w:szCs w:val="15"/>
          <w:color w:val="auto"/>
        </w:rPr>
        <w:t>Earnings per diluted Class A Nonvoting Common Share were $0.49 in the third quarter of fiscal 2018 compared to $0.43 in the same quarter of the prior year.</w:t>
      </w:r>
    </w:p>
    <w:p>
      <w:pPr>
        <w:spacing w:after="0" w:line="104" w:lineRule="exact"/>
        <w:rPr>
          <w:rFonts w:ascii="Arial" w:cs="Arial" w:eastAsia="Arial" w:hAnsi="Arial"/>
          <w:sz w:val="14"/>
          <w:szCs w:val="14"/>
          <w:color w:val="auto"/>
        </w:rPr>
      </w:pPr>
    </w:p>
    <w:p>
      <w:pPr>
        <w:ind w:left="540" w:right="20" w:hanging="265"/>
        <w:spacing w:after="0" w:line="361"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Total revenues increased 8.2 percent, which consisted of organic revenue growth of 3.2 percent and an increase of 5.0 percent from foreign currency translation. This is our fourth consecutive quarter of organic revenue growth.</w:t>
      </w:r>
    </w:p>
    <w:p>
      <w:pPr>
        <w:spacing w:after="0" w:line="1" w:lineRule="exact"/>
        <w:rPr>
          <w:rFonts w:ascii="Arial" w:cs="Arial" w:eastAsia="Arial" w:hAnsi="Arial"/>
          <w:sz w:val="15"/>
          <w:szCs w:val="15"/>
          <w:color w:val="auto"/>
        </w:rPr>
      </w:pPr>
    </w:p>
    <w:p>
      <w:pPr>
        <w:ind w:left="540" w:right="80" w:hanging="265"/>
        <w:spacing w:after="0" w:line="391"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6"/>
          <w:szCs w:val="16"/>
          <w:color w:val="auto"/>
        </w:rPr>
        <w:t>Earnings per diluted Class A Common Share guidance for the full year ending July 31, 2018 was tightened to a range of $1.95 to $2.00 from a previous range of $1.90 to $2.00, exclusive of tax charges primarily related to the enactment of the U.S. tax legislation.</w:t>
      </w:r>
    </w:p>
    <w:p>
      <w:pPr>
        <w:spacing w:after="0" w:line="210" w:lineRule="exact"/>
        <w:rPr>
          <w:sz w:val="20"/>
          <w:szCs w:val="20"/>
          <w:color w:val="auto"/>
        </w:rPr>
      </w:pPr>
    </w:p>
    <w:p>
      <w:pPr>
        <w:ind w:right="180"/>
        <w:spacing w:after="0" w:line="391" w:lineRule="auto"/>
        <w:rPr>
          <w:sz w:val="20"/>
          <w:szCs w:val="20"/>
          <w:color w:val="auto"/>
        </w:rPr>
      </w:pPr>
      <w:r>
        <w:rPr>
          <w:rFonts w:ascii="Arial" w:cs="Arial" w:eastAsia="Arial" w:hAnsi="Arial"/>
          <w:sz w:val="16"/>
          <w:szCs w:val="16"/>
          <w:color w:val="auto"/>
        </w:rPr>
        <w:t>MILWAUKEE (May 24, 2018)--Brady Corporation (NYSE: BRC) (“Brady” or “Company”), a world leader in identification solutions, today reported its financial results for its fiscal 2018 third quarter ended April 30, 2018.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 Ended April 30, 2018 Financial Results:</w:t>
      </w:r>
    </w:p>
    <w:p>
      <w:pPr>
        <w:spacing w:after="0" w:line="97" w:lineRule="exact"/>
        <w:rPr>
          <w:sz w:val="20"/>
          <w:szCs w:val="20"/>
          <w:color w:val="auto"/>
        </w:rPr>
      </w:pPr>
    </w:p>
    <w:p>
      <w:pPr>
        <w:ind w:right="240" w:firstLine="533"/>
        <w:spacing w:after="0" w:line="361" w:lineRule="auto"/>
        <w:rPr>
          <w:sz w:val="20"/>
          <w:szCs w:val="20"/>
          <w:color w:val="auto"/>
        </w:rPr>
      </w:pPr>
      <w:r>
        <w:rPr>
          <w:rFonts w:ascii="Arial" w:cs="Arial" w:eastAsia="Arial" w:hAnsi="Arial"/>
          <w:sz w:val="16"/>
          <w:szCs w:val="16"/>
          <w:color w:val="auto"/>
        </w:rPr>
        <w:t>Earnings before income taxes increased 20.7 percent, finishing at $37.0 million for the third quarter of fiscal 2018 compared to $30.6 million for the third quarter of fiscal 2017.</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earnings for the quarter ended April 30, 2018, were $26.0 million compared to $22.6 million in the same quarter last year.</w:t>
      </w:r>
    </w:p>
    <w:p>
      <w:pPr>
        <w:spacing w:after="0" w:line="93" w:lineRule="exact"/>
        <w:rPr>
          <w:sz w:val="20"/>
          <w:szCs w:val="20"/>
          <w:color w:val="auto"/>
        </w:rPr>
      </w:pPr>
    </w:p>
    <w:p>
      <w:pPr>
        <w:ind w:left="540" w:right="640"/>
        <w:spacing w:after="0" w:line="413" w:lineRule="auto"/>
        <w:rPr>
          <w:sz w:val="20"/>
          <w:szCs w:val="20"/>
          <w:color w:val="auto"/>
        </w:rPr>
      </w:pPr>
      <w:r>
        <w:rPr>
          <w:rFonts w:ascii="Arial" w:cs="Arial" w:eastAsia="Arial" w:hAnsi="Arial"/>
          <w:sz w:val="14"/>
          <w:szCs w:val="14"/>
          <w:color w:val="auto"/>
        </w:rPr>
        <w:t>Earnings per diluted Class A Nonvoting Common Share were $0.49 for the third quarter of fiscal 2018, compared to $0.43 in the same quarter last year. Sales for the quarter ended April 30, 2018 increased 8.2 percent to $298.4 million compared to $275.9 million in the same quarter last year. By segment, sales</w:t>
      </w:r>
    </w:p>
    <w:p>
      <w:pPr>
        <w:spacing w:after="0" w:line="1" w:lineRule="exact"/>
        <w:rPr>
          <w:sz w:val="20"/>
          <w:szCs w:val="20"/>
          <w:color w:val="auto"/>
        </w:rPr>
      </w:pPr>
    </w:p>
    <w:p>
      <w:pPr>
        <w:ind w:right="60"/>
        <w:spacing w:after="0" w:line="391" w:lineRule="auto"/>
        <w:rPr>
          <w:sz w:val="20"/>
          <w:szCs w:val="20"/>
          <w:color w:val="auto"/>
        </w:rPr>
      </w:pPr>
      <w:r>
        <w:rPr>
          <w:rFonts w:ascii="Arial" w:cs="Arial" w:eastAsia="Arial" w:hAnsi="Arial"/>
          <w:sz w:val="16"/>
          <w:szCs w:val="16"/>
          <w:color w:val="auto"/>
        </w:rPr>
        <w:t>increased 7.8 percent in Identification Solutions and 9.1 percent in Workplace Safety, which consisted of organic sales growth of 3.7 percent in Identification Solutions and 1.7 percent in Workplace Safety.</w:t>
      </w:r>
    </w:p>
    <w:p>
      <w:pPr>
        <w:sectPr>
          <w:pgSz w:w="11900" w:h="16838" w:orient="portrait"/>
          <w:cols w:equalWidth="0" w:num="1">
            <w:col w:w="11460"/>
          </w:cols>
          <w:pgMar w:left="220" w:top="687" w:right="21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Nine-Month Period Ended April 30, 2018 Financial Results:</w:t>
      </w:r>
    </w:p>
    <w:p>
      <w:pPr>
        <w:spacing w:after="0" w:line="97" w:lineRule="exact"/>
        <w:rPr>
          <w:sz w:val="20"/>
          <w:szCs w:val="20"/>
          <w:color w:val="auto"/>
        </w:rPr>
      </w:pPr>
    </w:p>
    <w:p>
      <w:pPr>
        <w:ind w:right="320" w:firstLine="533"/>
        <w:spacing w:after="0" w:line="361" w:lineRule="auto"/>
        <w:rPr>
          <w:sz w:val="20"/>
          <w:szCs w:val="20"/>
          <w:color w:val="auto"/>
        </w:rPr>
      </w:pPr>
      <w:r>
        <w:rPr>
          <w:rFonts w:ascii="Arial" w:cs="Arial" w:eastAsia="Arial" w:hAnsi="Arial"/>
          <w:sz w:val="16"/>
          <w:szCs w:val="16"/>
          <w:color w:val="auto"/>
        </w:rPr>
        <w:t>Earnings before income taxes increased 17.7 percent, finishing at $106.8 million for the nine-month period ended April 30, 2018, compared to $90.7 million in the same period last year.</w:t>
      </w:r>
    </w:p>
    <w:p>
      <w:pPr>
        <w:spacing w:after="0" w:line="1" w:lineRule="exact"/>
        <w:rPr>
          <w:sz w:val="20"/>
          <w:szCs w:val="20"/>
          <w:color w:val="auto"/>
        </w:rPr>
      </w:pPr>
    </w:p>
    <w:p>
      <w:pPr>
        <w:jc w:val="both"/>
        <w:ind w:right="20" w:firstLine="533"/>
        <w:spacing w:after="0" w:line="361" w:lineRule="auto"/>
        <w:rPr>
          <w:sz w:val="20"/>
          <w:szCs w:val="20"/>
          <w:color w:val="auto"/>
        </w:rPr>
      </w:pPr>
      <w:r>
        <w:rPr>
          <w:rFonts w:ascii="Arial" w:cs="Arial" w:eastAsia="Arial" w:hAnsi="Arial"/>
          <w:sz w:val="16"/>
          <w:szCs w:val="16"/>
          <w:color w:val="auto"/>
        </w:rPr>
        <w:t>Net earnings for the nine-month period ended April 30, 2018 were $56.1 million compared to $70.4 million in the same period last year. During the nine-month period ended April 30, 2018, net earnings were reduced by $21.1 million due to tax charges primarily related to the passage of the U.S. Tax Cuts and Jobs Act of 2017. The prior nine-month period ended April 30, 2017 was impacted by a cash repatriation which resulted in a lower than normal income tax rate.</w:t>
      </w:r>
    </w:p>
    <w:p>
      <w:pPr>
        <w:spacing w:after="0" w:line="2" w:lineRule="exact"/>
        <w:rPr>
          <w:sz w:val="20"/>
          <w:szCs w:val="20"/>
          <w:color w:val="auto"/>
        </w:rPr>
      </w:pPr>
    </w:p>
    <w:p>
      <w:pPr>
        <w:ind w:firstLine="533"/>
        <w:spacing w:after="0" w:line="385" w:lineRule="auto"/>
        <w:rPr>
          <w:sz w:val="20"/>
          <w:szCs w:val="20"/>
          <w:color w:val="auto"/>
        </w:rPr>
      </w:pPr>
      <w:r>
        <w:rPr>
          <w:rFonts w:ascii="Arial" w:cs="Arial" w:eastAsia="Arial" w:hAnsi="Arial"/>
          <w:sz w:val="15"/>
          <w:szCs w:val="15"/>
          <w:color w:val="auto"/>
        </w:rPr>
        <w:t>Earnings per diluted Class A Nonvoting Common Share were $1.07 for the nine-month period ended April 30, 2018, compared to $1.36 in the same period last year. Income tax expense in the prior nine-month period ended April 30, 2017 was impacted by a cash repatriation which increased earnings per diluted Class A Nonvoting Common Share by approximately $0.09, whereas the impact on income tax expense for the nine-month period ended April 30, 2018 from tax charges primarily related to the enactment of U.S. tax legislation was a reduction of approximately $0.40 of earnings per diluted Class A Nonvoting Common Share.</w:t>
      </w:r>
    </w:p>
    <w:p>
      <w:pPr>
        <w:spacing w:after="0" w:line="3" w:lineRule="exact"/>
        <w:rPr>
          <w:sz w:val="20"/>
          <w:szCs w:val="20"/>
          <w:color w:val="auto"/>
        </w:rPr>
      </w:pPr>
    </w:p>
    <w:p>
      <w:pPr>
        <w:jc w:val="both"/>
        <w:ind w:right="220" w:firstLine="533"/>
        <w:spacing w:after="0" w:line="376" w:lineRule="auto"/>
        <w:rPr>
          <w:sz w:val="20"/>
          <w:szCs w:val="20"/>
          <w:color w:val="auto"/>
        </w:rPr>
      </w:pPr>
      <w:r>
        <w:rPr>
          <w:rFonts w:ascii="Arial" w:cs="Arial" w:eastAsia="Arial" w:hAnsi="Arial"/>
          <w:sz w:val="16"/>
          <w:szCs w:val="16"/>
          <w:color w:val="auto"/>
        </w:rPr>
        <w:t>Sales for the nine-month period ended April 30, 2018 increased 6.3 percent to $876.4 million compared to $824.1 million in the same period last year. By segment, sales increased 6.7 percent in Identification Solutions and 5.6 percent in Workplace Safety, which consisted of organic sales growth of 3.7 percent in Identification Solutions and an organic sales decline of 0.1 percent in Workplace Safety.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Commentary:</w:t>
      </w:r>
    </w:p>
    <w:p>
      <w:pPr>
        <w:spacing w:after="0" w:line="97" w:lineRule="exact"/>
        <w:rPr>
          <w:sz w:val="20"/>
          <w:szCs w:val="20"/>
          <w:color w:val="auto"/>
        </w:rPr>
      </w:pPr>
    </w:p>
    <w:p>
      <w:pPr>
        <w:ind w:firstLine="533"/>
        <w:spacing w:after="0" w:line="361" w:lineRule="auto"/>
        <w:rPr>
          <w:sz w:val="20"/>
          <w:szCs w:val="20"/>
          <w:color w:val="auto"/>
        </w:rPr>
      </w:pPr>
      <w:r>
        <w:rPr>
          <w:rFonts w:ascii="Arial" w:cs="Arial" w:eastAsia="Arial" w:hAnsi="Arial"/>
          <w:sz w:val="16"/>
          <w:szCs w:val="16"/>
          <w:color w:val="auto"/>
        </w:rPr>
        <w:t>“Our continued focus on innovation and the development of high-quality products resulted in organic sales growth of 3.2 percent in the quarter, which was driven by both the Identification Solutions and Workplace Safety businesses. This marks our fourth consecutive quarter of organic sales growth and our eleventh consecutive quarter of year-over-year pre-tax earnings growth. We take a consistent and balanced approach to driving organic sales growth while executing sustainable efficiency gains throughout our global operations and SG&amp;A structure,” said Brady’s President and Chief Executive Officer, J. Michael Nauman. “We expect this positive organic sales trend to continue as we launch innovative new products in our Identification Solutions business, and as our Workplace Safety business returns to consistent quarterly organic sales growth and realizes benefits over the long-term due to its product innovation efforts.”</w:t>
      </w:r>
    </w:p>
    <w:p>
      <w:pPr>
        <w:spacing w:after="0" w:line="4" w:lineRule="exact"/>
        <w:rPr>
          <w:sz w:val="20"/>
          <w:szCs w:val="20"/>
          <w:color w:val="auto"/>
        </w:rPr>
      </w:pPr>
    </w:p>
    <w:p>
      <w:pPr>
        <w:ind w:right="60" w:firstLine="533"/>
        <w:spacing w:after="0" w:line="371" w:lineRule="auto"/>
        <w:rPr>
          <w:sz w:val="20"/>
          <w:szCs w:val="20"/>
          <w:color w:val="auto"/>
        </w:rPr>
      </w:pPr>
      <w:r>
        <w:rPr>
          <w:rFonts w:ascii="Arial" w:cs="Arial" w:eastAsia="Arial" w:hAnsi="Arial"/>
          <w:sz w:val="16"/>
          <w:szCs w:val="16"/>
          <w:color w:val="auto"/>
        </w:rPr>
        <w:t>“Our cash generation remains strong,” said Brady’s Chief Financial Officer, Aaron Pearce. “Even after significantly increasing our investments in research and development, we still increased our net cash provided by operating activities by 23.6% this quarter and significantly increased our investments in capital expenditures. We also repaid $11.7 million in debt and finished in a net cash position of $72.7 million as of April 30, 2018. Our strong balance sheet provides us with significant flexibility for investing in opportunities to drive long-term value for our shareholders.”</w:t>
      </w:r>
    </w:p>
    <w:p>
      <w:pPr>
        <w:sectPr>
          <w:pgSz w:w="11900" w:h="16838" w:orient="portrait"/>
          <w:cols w:equalWidth="0" w:num="1">
            <w:col w:w="11460"/>
          </w:cols>
          <w:pgMar w:left="220" w:top="542"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Fiscal 2018 Guidance:</w:t>
      </w:r>
    </w:p>
    <w:p>
      <w:pPr>
        <w:spacing w:after="0" w:line="97" w:lineRule="exact"/>
        <w:rPr>
          <w:sz w:val="20"/>
          <w:szCs w:val="20"/>
          <w:color w:val="auto"/>
        </w:rPr>
      </w:pPr>
    </w:p>
    <w:p>
      <w:pPr>
        <w:ind w:firstLine="533"/>
        <w:spacing w:after="0" w:line="367" w:lineRule="auto"/>
        <w:rPr>
          <w:sz w:val="20"/>
          <w:szCs w:val="20"/>
          <w:color w:val="auto"/>
        </w:rPr>
      </w:pPr>
      <w:r>
        <w:rPr>
          <w:rFonts w:ascii="Arial" w:cs="Arial" w:eastAsia="Arial" w:hAnsi="Arial"/>
          <w:sz w:val="16"/>
          <w:szCs w:val="16"/>
          <w:color w:val="auto"/>
        </w:rPr>
        <w:t>The Company is tightening its full year fiscal 2018 earnings per diluted Class A Nonvoting Common Share guidance from its previous range of $1.90 to $2.00 to a range of $1.95 to $2.00, exclusive of tax charges primarily related to the enactment of the U.S. Tax Cuts and Jobs Act of 2017. Included in this guidance is low-single digit organic sales growth, depreciation and amortization expense of approximately $26 million, and capital expenditures of approximately $20 to $25 million during the year ending July 31, 2018. The Company expects its full-year income tax rate, exclusive of charges primarily related to the enactment of the U.S. Tax Cuts and Jobs Act of 2017, to range from approximately 27 percent to 29 percent. The full benefit of the enactment of U.S. tax legislation will not be realized until next fiscal year. This guidance is based upon foreign exchange rates as of April 30, 2018.</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A webcast regarding Brady’s fiscal 2018 third quarter financial results will be available at </w:t>
      </w:r>
      <w:r>
        <w:rPr>
          <w:rFonts w:ascii="Arial" w:cs="Arial" w:eastAsia="Arial" w:hAnsi="Arial"/>
          <w:sz w:val="15"/>
          <w:szCs w:val="15"/>
          <w:u w:val="single" w:color="auto"/>
          <w:color w:val="auto"/>
        </w:rPr>
        <w:t>www.bradycorp.com/investors</w:t>
      </w:r>
      <w:r>
        <w:rPr>
          <w:rFonts w:ascii="Arial" w:cs="Arial" w:eastAsia="Arial" w:hAnsi="Arial"/>
          <w:sz w:val="15"/>
          <w:szCs w:val="15"/>
          <w:color w:val="auto"/>
        </w:rPr>
        <w:t xml:space="preserve"> beginning at 9:30 a.m. Central Time today.</w:t>
      </w:r>
    </w:p>
    <w:p>
      <w:pPr>
        <w:spacing w:after="0" w:line="360" w:lineRule="exact"/>
        <w:rPr>
          <w:sz w:val="20"/>
          <w:szCs w:val="20"/>
          <w:color w:val="auto"/>
        </w:rPr>
      </w:pPr>
    </w:p>
    <w:p>
      <w:pPr>
        <w:ind w:right="60" w:firstLine="533"/>
        <w:spacing w:after="0" w:line="367"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2017, employed approximately 6,300 people in its worldwide businesses. Brady’s fiscal 2017 sales were approximately $1.11 billion. Brady stock trades on the New York Stock Exchange under the symbol BRC. More information is available on the Internet at </w:t>
      </w:r>
      <w:r>
        <w:rPr>
          <w:rFonts w:ascii="Arial" w:cs="Arial" w:eastAsia="Arial" w:hAnsi="Arial"/>
          <w:sz w:val="16"/>
          <w:szCs w:val="16"/>
          <w:u w:val="single" w:color="auto"/>
          <w:color w:val="0000FF"/>
        </w:rPr>
        <w:t>www.bradycorp.com.</w:t>
      </w:r>
    </w:p>
    <w:p>
      <w:pPr>
        <w:sectPr>
          <w:pgSz w:w="11900" w:h="16838" w:orient="portrait"/>
          <w:cols w:equalWidth="0" w:num="1">
            <w:col w:w="11400"/>
          </w:cols>
          <w:pgMar w:left="220" w:top="542"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color w:val="auto"/>
        </w:rPr>
        <w:t>###</w:t>
      </w:r>
    </w:p>
    <w:p>
      <w:pPr>
        <w:spacing w:after="0" w:line="231"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Brady’s ability to retain large customers; extensive regulations by U.S. and non-U.S. governmental and self-regulatory entities; Brady’s ability to execute facility consolidations and maintain acceptable operational service metrics; litigation, including product liability claims; risks associated with the loss of key employees; divestitures and contingent liabilities from divestitures; Brady’s ability to properly identify, integrate, and grow acquired companies; foreign currency fluctuations; the impact of the Tax Reform Act and any other changes in tax legislation and tax rates;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2017.</w:t>
      </w:r>
    </w:p>
    <w:p>
      <w:pPr>
        <w:spacing w:after="0" w:line="136"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20" w:top="546" w:right="2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EARNINGS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80"/>
              <w:spacing w:after="0"/>
              <w:rPr>
                <w:sz w:val="20"/>
                <w:szCs w:val="20"/>
                <w:color w:val="auto"/>
              </w:rPr>
            </w:pPr>
            <w:r>
              <w:rPr>
                <w:rFonts w:ascii="Arial" w:cs="Arial" w:eastAsia="Arial" w:hAnsi="Arial"/>
                <w:sz w:val="13"/>
                <w:szCs w:val="13"/>
                <w:color w:val="auto"/>
              </w:rPr>
              <w:t>Three months ended April 30,</w:t>
            </w:r>
          </w:p>
        </w:tc>
        <w:tc>
          <w:tcPr>
            <w:tcW w:w="160" w:type="dxa"/>
            <w:vAlign w:val="bottom"/>
          </w:tcPr>
          <w:p>
            <w:pPr>
              <w:spacing w:after="0"/>
              <w:rPr>
                <w:sz w:val="14"/>
                <w:szCs w:val="14"/>
                <w:color w:val="auto"/>
              </w:rPr>
            </w:pPr>
          </w:p>
        </w:tc>
        <w:tc>
          <w:tcPr>
            <w:tcW w:w="1880" w:type="dxa"/>
            <w:vAlign w:val="bottom"/>
            <w:gridSpan w:val="4"/>
          </w:tcPr>
          <w:p>
            <w:pPr>
              <w:jc w:val="right"/>
              <w:ind w:right="173"/>
              <w:spacing w:after="0"/>
              <w:rPr>
                <w:sz w:val="20"/>
                <w:szCs w:val="20"/>
                <w:color w:val="auto"/>
              </w:rPr>
            </w:pPr>
            <w:r>
              <w:rPr>
                <w:rFonts w:ascii="Arial" w:cs="Arial" w:eastAsia="Arial" w:hAnsi="Arial"/>
                <w:sz w:val="13"/>
                <w:szCs w:val="13"/>
                <w:color w:val="auto"/>
                <w:w w:val="98"/>
              </w:rPr>
              <w:t>Nine months ended April 30,</w:t>
            </w:r>
          </w:p>
        </w:tc>
      </w:tr>
      <w:tr>
        <w:trPr>
          <w:trHeight w:val="27"/>
        </w:trPr>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73"/>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2017</w:t>
            </w:r>
          </w:p>
        </w:tc>
      </w:tr>
      <w:tr>
        <w:trPr>
          <w:trHeight w:val="27"/>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298,421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275,927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876,352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824,104</w:t>
            </w: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Cost of products sold</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147,339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435,513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409,679</w:t>
            </w:r>
          </w:p>
        </w:tc>
      </w:tr>
      <w:tr>
        <w:trPr>
          <w:trHeight w:val="27"/>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Gross margin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151,082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139,909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440,839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414,425</w:t>
            </w: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Operating expenses: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Research and development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11,678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33,512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28,577</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101,695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98,409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299,411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291,128</w:t>
            </w:r>
          </w:p>
        </w:tc>
      </w:tr>
      <w:tr>
        <w:trPr>
          <w:trHeight w:val="27"/>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Total operating expenses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113,373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108,359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332,923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319,705</w:t>
            </w:r>
          </w:p>
        </w:tc>
      </w:tr>
      <w:tr>
        <w:trPr>
          <w:trHeight w:val="178"/>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Operating income</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37,709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107,916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94,720</w:t>
            </w:r>
          </w:p>
        </w:tc>
      </w:tr>
      <w:tr>
        <w:trPr>
          <w:trHeight w:val="178"/>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Other income (expense):</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Investment and other income</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1,303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560</w:t>
            </w: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Interest expense</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(4,565)</w:t>
            </w:r>
          </w:p>
        </w:tc>
      </w:tr>
      <w:tr>
        <w:trPr>
          <w:trHeight w:val="169"/>
        </w:trPr>
        <w:tc>
          <w:tcPr>
            <w:tcW w:w="38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Earnings before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36,979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30,628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106,766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90,715</w:t>
            </w:r>
          </w:p>
        </w:tc>
      </w:tr>
      <w:tr>
        <w:trPr>
          <w:trHeight w:val="178"/>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Income tax expense</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50,657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20,312</w:t>
            </w:r>
          </w:p>
        </w:tc>
      </w:tr>
      <w:tr>
        <w:trPr>
          <w:trHeight w:val="169"/>
        </w:trPr>
        <w:tc>
          <w:tcPr>
            <w:tcW w:w="38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1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56,109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70,403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8"/>
        </w:trPr>
        <w:tc>
          <w:tcPr>
            <w:tcW w:w="3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Net earnings per Class A Nonvoting Common Share: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1.09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Diluted</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0.43</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1.36</w:t>
            </w: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0.62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0.62</w:t>
            </w:r>
          </w:p>
        </w:tc>
      </w:tr>
      <w:tr>
        <w:trPr>
          <w:trHeight w:val="178"/>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Net earnings per Class B Voting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Basic</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0.50</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0.44</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Dividends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0.21</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0.61</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0.60</w:t>
            </w: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78"/>
        </w:trPr>
        <w:tc>
          <w:tcPr>
            <w:tcW w:w="3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3820" w:type="dxa"/>
            <w:vAlign w:val="bottom"/>
          </w:tcPr>
          <w:p>
            <w:pPr>
              <w:ind w:left="40"/>
              <w:spacing w:after="0"/>
              <w:rPr>
                <w:sz w:val="20"/>
                <w:szCs w:val="20"/>
                <w:color w:val="auto"/>
              </w:rPr>
            </w:pPr>
            <w:r>
              <w:rPr>
                <w:rFonts w:ascii="Arial" w:cs="Arial" w:eastAsia="Arial" w:hAnsi="Arial"/>
                <w:sz w:val="13"/>
                <w:szCs w:val="13"/>
                <w:color w:val="auto"/>
              </w:rPr>
              <w:t>Weighted average common shares outstanding (in thousands):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shd w:val="clear" w:color="auto" w:fill="CCEEFF"/>
              </w:rPr>
              <w:t>Basic</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51,747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51,227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51,628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50,972</w:t>
            </w:r>
          </w:p>
        </w:tc>
      </w:tr>
      <w:tr>
        <w:trPr>
          <w:trHeight w:val="195"/>
        </w:trPr>
        <w:tc>
          <w:tcPr>
            <w:tcW w:w="3820" w:type="dxa"/>
            <w:vAlign w:val="bottom"/>
          </w:tcPr>
          <w:p>
            <w:pPr>
              <w:ind w:left="24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52,729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52,201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52,610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51,882</w:t>
            </w:r>
          </w:p>
        </w:tc>
      </w:tr>
    </w:tbl>
    <w:p>
      <w:pPr>
        <w:sectPr>
          <w:pgSz w:w="11900" w:h="16838" w:orient="portrait"/>
          <w:cols w:equalWidth="0" w:num="1">
            <w:col w:w="10239"/>
          </w:cols>
          <w:pgMar w:left="220" w:top="506"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April 30, 2018</w:t>
            </w:r>
          </w:p>
        </w:tc>
        <w:tc>
          <w:tcPr>
            <w:tcW w:w="160" w:type="dxa"/>
            <w:vAlign w:val="bottom"/>
          </w:tcPr>
          <w:p>
            <w:pPr>
              <w:spacing w:after="0"/>
              <w:rPr>
                <w:sz w:val="14"/>
                <w:szCs w:val="14"/>
                <w:color w:val="auto"/>
              </w:rPr>
            </w:pPr>
          </w:p>
        </w:tc>
        <w:tc>
          <w:tcPr>
            <w:tcW w:w="1000" w:type="dxa"/>
            <w:vAlign w:val="bottom"/>
          </w:tcPr>
          <w:p>
            <w:pPr>
              <w:jc w:val="right"/>
              <w:ind w:right="153"/>
              <w:spacing w:after="0"/>
              <w:rPr>
                <w:sz w:val="20"/>
                <w:szCs w:val="20"/>
                <w:color w:val="auto"/>
              </w:rPr>
            </w:pPr>
            <w:r>
              <w:rPr>
                <w:rFonts w:ascii="Arial" w:cs="Arial" w:eastAsia="Arial" w:hAnsi="Arial"/>
                <w:sz w:val="13"/>
                <w:szCs w:val="13"/>
                <w:color w:val="auto"/>
                <w:w w:val="98"/>
              </w:rPr>
              <w:t>July 31, 2017</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w w:val="92"/>
              </w:rPr>
              <w:t>ASSETS</w:t>
            </w:r>
          </w:p>
        </w:tc>
        <w:tc>
          <w:tcPr>
            <w:tcW w:w="2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4"/>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Arial" w:cs="Arial" w:eastAsia="Arial" w:hAnsi="Arial"/>
                <w:sz w:val="13"/>
                <w:szCs w:val="13"/>
                <w:b w:val="1"/>
                <w:bCs w:val="1"/>
                <w:color w:val="auto"/>
              </w:rPr>
              <w:t>Current assets: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130,903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133,944</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Accounts receivable—net</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161,319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149,638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Arial" w:cs="Arial" w:eastAsia="Arial" w:hAnsi="Arial"/>
                <w:sz w:val="13"/>
                <w:szCs w:val="13"/>
                <w:color w:val="auto"/>
              </w:rPr>
              <w:t>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Finished products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72,809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69,760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3"/>
                <w:szCs w:val="13"/>
                <w:color w:val="auto"/>
              </w:rPr>
              <w:t>Work-in-process</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20,126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18,117</w:t>
            </w: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Raw materials and supplies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22,598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19,147</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62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3"/>
                <w:szCs w:val="13"/>
                <w:color w:val="auto"/>
              </w:rPr>
              <w:t>Total inventories</w:t>
            </w: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115,533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107,024</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17,295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17,208</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w w:val="89"/>
                <w:shd w:val="clear" w:color="auto" w:fill="CCEEFF"/>
              </w:rPr>
              <w:t>Total current assets</w:t>
            </w:r>
          </w:p>
        </w:tc>
        <w:tc>
          <w:tcPr>
            <w:tcW w:w="2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284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425,050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407,814</w:t>
            </w:r>
          </w:p>
        </w:tc>
      </w:tr>
      <w:tr>
        <w:trPr>
          <w:trHeight w:val="184"/>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Arial" w:cs="Arial" w:eastAsia="Arial" w:hAnsi="Arial"/>
                <w:sz w:val="13"/>
                <w:szCs w:val="13"/>
                <w:b w:val="1"/>
                <w:bCs w:val="1"/>
                <w:color w:val="auto"/>
              </w:rPr>
              <w:t>Other assets: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color w:val="auto"/>
                <w:shd w:val="clear" w:color="auto" w:fill="CCEEFF"/>
              </w:rPr>
              <w:t>Goodwill</w:t>
            </w: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435,426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437,697</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Other intangible assets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48,036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53,076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3"/>
                <w:szCs w:val="13"/>
                <w:color w:val="auto"/>
                <w:shd w:val="clear" w:color="auto" w:fill="CCEEFF"/>
              </w:rPr>
              <w:t>Deferred 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8,688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35,456</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17,758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18,077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b w:val="1"/>
                <w:bCs w:val="1"/>
                <w:color w:val="auto"/>
                <w:w w:val="99"/>
                <w:shd w:val="clear" w:color="auto" w:fill="CCEEFF"/>
              </w:rPr>
              <w:t>Property, plant and equipment:</w:t>
            </w: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84"/>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Cost:</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Land</w:t>
            </w:r>
          </w:p>
        </w:tc>
        <w:tc>
          <w:tcPr>
            <w:tcW w:w="112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7,332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7,470</w:t>
            </w: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Buildings and improvements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98,005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98,228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92"/>
                <w:shd w:val="clear" w:color="auto" w:fill="CCEEFF"/>
              </w:rPr>
              <w:t>Machinery and equipment</w:t>
            </w: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268,736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261,192</w:t>
            </w:r>
          </w:p>
        </w:tc>
      </w:tr>
      <w:tr>
        <w:trPr>
          <w:trHeight w:val="195"/>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00" w:type="dxa"/>
            <w:vAlign w:val="bottom"/>
            <w:gridSpan w:val="7"/>
          </w:tcPr>
          <w:p>
            <w:pPr>
              <w:spacing w:after="0"/>
              <w:rPr>
                <w:sz w:val="20"/>
                <w:szCs w:val="20"/>
                <w:color w:val="auto"/>
              </w:rPr>
            </w:pPr>
            <w:r>
              <w:rPr>
                <w:rFonts w:ascii="Arial" w:cs="Arial" w:eastAsia="Arial" w:hAnsi="Arial"/>
                <w:sz w:val="13"/>
                <w:szCs w:val="13"/>
                <w:color w:val="auto"/>
              </w:rPr>
              <w:t>Construction in progress</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6,557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4,109</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380,630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370,999</w:t>
            </w: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Arial" w:cs="Arial" w:eastAsia="Arial" w:hAnsi="Arial"/>
                <w:sz w:val="13"/>
                <w:szCs w:val="13"/>
                <w:color w:val="auto"/>
              </w:rPr>
              <w:t>Less accumulated depreciation</w:t>
            </w:r>
          </w:p>
        </w:tc>
        <w:tc>
          <w:tcPr>
            <w:tcW w:w="1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282,181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272,896</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b w:val="1"/>
                <w:bCs w:val="1"/>
                <w:color w:val="auto"/>
                <w:w w:val="92"/>
                <w:shd w:val="clear" w:color="auto" w:fill="CCEEFF"/>
              </w:rPr>
              <w:t>Property, plant and equipment—net</w:t>
            </w: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98,449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98,103</w:t>
            </w:r>
          </w:p>
        </w:tc>
      </w:tr>
      <w:tr>
        <w:trPr>
          <w:trHeight w:val="175"/>
        </w:trPr>
        <w:tc>
          <w:tcPr>
            <w:tcW w:w="40" w:type="dxa"/>
            <w:vAlign w:val="bottom"/>
          </w:tcPr>
          <w:p>
            <w:pPr>
              <w:spacing w:after="0"/>
              <w:rPr>
                <w:sz w:val="15"/>
                <w:szCs w:val="15"/>
                <w:color w:val="auto"/>
              </w:rPr>
            </w:pPr>
          </w:p>
        </w:tc>
        <w:tc>
          <w:tcPr>
            <w:tcW w:w="5440" w:type="dxa"/>
            <w:vAlign w:val="bottom"/>
            <w:gridSpan w:val="8"/>
          </w:tcPr>
          <w:p>
            <w:pPr>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1,033,407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1,050,223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5016500" cy="161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16500" cy="161925"/>
                    </a:xfrm>
                    <a:prstGeom prst="rect">
                      <a:avLst/>
                    </a:prstGeom>
                    <a:noFill/>
                  </pic:spPr>
                </pic:pic>
              </a:graphicData>
            </a:graphic>
          </wp:anchor>
        </w:drawing>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b w:val="1"/>
          <w:bCs w:val="1"/>
          <w:u w:val="single" w:color="auto"/>
          <w:color w:val="auto"/>
          <w:shd w:val="clear" w:color="auto" w:fill="CCEEFF"/>
        </w:rPr>
        <w:t>LIABILITIES AND STOCKHOLDERS’ INVESTMENT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16500" cy="140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ectPr>
          <w:pgSz w:w="11900" w:h="16838" w:orient="portrait"/>
          <w:cols w:equalWidth="0" w:num="1">
            <w:col w:w="10239"/>
          </w:cols>
          <w:pgMar w:left="220" w:top="506" w:right="1440" w:bottom="1440" w:gutter="0" w:footer="0" w:header="0"/>
        </w:sectPr>
      </w:pPr>
    </w:p>
    <w:p>
      <w:pPr>
        <w:spacing w:after="0" w:line="76" w:lineRule="exact"/>
        <w:rPr>
          <w:sz w:val="20"/>
          <w:szCs w:val="20"/>
          <w:color w:val="auto"/>
        </w:rPr>
      </w:pPr>
    </w:p>
    <w:p>
      <w:pPr>
        <w:ind w:left="320"/>
        <w:spacing w:after="0"/>
        <w:tabs>
          <w:tab w:leader="none" w:pos="5500" w:val="left"/>
        </w:tabs>
        <w:rPr>
          <w:sz w:val="20"/>
          <w:szCs w:val="20"/>
          <w:color w:val="auto"/>
        </w:rPr>
      </w:pPr>
      <w:r>
        <w:rPr>
          <w:rFonts w:ascii="Arial" w:cs="Arial" w:eastAsia="Arial" w:hAnsi="Arial"/>
          <w:sz w:val="13"/>
          <w:szCs w:val="13"/>
          <w:color w:val="auto"/>
          <w:shd w:val="clear" w:color="auto" w:fill="CCEEFF"/>
        </w:rPr>
        <w:t>Notes payable</w:t>
      </w:r>
      <w:r>
        <w:rPr>
          <w:sz w:val="20"/>
          <w:szCs w:val="20"/>
          <w:color w:val="auto"/>
        </w:rPr>
        <w:tab/>
      </w:r>
      <w:r>
        <w:rPr>
          <w:rFonts w:ascii="Arial" w:cs="Arial" w:eastAsia="Arial" w:hAnsi="Arial"/>
          <w:sz w:val="10"/>
          <w:szCs w:val="10"/>
          <w:color w:val="auto"/>
        </w:rPr>
        <w:t>$</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shd w:val="clear" w:color="auto" w:fill="CCEEFF"/>
        </w:rPr>
        <w:t>Wages and amounts withheld from employees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Accrued income taxes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shd w:val="clear" w:color="auto" w:fill="CCEEFF"/>
        </w:rPr>
        <w:t>Total current liabilities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Long-term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16500" cy="14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shd w:val="clear" w:color="auto" w:fill="CCEEFF"/>
        </w:rPr>
        <w:t>Other liabilities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16500" cy="140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shd w:val="clear" w:color="auto" w:fill="CCEEFF"/>
        </w:rPr>
        <w:t>Stockholders’ investment: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239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16500" cy="239395"/>
                    </a:xfrm>
                    <a:prstGeom prst="rect">
                      <a:avLst/>
                    </a:prstGeom>
                    <a:noFill/>
                  </pic:spPr>
                </pic:pic>
              </a:graphicData>
            </a:graphic>
          </wp:anchor>
        </w:drawing>
      </w:r>
    </w:p>
    <w:p>
      <w:pPr>
        <w:spacing w:after="0" w:line="52" w:lineRule="exact"/>
        <w:rPr>
          <w:sz w:val="20"/>
          <w:szCs w:val="20"/>
          <w:color w:val="auto"/>
        </w:rPr>
      </w:pPr>
    </w:p>
    <w:p>
      <w:pPr>
        <w:ind w:left="580" w:right="140"/>
        <w:spacing w:after="0" w:line="297" w:lineRule="auto"/>
        <w:rPr>
          <w:sz w:val="20"/>
          <w:szCs w:val="20"/>
          <w:color w:val="auto"/>
        </w:rPr>
      </w:pPr>
      <w:r>
        <w:rPr>
          <w:rFonts w:ascii="Arial" w:cs="Arial" w:eastAsia="Arial" w:hAnsi="Arial"/>
          <w:sz w:val="13"/>
          <w:szCs w:val="13"/>
          <w:color w:val="auto"/>
          <w:shd w:val="clear" w:color="auto" w:fill="CCEEFF"/>
        </w:rPr>
        <w:t>Class A nonvoting common stock—Issued 51,261,487 and 51,261,487 shares, respectively, and outstanding 48,205,763 and 47,814,818 shares, respectively</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Class B voting common stock—Issued and outstanding, 3,538,628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shd w:val="clear" w:color="auto" w:fill="CCEEFF"/>
        </w:rPr>
        <w:t>Additional paid-in capital</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Earnings retained in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239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16500" cy="239395"/>
                    </a:xfrm>
                    <a:prstGeom prst="rect">
                      <a:avLst/>
                    </a:prstGeom>
                    <a:noFill/>
                  </pic:spPr>
                </pic:pic>
              </a:graphicData>
            </a:graphic>
          </wp:anchor>
        </w:drawing>
      </w:r>
    </w:p>
    <w:p>
      <w:pPr>
        <w:spacing w:after="0" w:line="52" w:lineRule="exact"/>
        <w:rPr>
          <w:sz w:val="20"/>
          <w:szCs w:val="20"/>
          <w:color w:val="auto"/>
        </w:rPr>
      </w:pPr>
    </w:p>
    <w:p>
      <w:pPr>
        <w:ind w:left="320" w:right="280"/>
        <w:spacing w:after="0" w:line="297" w:lineRule="auto"/>
        <w:rPr>
          <w:sz w:val="20"/>
          <w:szCs w:val="20"/>
          <w:color w:val="auto"/>
        </w:rPr>
      </w:pPr>
      <w:r>
        <w:rPr>
          <w:rFonts w:ascii="Arial" w:cs="Arial" w:eastAsia="Arial" w:hAnsi="Arial"/>
          <w:sz w:val="13"/>
          <w:szCs w:val="13"/>
          <w:color w:val="auto"/>
          <w:shd w:val="clear" w:color="auto" w:fill="CCEEFF"/>
        </w:rPr>
        <w:t>Treasury stock—3,055,724 and 3,446,669 shares, respectively of Class A nonvoting common stock, at cost</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16500" cy="140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16500" cy="140970"/>
                    </a:xfrm>
                    <a:prstGeom prst="rect">
                      <a:avLst/>
                    </a:prstGeom>
                    <a:noFill/>
                  </pic:spPr>
                </pic:pic>
              </a:graphicData>
            </a:graphic>
          </wp:anchor>
        </w:drawing>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shd w:val="clear" w:color="auto" w:fill="CCEEFF"/>
        </w:rPr>
        <w:t>Total stockholders’ investment</w:t>
      </w:r>
    </w:p>
    <w:p>
      <w:pPr>
        <w:spacing w:after="0" w:line="72"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0"/>
          <w:szCs w:val="10"/>
          <w:b w:val="1"/>
          <w:bCs w:val="1"/>
          <w:color w:val="auto"/>
        </w:rPr>
        <w:t>Total</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9"/>
        </w:trPr>
        <w:tc>
          <w:tcPr>
            <w:tcW w:w="96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3,228</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68,627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66,817</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56,995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58,192</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7,772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7,970</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5,564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7,373</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42,436</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43,618</w:t>
            </w:r>
          </w:p>
        </w:tc>
      </w:tr>
      <w:tr>
        <w:trPr>
          <w:trHeight w:val="27"/>
        </w:trPr>
        <w:tc>
          <w:tcPr>
            <w:tcW w:w="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5"/>
        </w:trPr>
        <w:tc>
          <w:tcPr>
            <w:tcW w:w="580" w:type="dxa"/>
            <w:vAlign w:val="bottom"/>
          </w:tcPr>
          <w:p>
            <w:pPr>
              <w:jc w:val="right"/>
              <w:ind w:right="93"/>
              <w:spacing w:after="0"/>
              <w:rPr>
                <w:sz w:val="20"/>
                <w:szCs w:val="20"/>
                <w:color w:val="auto"/>
              </w:rPr>
            </w:pPr>
            <w:r>
              <w:rPr>
                <w:rFonts w:ascii="Arial" w:cs="Arial" w:eastAsia="Arial" w:hAnsi="Arial"/>
                <w:sz w:val="13"/>
                <w:szCs w:val="13"/>
                <w:color w:val="auto"/>
                <w:w w:val="85"/>
              </w:rPr>
              <w:t>181,394</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187,198</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58,157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104,536</w:t>
            </w:r>
          </w:p>
        </w:tc>
      </w:tr>
      <w:tr>
        <w:trPr>
          <w:trHeight w:val="222"/>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59,209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58,349</w:t>
            </w:r>
          </w:p>
        </w:tc>
      </w:tr>
      <w:tr>
        <w:trPr>
          <w:trHeight w:val="27"/>
        </w:trPr>
        <w:tc>
          <w:tcPr>
            <w:tcW w:w="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5"/>
        </w:trPr>
        <w:tc>
          <w:tcPr>
            <w:tcW w:w="580" w:type="dxa"/>
            <w:vAlign w:val="bottom"/>
          </w:tcPr>
          <w:p>
            <w:pPr>
              <w:jc w:val="right"/>
              <w:ind w:right="93"/>
              <w:spacing w:after="0"/>
              <w:rPr>
                <w:sz w:val="20"/>
                <w:szCs w:val="20"/>
                <w:color w:val="auto"/>
              </w:rPr>
            </w:pPr>
            <w:r>
              <w:rPr>
                <w:rFonts w:ascii="Arial" w:cs="Arial" w:eastAsia="Arial" w:hAnsi="Arial"/>
                <w:sz w:val="13"/>
                <w:szCs w:val="13"/>
                <w:color w:val="auto"/>
                <w:w w:val="85"/>
              </w:rPr>
              <w:t>298,760</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350,083</w:t>
            </w:r>
          </w:p>
        </w:tc>
      </w:tr>
      <w:tr>
        <w:trPr>
          <w:trHeight w:val="821"/>
        </w:trPr>
        <w:tc>
          <w:tcPr>
            <w:tcW w:w="580" w:type="dxa"/>
            <w:vAlign w:val="bottom"/>
          </w:tcPr>
          <w:p>
            <w:pPr>
              <w:jc w:val="right"/>
              <w:ind w:right="93"/>
              <w:spacing w:after="0"/>
              <w:rPr>
                <w:sz w:val="20"/>
                <w:szCs w:val="20"/>
                <w:color w:val="auto"/>
              </w:rPr>
            </w:pPr>
            <w:r>
              <w:rPr>
                <w:rFonts w:ascii="Arial" w:cs="Arial" w:eastAsia="Arial" w:hAnsi="Arial"/>
                <w:sz w:val="13"/>
                <w:szCs w:val="13"/>
                <w:color w:val="auto"/>
              </w:rPr>
              <w:t>513</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-644525</wp:posOffset>
            </wp:positionV>
            <wp:extent cx="73977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33" w:lineRule="exact"/>
        <w:rPr>
          <w:sz w:val="20"/>
          <w:szCs w:val="20"/>
          <w:color w:val="auto"/>
        </w:rPr>
      </w:pPr>
    </w:p>
    <w:p>
      <w:pPr>
        <w:ind w:left="1640" w:hanging="1245"/>
        <w:spacing w:after="0"/>
        <w:tabs>
          <w:tab w:leader="none" w:pos="1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35</w:t>
      </w:r>
    </w:p>
    <w:p>
      <w:pPr>
        <w:spacing w:after="0" w:line="72"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327,401</w:t>
      </w:r>
      <w:r>
        <w:rPr>
          <w:rFonts w:ascii="Arial" w:cs="Arial" w:eastAsia="Arial" w:hAnsi="Arial"/>
          <w:sz w:val="12"/>
          <w:szCs w:val="12"/>
          <w:color w:val="auto"/>
        </w:rPr>
        <w:t>322,608</w:t>
      </w:r>
    </w:p>
    <w:p>
      <w:pPr>
        <w:spacing w:after="0" w:line="72"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531,135</w:t>
      </w:r>
      <w:r>
        <w:rPr>
          <w:rFonts w:ascii="Arial" w:cs="Arial" w:eastAsia="Arial" w:hAnsi="Arial"/>
          <w:sz w:val="12"/>
          <w:szCs w:val="12"/>
          <w:color w:val="auto"/>
        </w:rPr>
        <w:t>507,136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jc w:val="right"/>
              <w:ind w:right="33"/>
              <w:spacing w:after="0"/>
              <w:rPr>
                <w:sz w:val="20"/>
                <w:szCs w:val="20"/>
                <w:color w:val="auto"/>
              </w:rPr>
            </w:pPr>
            <w:r>
              <w:rPr>
                <w:rFonts w:ascii="Arial" w:cs="Arial" w:eastAsia="Arial" w:hAnsi="Arial"/>
                <w:sz w:val="13"/>
                <w:szCs w:val="13"/>
                <w:color w:val="auto"/>
              </w:rPr>
              <w:t>(76,291)</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(85,470)</w:t>
            </w:r>
          </w:p>
        </w:tc>
      </w:tr>
      <w:tr>
        <w:trPr>
          <w:trHeight w:val="222"/>
        </w:trPr>
        <w:tc>
          <w:tcPr>
            <w:tcW w:w="680" w:type="dxa"/>
            <w:vAlign w:val="bottom"/>
          </w:tcPr>
          <w:p>
            <w:pPr>
              <w:jc w:val="right"/>
              <w:ind w:right="33"/>
              <w:spacing w:after="0"/>
              <w:rPr>
                <w:sz w:val="20"/>
                <w:szCs w:val="20"/>
                <w:color w:val="auto"/>
              </w:rPr>
            </w:pPr>
            <w:r>
              <w:rPr>
                <w:rFonts w:ascii="Arial" w:cs="Arial" w:eastAsia="Arial" w:hAnsi="Arial"/>
                <w:sz w:val="13"/>
                <w:szCs w:val="13"/>
                <w:color w:val="auto"/>
              </w:rPr>
              <w:t>(48,146)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(44,682)</w:t>
            </w:r>
          </w:p>
        </w:tc>
      </w:tr>
      <w:tr>
        <w:trPr>
          <w:trHeight w:val="222"/>
        </w:trPr>
        <w:tc>
          <w:tcPr>
            <w:tcW w:w="680" w:type="dxa"/>
            <w:vAlign w:val="bottom"/>
          </w:tcPr>
          <w:p>
            <w:pPr>
              <w:jc w:val="right"/>
              <w:ind w:right="93"/>
              <w:spacing w:after="0"/>
              <w:rPr>
                <w:sz w:val="20"/>
                <w:szCs w:val="20"/>
                <w:color w:val="auto"/>
              </w:rPr>
            </w:pPr>
            <w:r>
              <w:rPr>
                <w:rFonts w:ascii="Arial" w:cs="Arial" w:eastAsia="Arial" w:hAnsi="Arial"/>
                <w:sz w:val="13"/>
                <w:szCs w:val="13"/>
                <w:color w:val="auto"/>
              </w:rPr>
              <w:t>734,647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700,140</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5"/>
        </w:trPr>
        <w:tc>
          <w:tcPr>
            <w:tcW w:w="680" w:type="dxa"/>
            <w:vAlign w:val="bottom"/>
          </w:tcPr>
          <w:p>
            <w:pPr>
              <w:jc w:val="right"/>
              <w:ind w:right="93"/>
              <w:spacing w:after="0"/>
              <w:rPr>
                <w:sz w:val="20"/>
                <w:szCs w:val="20"/>
                <w:color w:val="auto"/>
              </w:rPr>
            </w:pPr>
            <w:r>
              <w:rPr>
                <w:rFonts w:ascii="Arial" w:cs="Arial" w:eastAsia="Arial" w:hAnsi="Arial"/>
                <w:sz w:val="13"/>
                <w:szCs w:val="13"/>
                <w:color w:val="auto"/>
                <w:w w:val="86"/>
              </w:rPr>
              <w:t>1,033,407</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1,050,223</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-20320</wp:posOffset>
            </wp:positionV>
            <wp:extent cx="73977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-6350</wp:posOffset>
            </wp:positionV>
            <wp:extent cx="7397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-161290</wp:posOffset>
            </wp:positionV>
            <wp:extent cx="7397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ectPr>
          <w:pgSz w:w="11900" w:h="16838" w:orient="portrait"/>
          <w:cols w:equalWidth="0" w:num="2">
            <w:col w:w="5580" w:space="480"/>
            <w:col w:w="4179"/>
          </w:cols>
          <w:pgMar w:left="220" w:top="506" w:right="1440" w:bottom="1440" w:gutter="0" w:footer="0" w:header="0"/>
          <w:type w:val="continuous"/>
        </w:sectPr>
      </w:pPr>
    </w:p>
    <w:bookmarkStart w:id="8" w:name="page9"/>
    <w:bookmarkEnd w:id="8"/>
    <w:p>
      <w:pPr>
        <w:ind w:right="2080"/>
        <w:spacing w:after="0" w:line="267" w:lineRule="auto"/>
        <w:rPr>
          <w:sz w:val="20"/>
          <w:szCs w:val="20"/>
          <w:color w:val="auto"/>
        </w:rPr>
      </w:pPr>
      <w:r>
        <w:rPr>
          <w:rFonts w:ascii="Arial" w:cs="Arial" w:eastAsia="Arial" w:hAnsi="Arial"/>
          <w:sz w:val="13"/>
          <w:szCs w:val="13"/>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5073015" cy="14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Operating activities: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Adjustments to reconcile net income to net cash provided by operating activities:</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3"/>
          <w:szCs w:val="13"/>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Non-cash portion of stock-based compensation expense</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Changes in operating assets and liabilities:</w:t>
      </w:r>
    </w:p>
    <w:p>
      <w:pPr>
        <w:spacing w:after="0" w:line="7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Inventories</w:t>
      </w:r>
    </w:p>
    <w:p>
      <w:pPr>
        <w:spacing w:after="0" w:line="7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Accounts payable and accrued liabilities</w:t>
      </w:r>
    </w:p>
    <w:p>
      <w:pPr>
        <w:spacing w:after="0" w:line="7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5073015" cy="140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Investing activities: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shd w:val="clear" w:color="auto" w:fill="CCEEFF"/>
        </w:rPr>
        <w:t>Other</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shd w:val="clear" w:color="auto" w:fill="CCEEFF"/>
        </w:rPr>
        <w:t>Payment of dividends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shd w:val="clear" w:color="auto" w:fill="CCEEFF"/>
        </w:rPr>
        <w:t>Purchase of treasury stock</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Proceeds from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shd w:val="clear" w:color="auto" w:fill="CCEEFF"/>
        </w:rPr>
        <w:t>Repayment of borrowing on credit facilities</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Principal 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3"/>
          <w:szCs w:val="13"/>
          <w:color w:val="auto"/>
          <w:shd w:val="clear" w:color="auto" w:fill="CCEEFF"/>
        </w:rPr>
        <w:t>Income tax on equity-based compensation, and other</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7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7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5073015" cy="140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shd w:val="clear" w:color="auto" w:fill="CCEEFF"/>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191135</wp:posOffset>
            </wp:positionV>
            <wp:extent cx="5073015" cy="140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31064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93"/>
              <w:spacing w:after="0"/>
              <w:rPr>
                <w:sz w:val="20"/>
                <w:szCs w:val="20"/>
                <w:color w:val="auto"/>
              </w:rPr>
            </w:pPr>
            <w:r>
              <w:rPr>
                <w:rFonts w:ascii="Arial" w:cs="Arial" w:eastAsia="Arial" w:hAnsi="Arial"/>
                <w:sz w:val="13"/>
                <w:szCs w:val="13"/>
                <w:color w:val="auto"/>
              </w:rPr>
              <w:t>2017</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408"/>
        </w:trPr>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56,109</w:t>
            </w:r>
          </w:p>
        </w:tc>
        <w:tc>
          <w:tcPr>
            <w:tcW w:w="80" w:type="dxa"/>
            <w:vAlign w:val="bottom"/>
          </w:tcPr>
          <w:p>
            <w:pPr>
              <w:spacing w:after="0"/>
              <w:rPr>
                <w:sz w:val="24"/>
                <w:szCs w:val="24"/>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70,403</w:t>
            </w:r>
          </w:p>
        </w:tc>
      </w:tr>
      <w:tr>
        <w:trPr>
          <w:trHeight w:val="444"/>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19,047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20,789</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7,445</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26,501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(2,707)</w:t>
            </w:r>
          </w:p>
        </w:tc>
      </w:tr>
    </w:tbl>
    <w:p>
      <w:pPr>
        <w:spacing w:after="0" w:line="275" w:lineRule="exact"/>
        <w:rPr>
          <w:sz w:val="20"/>
          <w:szCs w:val="20"/>
          <w:color w:val="auto"/>
        </w:rPr>
      </w:pPr>
    </w:p>
    <w:p>
      <w:pPr>
        <w:jc w:val="both"/>
        <w:ind w:left="500"/>
        <w:spacing w:after="0"/>
        <w:tabs>
          <w:tab w:leader="none" w:pos="1720" w:val="left"/>
        </w:tabs>
        <w:rPr>
          <w:sz w:val="20"/>
          <w:szCs w:val="20"/>
          <w:color w:val="auto"/>
        </w:rPr>
      </w:pPr>
      <w:r>
        <w:rPr>
          <w:rFonts w:ascii="Arial" w:cs="Arial" w:eastAsia="Arial" w:hAnsi="Arial"/>
          <w:sz w:val="13"/>
          <w:szCs w:val="13"/>
          <w:color w:val="auto"/>
        </w:rPr>
        <w:t>(10,710)</w:t>
      </w:r>
      <w:r>
        <w:rPr>
          <w:sz w:val="20"/>
          <w:szCs w:val="20"/>
          <w:color w:val="auto"/>
        </w:rPr>
        <w:tab/>
      </w:r>
      <w:r>
        <w:rPr>
          <w:rFonts w:ascii="Arial" w:cs="Arial" w:eastAsia="Arial" w:hAnsi="Arial"/>
          <w:sz w:val="13"/>
          <w:szCs w:val="13"/>
          <w:color w:val="auto"/>
        </w:rPr>
        <w:t>(931)</w:t>
      </w:r>
    </w:p>
    <w:p>
      <w:pPr>
        <w:spacing w:after="0" w:line="72"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3"/>
          <w:szCs w:val="13"/>
          <w:color w:val="auto"/>
        </w:rPr>
        <w:t>(7,790)</w:t>
      </w:r>
      <w:r>
        <w:rPr>
          <w:sz w:val="20"/>
          <w:szCs w:val="20"/>
          <w:color w:val="auto"/>
        </w:rPr>
        <w:tab/>
      </w:r>
      <w:r>
        <w:rPr>
          <w:rFonts w:ascii="Arial" w:cs="Arial" w:eastAsia="Arial" w:hAnsi="Arial"/>
          <w:sz w:val="13"/>
          <w:szCs w:val="13"/>
          <w:color w:val="auto"/>
        </w:rPr>
        <w:t>666</w:t>
      </w:r>
    </w:p>
    <w:p>
      <w:pPr>
        <w:spacing w:after="0" w:line="72" w:lineRule="exact"/>
        <w:rPr>
          <w:sz w:val="20"/>
          <w:szCs w:val="20"/>
          <w:color w:val="auto"/>
        </w:rPr>
      </w:pPr>
    </w:p>
    <w:p>
      <w:pPr>
        <w:jc w:val="both"/>
        <w:ind w:left="720"/>
        <w:spacing w:after="0"/>
        <w:tabs>
          <w:tab w:leader="none" w:pos="1620" w:val="left"/>
        </w:tabs>
        <w:rPr>
          <w:sz w:val="20"/>
          <w:szCs w:val="20"/>
          <w:color w:val="auto"/>
        </w:rPr>
      </w:pPr>
      <w:r>
        <w:rPr>
          <w:rFonts w:ascii="Arial" w:cs="Arial" w:eastAsia="Arial" w:hAnsi="Arial"/>
          <w:sz w:val="13"/>
          <w:szCs w:val="13"/>
          <w:color w:val="auto"/>
        </w:rPr>
        <w:t>480</w:t>
      </w:r>
      <w:r>
        <w:rPr>
          <w:sz w:val="20"/>
          <w:szCs w:val="20"/>
          <w:color w:val="auto"/>
        </w:rPr>
        <w:tab/>
      </w:r>
      <w:r>
        <w:rPr>
          <w:rFonts w:ascii="Arial" w:cs="Arial" w:eastAsia="Arial" w:hAnsi="Arial"/>
          <w:sz w:val="13"/>
          <w:szCs w:val="13"/>
          <w:color w:val="auto"/>
        </w:rPr>
        <w:t>(1,987)</w:t>
      </w:r>
    </w:p>
    <w:p>
      <w:pPr>
        <w:spacing w:after="0" w:line="72" w:lineRule="exact"/>
        <w:rPr>
          <w:sz w:val="20"/>
          <w:szCs w:val="20"/>
          <w:color w:val="auto"/>
        </w:rPr>
      </w:pPr>
    </w:p>
    <w:p>
      <w:pPr>
        <w:ind w:left="1800" w:hanging="1129"/>
        <w:spacing w:after="0"/>
        <w:tabs>
          <w:tab w:leader="none" w:pos="1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754</w:t>
      </w:r>
    </w:p>
    <w:p>
      <w:pPr>
        <w:spacing w:after="0" w:line="72"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3"/>
          <w:szCs w:val="13"/>
          <w:color w:val="auto"/>
        </w:rPr>
        <w:t>(1,863)</w:t>
      </w:r>
      <w:r>
        <w:rPr>
          <w:rFonts w:ascii="Arial" w:cs="Arial" w:eastAsia="Arial" w:hAnsi="Arial"/>
          <w:sz w:val="12"/>
          <w:szCs w:val="12"/>
          <w:color w:val="auto"/>
        </w:rPr>
        <w:t>(3,270)</w:t>
      </w:r>
    </w:p>
    <w:p>
      <w:pPr>
        <w:spacing w:after="0" w:line="72"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color w:val="auto"/>
        </w:rPr>
        <w:t>89,222</w:t>
      </w:r>
      <w:r>
        <w:rPr>
          <w:rFonts w:ascii="Arial" w:cs="Arial" w:eastAsia="Arial" w:hAnsi="Arial"/>
          <w:sz w:val="12"/>
          <w:szCs w:val="12"/>
          <w:color w:val="auto"/>
        </w:rPr>
        <w:t>91,162</w:t>
      </w:r>
    </w:p>
    <w:p>
      <w:pPr>
        <w:spacing w:after="0" w:line="200" w:lineRule="exact"/>
        <w:rPr>
          <w:sz w:val="20"/>
          <w:szCs w:val="20"/>
          <w:color w:val="auto"/>
        </w:rPr>
      </w:pPr>
    </w:p>
    <w:p>
      <w:pPr>
        <w:spacing w:after="0" w:line="327" w:lineRule="exact"/>
        <w:rPr>
          <w:sz w:val="20"/>
          <w:szCs w:val="20"/>
          <w:color w:val="auto"/>
        </w:rPr>
      </w:pPr>
    </w:p>
    <w:p>
      <w:pPr>
        <w:jc w:val="both"/>
        <w:ind w:left="500"/>
        <w:spacing w:after="0"/>
        <w:tabs>
          <w:tab w:leader="none" w:pos="1560" w:val="left"/>
        </w:tabs>
        <w:rPr>
          <w:sz w:val="20"/>
          <w:szCs w:val="20"/>
          <w:color w:val="auto"/>
        </w:rPr>
      </w:pPr>
      <w:r>
        <w:rPr>
          <w:rFonts w:ascii="Arial" w:cs="Arial" w:eastAsia="Arial" w:hAnsi="Arial"/>
          <w:sz w:val="13"/>
          <w:szCs w:val="13"/>
          <w:color w:val="auto"/>
        </w:rPr>
        <w:t>(14,755)</w:t>
      </w:r>
      <w:r>
        <w:rPr>
          <w:sz w:val="20"/>
          <w:szCs w:val="20"/>
          <w:color w:val="auto"/>
        </w:rPr>
        <w:tab/>
      </w:r>
      <w:r>
        <w:rPr>
          <w:rFonts w:ascii="Arial" w:cs="Arial" w:eastAsia="Arial" w:hAnsi="Arial"/>
          <w:sz w:val="13"/>
          <w:szCs w:val="13"/>
          <w:color w:val="auto"/>
        </w:rPr>
        <w:t>(10,856)</w:t>
      </w:r>
    </w:p>
    <w:p>
      <w:pPr>
        <w:spacing w:after="0" w:line="72" w:lineRule="exact"/>
        <w:rPr>
          <w:sz w:val="20"/>
          <w:szCs w:val="20"/>
          <w:color w:val="auto"/>
        </w:rPr>
      </w:pPr>
    </w:p>
    <w:p>
      <w:pPr>
        <w:ind w:left="1860" w:hanging="1189"/>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38</w:t>
      </w:r>
    </w:p>
    <w:p>
      <w:pPr>
        <w:spacing w:after="0" w:line="72" w:lineRule="exact"/>
        <w:rPr>
          <w:rFonts w:ascii="Arial" w:cs="Arial" w:eastAsia="Arial" w:hAnsi="Arial"/>
          <w:sz w:val="13"/>
          <w:szCs w:val="13"/>
          <w:color w:val="auto"/>
        </w:rPr>
      </w:pPr>
    </w:p>
    <w:p>
      <w:pPr>
        <w:ind w:left="500"/>
        <w:spacing w:after="0"/>
        <w:rPr>
          <w:rFonts w:ascii="Arial" w:cs="Arial" w:eastAsia="Arial" w:hAnsi="Arial"/>
          <w:sz w:val="13"/>
          <w:szCs w:val="13"/>
          <w:color w:val="auto"/>
        </w:rPr>
      </w:pPr>
      <w:r>
        <w:rPr>
          <w:rFonts w:ascii="Arial" w:cs="Arial" w:eastAsia="Arial" w:hAnsi="Arial"/>
          <w:sz w:val="13"/>
          <w:szCs w:val="13"/>
          <w:color w:val="auto"/>
        </w:rPr>
        <w:t>(14,952)</w:t>
      </w:r>
      <w:r>
        <w:rPr>
          <w:rFonts w:ascii="Arial" w:cs="Arial" w:eastAsia="Arial" w:hAnsi="Arial"/>
          <w:sz w:val="12"/>
          <w:szCs w:val="12"/>
          <w:color w:val="auto"/>
        </w:rPr>
        <w:t>(10,818)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13106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ind w:left="500"/>
        <w:spacing w:after="0"/>
        <w:tabs>
          <w:tab w:leader="none" w:pos="1560" w:val="left"/>
        </w:tabs>
        <w:rPr>
          <w:sz w:val="20"/>
          <w:szCs w:val="20"/>
          <w:color w:val="auto"/>
        </w:rPr>
      </w:pPr>
      <w:r>
        <w:rPr>
          <w:rFonts w:ascii="Arial" w:cs="Arial" w:eastAsia="Arial" w:hAnsi="Arial"/>
          <w:sz w:val="13"/>
          <w:szCs w:val="13"/>
          <w:color w:val="auto"/>
        </w:rPr>
        <w:t>(32,110)</w:t>
      </w:r>
      <w:r>
        <w:rPr>
          <w:sz w:val="20"/>
          <w:szCs w:val="20"/>
          <w:color w:val="auto"/>
        </w:rPr>
        <w:tab/>
      </w:r>
      <w:r>
        <w:rPr>
          <w:rFonts w:ascii="Arial" w:cs="Arial" w:eastAsia="Arial" w:hAnsi="Arial"/>
          <w:sz w:val="13"/>
          <w:szCs w:val="13"/>
          <w:color w:val="auto"/>
        </w:rPr>
        <w:t>(31,362)</w:t>
      </w:r>
    </w:p>
    <w:p>
      <w:pPr>
        <w:spacing w:after="0" w:line="72" w:lineRule="exact"/>
        <w:rPr>
          <w:sz w:val="20"/>
          <w:szCs w:val="20"/>
          <w:color w:val="auto"/>
        </w:rPr>
      </w:pPr>
    </w:p>
    <w:p>
      <w:pPr>
        <w:ind w:left="560"/>
        <w:spacing w:after="0"/>
        <w:tabs>
          <w:tab w:leader="none" w:pos="1600" w:val="left"/>
        </w:tabs>
        <w:rPr>
          <w:sz w:val="20"/>
          <w:szCs w:val="20"/>
          <w:color w:val="auto"/>
        </w:rPr>
      </w:pPr>
      <w:r>
        <w:rPr>
          <w:rFonts w:ascii="Arial" w:cs="Arial" w:eastAsia="Arial" w:hAnsi="Arial"/>
          <w:sz w:val="13"/>
          <w:szCs w:val="13"/>
          <w:color w:val="auto"/>
        </w:rPr>
        <w:t>10,011</w:t>
      </w:r>
      <w:r>
        <w:rPr>
          <w:sz w:val="20"/>
          <w:szCs w:val="20"/>
          <w:color w:val="auto"/>
        </w:rPr>
        <w:tab/>
      </w:r>
      <w:r>
        <w:rPr>
          <w:rFonts w:ascii="Arial" w:cs="Arial" w:eastAsia="Arial" w:hAnsi="Arial"/>
          <w:sz w:val="13"/>
          <w:szCs w:val="13"/>
          <w:color w:val="auto"/>
        </w:rPr>
        <w:t>18,674</w:t>
      </w:r>
    </w:p>
    <w:p>
      <w:pPr>
        <w:spacing w:after="0" w:line="72"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3"/>
          <w:szCs w:val="13"/>
          <w:color w:val="auto"/>
        </w:rPr>
        <w:t>(1,278)</w:t>
      </w:r>
      <w:r>
        <w:rPr>
          <w:sz w:val="20"/>
          <w:szCs w:val="20"/>
          <w:color w:val="auto"/>
        </w:rPr>
        <w:tab/>
      </w:r>
      <w:r>
        <w:rPr>
          <w:rFonts w:ascii="Arial" w:cs="Arial" w:eastAsia="Arial" w:hAnsi="Arial"/>
          <w:sz w:val="13"/>
          <w:szCs w:val="13"/>
          <w:color w:val="auto"/>
        </w:rPr>
        <w:t>—</w:t>
      </w:r>
    </w:p>
    <w:p>
      <w:pPr>
        <w:spacing w:after="0" w:line="72"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3"/>
          <w:szCs w:val="13"/>
          <w:color w:val="auto"/>
        </w:rPr>
        <w:t>17,439</w:t>
      </w:r>
      <w:r>
        <w:rPr>
          <w:sz w:val="20"/>
          <w:szCs w:val="20"/>
          <w:color w:val="auto"/>
        </w:rPr>
        <w:tab/>
      </w:r>
      <w:r>
        <w:rPr>
          <w:rFonts w:ascii="Arial" w:cs="Arial" w:eastAsia="Arial" w:hAnsi="Arial"/>
          <w:sz w:val="13"/>
          <w:szCs w:val="13"/>
          <w:color w:val="auto"/>
        </w:rPr>
        <w:t>154,653</w:t>
      </w:r>
    </w:p>
    <w:p>
      <w:pPr>
        <w:spacing w:after="0" w:line="72" w:lineRule="exact"/>
        <w:rPr>
          <w:sz w:val="20"/>
          <w:szCs w:val="20"/>
          <w:color w:val="auto"/>
        </w:rPr>
      </w:pPr>
    </w:p>
    <w:p>
      <w:pPr>
        <w:jc w:val="both"/>
        <w:ind w:left="500"/>
        <w:spacing w:after="0"/>
        <w:tabs>
          <w:tab w:leader="none" w:pos="1500" w:val="left"/>
        </w:tabs>
        <w:rPr>
          <w:sz w:val="20"/>
          <w:szCs w:val="20"/>
          <w:color w:val="auto"/>
        </w:rPr>
      </w:pPr>
      <w:r>
        <w:rPr>
          <w:rFonts w:ascii="Arial" w:cs="Arial" w:eastAsia="Arial" w:hAnsi="Arial"/>
          <w:sz w:val="13"/>
          <w:szCs w:val="13"/>
          <w:color w:val="auto"/>
        </w:rPr>
        <w:t>(69,012)</w:t>
      </w:r>
      <w:r>
        <w:rPr>
          <w:sz w:val="20"/>
          <w:szCs w:val="20"/>
          <w:color w:val="auto"/>
        </w:rPr>
        <w:tab/>
      </w:r>
      <w:r>
        <w:rPr>
          <w:rFonts w:ascii="Arial" w:cs="Arial" w:eastAsia="Arial" w:hAnsi="Arial"/>
          <w:sz w:val="13"/>
          <w:szCs w:val="13"/>
          <w:color w:val="auto"/>
        </w:rPr>
        <w:t>(215,068)</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(16,371)</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(2,344)</w:t>
      </w:r>
      <w:r>
        <w:rPr>
          <w:rFonts w:ascii="Arial" w:cs="Arial" w:eastAsia="Arial" w:hAnsi="Arial"/>
          <w:sz w:val="12"/>
          <w:szCs w:val="12"/>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3106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52" w:lineRule="exact"/>
        <w:rPr>
          <w:sz w:val="20"/>
          <w:szCs w:val="20"/>
          <w:color w:val="auto"/>
        </w:rPr>
      </w:pPr>
    </w:p>
    <w:p>
      <w:pPr>
        <w:jc w:val="both"/>
        <w:ind w:left="500"/>
        <w:spacing w:after="0"/>
        <w:tabs>
          <w:tab w:leader="none" w:pos="1560" w:val="left"/>
        </w:tabs>
        <w:rPr>
          <w:sz w:val="20"/>
          <w:szCs w:val="20"/>
          <w:color w:val="auto"/>
        </w:rPr>
      </w:pPr>
      <w:r>
        <w:rPr>
          <w:rFonts w:ascii="Arial" w:cs="Arial" w:eastAsia="Arial" w:hAnsi="Arial"/>
          <w:sz w:val="13"/>
          <w:szCs w:val="13"/>
          <w:color w:val="auto"/>
        </w:rPr>
        <w:t>(77,294)</w:t>
      </w:r>
      <w:r>
        <w:rPr>
          <w:sz w:val="20"/>
          <w:szCs w:val="20"/>
          <w:color w:val="auto"/>
        </w:rPr>
        <w:tab/>
      </w:r>
      <w:r>
        <w:rPr>
          <w:rFonts w:ascii="Arial" w:cs="Arial" w:eastAsia="Arial" w:hAnsi="Arial"/>
          <w:sz w:val="13"/>
          <w:szCs w:val="13"/>
          <w:color w:val="auto"/>
        </w:rPr>
        <w:t>(89,986)</w:t>
      </w:r>
    </w:p>
    <w:p>
      <w:pPr>
        <w:spacing w:after="0" w:line="305" w:lineRule="exact"/>
        <w:rPr>
          <w:sz w:val="20"/>
          <w:szCs w:val="20"/>
          <w:color w:val="auto"/>
        </w:rPr>
      </w:pPr>
    </w:p>
    <w:p>
      <w:pPr>
        <w:ind w:left="1640" w:hanging="903"/>
        <w:spacing w:after="0"/>
        <w:tabs>
          <w:tab w:leader="none" w:pos="1640" w:val="left"/>
        </w:tabs>
        <w:numPr>
          <w:ilvl w:val="0"/>
          <w:numId w:val="7"/>
        </w:numPr>
        <w:rPr>
          <w:rFonts w:ascii="Arial" w:cs="Arial" w:eastAsia="Arial" w:hAnsi="Arial"/>
          <w:sz w:val="13"/>
          <w:szCs w:val="13"/>
          <w:color w:val="auto"/>
        </w:rPr>
      </w:pPr>
      <w:r>
        <w:rPr>
          <w:rFonts w:ascii="Arial" w:cs="Arial" w:eastAsia="Arial" w:hAnsi="Arial"/>
          <w:sz w:val="13"/>
          <w:szCs w:val="13"/>
          <w:color w:val="auto"/>
        </w:rPr>
        <w:t>(2,509)</w:t>
      </w:r>
    </w:p>
    <w:p>
      <w:pPr>
        <w:spacing w:after="0" w:line="305" w:lineRule="exact"/>
        <w:rPr>
          <w:sz w:val="20"/>
          <w:szCs w:val="20"/>
          <w:color w:val="auto"/>
        </w:rPr>
      </w:pPr>
    </w:p>
    <w:p>
      <w:pPr>
        <w:jc w:val="both"/>
        <w:ind w:left="580"/>
        <w:spacing w:after="0"/>
        <w:tabs>
          <w:tab w:leader="none" w:pos="1560" w:val="left"/>
        </w:tabs>
        <w:rPr>
          <w:sz w:val="20"/>
          <w:szCs w:val="20"/>
          <w:color w:val="auto"/>
        </w:rPr>
      </w:pPr>
      <w:r>
        <w:rPr>
          <w:rFonts w:ascii="Arial" w:cs="Arial" w:eastAsia="Arial" w:hAnsi="Arial"/>
          <w:sz w:val="13"/>
          <w:szCs w:val="13"/>
          <w:color w:val="auto"/>
        </w:rPr>
        <w:t>(3,041)</w:t>
      </w:r>
      <w:r>
        <w:rPr>
          <w:sz w:val="20"/>
          <w:szCs w:val="20"/>
          <w:color w:val="auto"/>
        </w:rPr>
        <w:tab/>
      </w:r>
      <w:r>
        <w:rPr>
          <w:rFonts w:ascii="Arial" w:cs="Arial" w:eastAsia="Arial" w:hAnsi="Arial"/>
          <w:sz w:val="13"/>
          <w:szCs w:val="13"/>
          <w:color w:val="auto"/>
        </w:rPr>
        <w:t>(12,151)</w:t>
      </w:r>
    </w:p>
    <w:p>
      <w:pPr>
        <w:spacing w:after="0" w:line="72" w:lineRule="exact"/>
        <w:rPr>
          <w:sz w:val="20"/>
          <w:szCs w:val="20"/>
          <w:color w:val="auto"/>
        </w:rPr>
      </w:pPr>
    </w:p>
    <w:p>
      <w:pPr>
        <w:ind w:left="480"/>
        <w:spacing w:after="0"/>
        <w:tabs>
          <w:tab w:leader="none" w:pos="1540" w:val="left"/>
        </w:tabs>
        <w:rPr>
          <w:sz w:val="20"/>
          <w:szCs w:val="20"/>
          <w:color w:val="auto"/>
        </w:rPr>
      </w:pPr>
      <w:r>
        <w:rPr>
          <w:rFonts w:ascii="Arial" w:cs="Arial" w:eastAsia="Arial" w:hAnsi="Arial"/>
          <w:sz w:val="13"/>
          <w:szCs w:val="13"/>
          <w:color w:val="auto"/>
        </w:rPr>
        <w:t>133,944</w:t>
      </w:r>
      <w:r>
        <w:rPr>
          <w:sz w:val="20"/>
          <w:szCs w:val="20"/>
          <w:color w:val="auto"/>
        </w:rPr>
        <w:tab/>
      </w:r>
      <w:r>
        <w:rPr>
          <w:rFonts w:ascii="Arial" w:cs="Arial" w:eastAsia="Arial" w:hAnsi="Arial"/>
          <w:sz w:val="13"/>
          <w:szCs w:val="13"/>
          <w:color w:val="auto"/>
        </w:rPr>
        <w:t>141,228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3106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4299"/>
          </w:cols>
          <w:pgMar w:left="220" w:top="506" w:right="1440" w:bottom="1440" w:gutter="0" w:footer="0" w:header="0"/>
        </w:sectPr>
      </w:pPr>
    </w:p>
    <w:p>
      <w:pPr>
        <w:spacing w:after="0" w:line="105" w:lineRule="exact"/>
        <w:rPr>
          <w:sz w:val="20"/>
          <w:szCs w:val="20"/>
          <w:color w:val="auto"/>
        </w:rPr>
      </w:pPr>
    </w:p>
    <w:p>
      <w:pPr>
        <w:ind w:left="40"/>
        <w:spacing w:after="0"/>
        <w:tabs>
          <w:tab w:leader="none" w:pos="5940" w:val="left"/>
          <w:tab w:leader="none" w:pos="6400" w:val="left"/>
          <w:tab w:leader="none" w:pos="7020" w:val="left"/>
          <w:tab w:leader="none" w:pos="7480" w:val="left"/>
        </w:tabs>
        <w:rPr>
          <w:sz w:val="20"/>
          <w:szCs w:val="20"/>
          <w:color w:val="auto"/>
        </w:rPr>
      </w:pPr>
      <w:r>
        <w:rPr>
          <w:rFonts w:ascii="Arial" w:cs="Arial" w:eastAsia="Arial" w:hAnsi="Arial"/>
          <w:sz w:val="13"/>
          <w:szCs w:val="13"/>
          <w:color w:val="auto"/>
          <w:shd w:val="clear" w:color="auto" w:fill="CCEEFF"/>
        </w:rPr>
        <w:t>Cash and cash equivalents, end of period</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130,903</w:t>
        <w:tab/>
        <w:t>$</w:t>
      </w:r>
      <w:r>
        <w:rPr>
          <w:sz w:val="20"/>
          <w:szCs w:val="20"/>
          <w:color w:val="auto"/>
        </w:rPr>
        <w:tab/>
      </w:r>
      <w:r>
        <w:rPr>
          <w:rFonts w:ascii="Arial" w:cs="Arial" w:eastAsia="Arial" w:hAnsi="Arial"/>
          <w:sz w:val="12"/>
          <w:szCs w:val="12"/>
          <w:color w:val="auto"/>
        </w:rPr>
        <w:t>129,077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43180</wp:posOffset>
            </wp:positionV>
            <wp:extent cx="13106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ectPr>
          <w:pgSz w:w="11900" w:h="16838" w:orient="portrait"/>
          <w:cols w:equalWidth="0" w:num="1">
            <w:col w:w="10239"/>
          </w:cols>
          <w:pgMar w:left="220" w:top="506"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INFORMATION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ind w:left="100"/>
              <w:spacing w:after="0"/>
              <w:rPr>
                <w:sz w:val="20"/>
                <w:szCs w:val="20"/>
                <w:color w:val="auto"/>
              </w:rPr>
            </w:pPr>
            <w:r>
              <w:rPr>
                <w:rFonts w:ascii="Arial" w:cs="Arial" w:eastAsia="Arial" w:hAnsi="Arial"/>
                <w:sz w:val="13"/>
                <w:szCs w:val="13"/>
                <w:color w:val="auto"/>
              </w:rPr>
              <w:t>Three months ended April 30,</w:t>
            </w:r>
          </w:p>
        </w:tc>
        <w:tc>
          <w:tcPr>
            <w:tcW w:w="220" w:type="dxa"/>
            <w:vAlign w:val="bottom"/>
          </w:tcPr>
          <w:p>
            <w:pPr>
              <w:spacing w:after="0"/>
              <w:rPr>
                <w:sz w:val="14"/>
                <w:szCs w:val="14"/>
                <w:color w:val="auto"/>
              </w:rPr>
            </w:pPr>
          </w:p>
        </w:tc>
        <w:tc>
          <w:tcPr>
            <w:tcW w:w="1980" w:type="dxa"/>
            <w:vAlign w:val="bottom"/>
            <w:gridSpan w:val="4"/>
          </w:tcPr>
          <w:p>
            <w:pPr>
              <w:jc w:val="right"/>
              <w:ind w:right="253"/>
              <w:spacing w:after="0"/>
              <w:rPr>
                <w:sz w:val="20"/>
                <w:szCs w:val="20"/>
                <w:color w:val="auto"/>
              </w:rPr>
            </w:pPr>
            <w:r>
              <w:rPr>
                <w:rFonts w:ascii="Arial" w:cs="Arial" w:eastAsia="Arial" w:hAnsi="Arial"/>
                <w:sz w:val="13"/>
                <w:szCs w:val="13"/>
                <w:color w:val="auto"/>
                <w:w w:val="99"/>
              </w:rPr>
              <w:t>Nine months ended April 30,</w:t>
            </w: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3"/>
              <w:spacing w:after="0"/>
              <w:rPr>
                <w:sz w:val="20"/>
                <w:szCs w:val="20"/>
                <w:color w:val="auto"/>
              </w:rPr>
            </w:pPr>
            <w:r>
              <w:rPr>
                <w:rFonts w:ascii="Arial" w:cs="Arial" w:eastAsia="Arial" w:hAnsi="Arial"/>
                <w:sz w:val="13"/>
                <w:szCs w:val="13"/>
                <w:color w:val="auto"/>
              </w:rPr>
              <w:t>2017</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NET SALES</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5"/>
        </w:trPr>
        <w:tc>
          <w:tcPr>
            <w:tcW w:w="3500" w:type="dxa"/>
            <w:vAlign w:val="bottom"/>
          </w:tcPr>
          <w:p>
            <w:pPr>
              <w:ind w:left="320"/>
              <w:spacing w:after="0"/>
              <w:rPr>
                <w:sz w:val="20"/>
                <w:szCs w:val="20"/>
                <w:color w:val="auto"/>
              </w:rPr>
            </w:pPr>
            <w:r>
              <w:rPr>
                <w:rFonts w:ascii="Arial" w:cs="Arial" w:eastAsia="Arial" w:hAnsi="Arial"/>
                <w:sz w:val="13"/>
                <w:szCs w:val="13"/>
                <w:color w:val="auto"/>
              </w:rPr>
              <w:t>ID Solutions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212,154</w:t>
            </w:r>
          </w:p>
        </w:tc>
        <w:tc>
          <w:tcPr>
            <w:tcW w:w="100" w:type="dxa"/>
            <w:vAlign w:val="bottom"/>
          </w:tcPr>
          <w:p>
            <w:pPr>
              <w:spacing w:after="0"/>
              <w:rPr>
                <w:sz w:val="16"/>
                <w:szCs w:val="16"/>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93"/>
              <w:spacing w:after="0"/>
              <w:rPr>
                <w:sz w:val="20"/>
                <w:szCs w:val="20"/>
                <w:color w:val="auto"/>
              </w:rPr>
            </w:pPr>
            <w:r>
              <w:rPr>
                <w:rFonts w:ascii="Arial" w:cs="Arial" w:eastAsia="Arial" w:hAnsi="Arial"/>
                <w:sz w:val="13"/>
                <w:szCs w:val="13"/>
                <w:color w:val="auto"/>
              </w:rPr>
              <w:t>196,880</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628,291</w:t>
            </w:r>
          </w:p>
        </w:tc>
        <w:tc>
          <w:tcPr>
            <w:tcW w:w="8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3"/>
              <w:spacing w:after="0"/>
              <w:rPr>
                <w:sz w:val="20"/>
                <w:szCs w:val="20"/>
                <w:color w:val="auto"/>
              </w:rPr>
            </w:pPr>
            <w:r>
              <w:rPr>
                <w:rFonts w:ascii="Arial" w:cs="Arial" w:eastAsia="Arial" w:hAnsi="Arial"/>
                <w:sz w:val="13"/>
                <w:szCs w:val="13"/>
                <w:color w:val="auto"/>
              </w:rPr>
              <w:t>589,106</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2"/>
        </w:trPr>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Workplace Safety</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86,267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79,047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248,061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234,998</w:t>
            </w:r>
          </w:p>
        </w:tc>
      </w:tr>
      <w:tr>
        <w:trPr>
          <w:trHeight w:val="175"/>
        </w:trPr>
        <w:tc>
          <w:tcPr>
            <w:tcW w:w="3500" w:type="dxa"/>
            <w:vAlign w:val="bottom"/>
          </w:tcPr>
          <w:p>
            <w:pPr>
              <w:ind w:left="3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298,421</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rPr>
              <w:t>275,927</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876,352</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824,104</w:t>
            </w:r>
          </w:p>
        </w:tc>
      </w:tr>
      <w:tr>
        <w:trPr>
          <w:trHeight w:val="67"/>
        </w:trPr>
        <w:tc>
          <w:tcPr>
            <w:tcW w:w="35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6"/>
        </w:trPr>
        <w:tc>
          <w:tcPr>
            <w:tcW w:w="3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460" w:type="dxa"/>
            <w:vAlign w:val="bottom"/>
            <w:gridSpan w:val="5"/>
          </w:tcPr>
          <w:p>
            <w:pPr>
              <w:spacing w:after="0"/>
              <w:rPr>
                <w:sz w:val="20"/>
                <w:szCs w:val="20"/>
                <w:color w:val="auto"/>
              </w:rPr>
            </w:pPr>
            <w:r>
              <w:rPr>
                <w:rFonts w:ascii="Arial" w:cs="Arial" w:eastAsia="Arial" w:hAnsi="Arial"/>
                <w:sz w:val="13"/>
                <w:szCs w:val="13"/>
                <w:b w:val="1"/>
                <w:bCs w:val="1"/>
                <w:color w:val="auto"/>
              </w:rPr>
              <w:t>SALES INFORMATION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i w:val="1"/>
                <w:iCs w:val="1"/>
                <w:color w:val="auto"/>
                <w:shd w:val="clear" w:color="auto" w:fill="CCEEFF"/>
              </w:rPr>
              <w:t>ID Solutions</w:t>
            </w:r>
          </w:p>
        </w:tc>
        <w:tc>
          <w:tcPr>
            <w:tcW w:w="14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Organic</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8"/>
                <w:shd w:val="clear" w:color="auto" w:fill="CCEEFF"/>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w w:val="86"/>
                <w:shd w:val="clear" w:color="auto" w:fill="CCEEFF"/>
              </w:rPr>
              <w:t>Workplace Safety</w:t>
            </w: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Organic</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8"/>
                <w:shd w:val="clear" w:color="auto" w:fill="CCEEFF"/>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82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i w:val="1"/>
                <w:iCs w:val="1"/>
                <w:color w:val="auto"/>
                <w:w w:val="85"/>
                <w:shd w:val="clear" w:color="auto" w:fill="CCEEFF"/>
              </w:rPr>
              <w:t>Total Company</w:t>
            </w: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Organic</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8"/>
                <w:shd w:val="clear" w:color="auto" w:fill="CCEEFF"/>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60" w:type="dxa"/>
            <w:vAlign w:val="bottom"/>
            <w:gridSpan w:val="5"/>
          </w:tcPr>
          <w:p>
            <w:pPr>
              <w:spacing w:after="0"/>
              <w:rPr>
                <w:sz w:val="20"/>
                <w:szCs w:val="20"/>
                <w:color w:val="auto"/>
              </w:rPr>
            </w:pPr>
            <w:r>
              <w:rPr>
                <w:rFonts w:ascii="Arial" w:cs="Arial" w:eastAsia="Arial" w:hAnsi="Arial"/>
                <w:sz w:val="13"/>
                <w:szCs w:val="13"/>
                <w:b w:val="1"/>
                <w:bCs w:val="1"/>
                <w:color w:val="auto"/>
              </w:rPr>
              <w:t>SEGMENT PROFIT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ID Solutions</w:t>
            </w:r>
          </w:p>
        </w:tc>
        <w:tc>
          <w:tcPr>
            <w:tcW w:w="2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36,970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32,633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106,896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94,676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Workplace Safety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7,537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5,120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13"/>
              <w:spacing w:after="0"/>
              <w:rPr>
                <w:sz w:val="20"/>
                <w:szCs w:val="20"/>
                <w:color w:val="auto"/>
              </w:rPr>
            </w:pPr>
            <w:r>
              <w:rPr>
                <w:rFonts w:ascii="Arial" w:cs="Arial" w:eastAsia="Arial" w:hAnsi="Arial"/>
                <w:sz w:val="13"/>
                <w:szCs w:val="13"/>
                <w:color w:val="auto"/>
              </w:rPr>
              <w:t>21,037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17,615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Total</w:t>
            </w:r>
          </w:p>
        </w:tc>
        <w:tc>
          <w:tcPr>
            <w:tcW w:w="292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44,507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rPr>
              <w:t>37,753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127,933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112,291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3"/>
                <w:szCs w:val="13"/>
                <w:b w:val="1"/>
                <w:bCs w:val="1"/>
                <w:color w:val="auto"/>
              </w:rPr>
              <w:t>SEGMENT PROFIT AS A PERCENT OF SALES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ID Solutions</w:t>
            </w:r>
          </w:p>
        </w:tc>
        <w:tc>
          <w:tcPr>
            <w:tcW w:w="2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16.1 %</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Workplace Safety</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8.5 %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Total</w:t>
            </w:r>
          </w:p>
        </w:tc>
        <w:tc>
          <w:tcPr>
            <w:tcW w:w="292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13.6 %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8"/>
          </w:tcPr>
          <w:p>
            <w:pPr>
              <w:ind w:left="100"/>
              <w:spacing w:after="0"/>
              <w:rPr>
                <w:sz w:val="20"/>
                <w:szCs w:val="20"/>
                <w:color w:val="auto"/>
              </w:rPr>
            </w:pPr>
            <w:r>
              <w:rPr>
                <w:rFonts w:ascii="Arial" w:cs="Arial" w:eastAsia="Arial" w:hAnsi="Arial"/>
                <w:sz w:val="13"/>
                <w:szCs w:val="13"/>
                <w:color w:val="auto"/>
              </w:rPr>
              <w:t>Three months ended April 30,</w:t>
            </w:r>
          </w:p>
        </w:tc>
        <w:tc>
          <w:tcPr>
            <w:tcW w:w="220" w:type="dxa"/>
            <w:vAlign w:val="bottom"/>
          </w:tcPr>
          <w:p>
            <w:pPr>
              <w:spacing w:after="0"/>
              <w:rPr>
                <w:sz w:val="24"/>
                <w:szCs w:val="24"/>
                <w:color w:val="auto"/>
              </w:rPr>
            </w:pPr>
          </w:p>
        </w:tc>
        <w:tc>
          <w:tcPr>
            <w:tcW w:w="1980" w:type="dxa"/>
            <w:vAlign w:val="bottom"/>
            <w:gridSpan w:val="5"/>
          </w:tcPr>
          <w:p>
            <w:pPr>
              <w:jc w:val="right"/>
              <w:ind w:right="233"/>
              <w:spacing w:after="0"/>
              <w:rPr>
                <w:sz w:val="20"/>
                <w:szCs w:val="20"/>
                <w:color w:val="auto"/>
              </w:rPr>
            </w:pPr>
            <w:r>
              <w:rPr>
                <w:rFonts w:ascii="Arial" w:cs="Arial" w:eastAsia="Arial" w:hAnsi="Arial"/>
                <w:sz w:val="13"/>
                <w:szCs w:val="13"/>
                <w:color w:val="auto"/>
              </w:rPr>
              <w:t>Nine months ended April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Arial" w:cs="Arial" w:eastAsia="Arial" w:hAnsi="Arial"/>
                <w:sz w:val="13"/>
                <w:szCs w:val="13"/>
                <w:color w:val="auto"/>
              </w:rPr>
              <w:t>2017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3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color w:val="auto"/>
              </w:rPr>
              <w:t>Total segment profit</w:t>
            </w:r>
          </w:p>
        </w:tc>
        <w:tc>
          <w:tcPr>
            <w:tcW w:w="2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44,507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37,753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127,933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112,291</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60" w:type="dxa"/>
            <w:vAlign w:val="bottom"/>
            <w:gridSpan w:val="5"/>
          </w:tcPr>
          <w:p>
            <w:pPr>
              <w:spacing w:after="0"/>
              <w:rPr>
                <w:sz w:val="20"/>
                <w:szCs w:val="20"/>
                <w:color w:val="auto"/>
              </w:rPr>
            </w:pPr>
            <w:r>
              <w:rPr>
                <w:rFonts w:ascii="Arial" w:cs="Arial" w:eastAsia="Arial" w:hAnsi="Arial"/>
                <w:sz w:val="13"/>
                <w:szCs w:val="13"/>
                <w:color w:val="auto"/>
              </w:rPr>
              <w:t>Unallocated amounts: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3"/>
                <w:szCs w:val="13"/>
                <w:color w:val="auto"/>
              </w:rPr>
              <w:t>Administrative costs</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(6,798)</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(6,203)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(20,017)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(17,571)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60" w:type="dxa"/>
            <w:vAlign w:val="bottom"/>
            <w:gridSpan w:val="5"/>
          </w:tcPr>
          <w:p>
            <w:pPr>
              <w:ind w:left="280"/>
              <w:spacing w:after="0"/>
              <w:rPr>
                <w:sz w:val="20"/>
                <w:szCs w:val="20"/>
                <w:color w:val="auto"/>
              </w:rPr>
            </w:pPr>
            <w:r>
              <w:rPr>
                <w:rFonts w:ascii="Arial" w:cs="Arial" w:eastAsia="Arial" w:hAnsi="Arial"/>
                <w:sz w:val="13"/>
                <w:szCs w:val="13"/>
                <w:color w:val="auto"/>
              </w:rPr>
              <w:t>Investment and other income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shd w:val="clear" w:color="auto" w:fill="CCEEFF"/>
              </w:rPr>
              <w:t>Interest expense</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(4,565)</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5"/>
          </w:tcPr>
          <w:p>
            <w:pPr>
              <w:spacing w:after="0"/>
              <w:rPr>
                <w:sz w:val="20"/>
                <w:szCs w:val="20"/>
                <w:color w:val="auto"/>
              </w:rPr>
            </w:pPr>
            <w:r>
              <w:rPr>
                <w:rFonts w:ascii="Arial" w:cs="Arial" w:eastAsia="Arial" w:hAnsi="Arial"/>
                <w:sz w:val="13"/>
                <w:szCs w:val="13"/>
                <w:color w:val="auto"/>
              </w:rPr>
              <w:t>Earnings before income taxes</w:t>
            </w:r>
          </w:p>
        </w:tc>
        <w:tc>
          <w:tcPr>
            <w:tcW w:w="20" w:type="dxa"/>
            <w:vAlign w:val="bottom"/>
          </w:tcPr>
          <w:p>
            <w:pPr>
              <w:spacing w:after="0"/>
              <w:rPr>
                <w:sz w:val="15"/>
                <w:szCs w:val="15"/>
                <w:color w:val="auto"/>
              </w:rPr>
            </w:pPr>
          </w:p>
        </w:tc>
        <w:tc>
          <w:tcPr>
            <w:tcW w:w="20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36,979</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30,628</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106,766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39"/>
          </w:cols>
          <w:pgMar w:left="220" w:top="506"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54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5554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5969000</wp:posOffset>
            </wp:positionV>
            <wp:extent cx="721233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35"/>
    </w:lvl>
  </w:abstractNum>
  <w:abstractNum w:abstractNumId="3">
    <w:nsid w:val="3D1B58BA"/>
    <w:multiLevelType w:val="hybridMultilevel"/>
    <w:lvl w:ilvl="0">
      <w:lvlJc w:val="left"/>
      <w:lvlText w:val="(%1)"/>
      <w:numFmt w:val="decimal"/>
      <w:start w:val="133"/>
    </w:lvl>
  </w:abstractNum>
  <w:abstractNum w:abstractNumId="4">
    <w:nsid w:val="507ED7AB"/>
    <w:multiLevelType w:val="hybridMultilevel"/>
    <w:lvl w:ilvl="0">
      <w:lvlJc w:val="left"/>
      <w:lvlText w:val="(%1)"/>
      <w:numFmt w:val="decimal"/>
      <w:start w:val="197"/>
    </w:lvl>
  </w:abstractNum>
  <w:abstractNum w:abstractNumId="5">
    <w:nsid w:val="2EB141F2"/>
    <w:multiLevelType w:val="hybridMultilevel"/>
    <w:lvl w:ilvl="0">
      <w:lvlJc w:val="left"/>
      <w:lvlText w:val="\emdash "/>
      <w:numFmt w:val="bullet"/>
      <w:start w:val="1"/>
    </w:lvl>
  </w:abstractNum>
  <w:abstractNum w:abstractNumId="6">
    <w:nsid w:val="41B71EFB"/>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2019-12-28T21:52:19Z</dcterms:created>
  <dcterms:modified xsi:type="dcterms:W3CDTF">2019-12-28T21:52:19Z</dcterms:modified>
</cp:coreProperties>
</file>