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560"/>
            <w:col w:w="6120" w:space="720"/>
            <w:col w:w="1660" w:space="720"/>
            <w:col w:w="320"/>
          </w:cols>
          <w:pgMar w:left="240" w:top="229" w:right="2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260" w:space="620"/>
            <w:col w:w="6120" w:space="720"/>
            <w:col w:w="1660" w:space="720"/>
            <w:col w:w="32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November 18, 2015, there were 47,041,462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w w:val="93"/>
              </w:rPr>
              <w:t>FORM 10-Q</w:t>
            </w:r>
          </w:p>
        </w:tc>
        <w:tc>
          <w:tcPr>
            <w:tcW w:w="1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6"/>
              </w:rPr>
              <w:t>BRADY CORPORATION</w:t>
            </w:r>
          </w:p>
        </w:tc>
        <w:tc>
          <w:tcPr>
            <w:tcW w:w="14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rPr>
              <w:t>INDEX</w:t>
            </w:r>
          </w:p>
        </w:tc>
        <w:tc>
          <w:tcPr>
            <w:tcW w:w="1480" w:type="dxa"/>
            <w:vAlign w:val="bottom"/>
          </w:tcPr>
          <w:p>
            <w:pPr>
              <w:spacing w:after="0"/>
              <w:rPr>
                <w:sz w:val="20"/>
                <w:szCs w:val="20"/>
                <w:color w:val="auto"/>
              </w:rPr>
            </w:pPr>
          </w:p>
        </w:tc>
      </w:tr>
      <w:tr>
        <w:trPr>
          <w:trHeight w:val="844"/>
        </w:trPr>
        <w:tc>
          <w:tcPr>
            <w:tcW w:w="66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Page</w:t>
            </w:r>
          </w:p>
        </w:tc>
      </w:tr>
      <w:tr>
        <w:trPr>
          <w:trHeight w:val="243"/>
        </w:trPr>
        <w:tc>
          <w:tcPr>
            <w:tcW w:w="9900" w:type="dxa"/>
            <w:vAlign w:val="bottom"/>
            <w:gridSpan w:val="2"/>
          </w:tcPr>
          <w:p>
            <w:pPr>
              <w:spacing w:after="0"/>
              <w:rPr>
                <w:rFonts w:ascii="Arial" w:cs="Arial" w:eastAsia="Arial" w:hAnsi="Arial"/>
                <w:sz w:val="18"/>
                <w:szCs w:val="18"/>
                <w:color w:val="006EBF"/>
              </w:rPr>
            </w:pPr>
            <w:hyperlink w:anchor="page2">
              <w:r>
                <w:rPr>
                  <w:rFonts w:ascii="Arial" w:cs="Arial" w:eastAsia="Arial" w:hAnsi="Arial"/>
                  <w:sz w:val="18"/>
                  <w:szCs w:val="18"/>
                  <w:color w:val="006EBF"/>
                </w:rPr>
                <w:t>PART I. Financial Information</w:t>
              </w:r>
            </w:hyperlink>
          </w:p>
        </w:tc>
        <w:tc>
          <w:tcPr>
            <w:tcW w:w="1480" w:type="dxa"/>
            <w:vAlign w:val="bottom"/>
          </w:tcPr>
          <w:p>
            <w:pPr>
              <w:jc w:val="right"/>
              <w:spacing w:after="0"/>
              <w:rPr>
                <w:rFonts w:ascii="Arial" w:cs="Arial" w:eastAsia="Arial" w:hAnsi="Arial"/>
                <w:sz w:val="18"/>
                <w:szCs w:val="18"/>
                <w:color w:val="006EBF"/>
              </w:rPr>
            </w:pPr>
            <w:hyperlink w:anchor="page2">
              <w:r>
                <w:rPr>
                  <w:rFonts w:ascii="Arial" w:cs="Arial" w:eastAsia="Arial" w:hAnsi="Arial"/>
                  <w:sz w:val="18"/>
                  <w:szCs w:val="18"/>
                  <w:color w:val="006EBF"/>
                </w:rPr>
                <w:t>3</w:t>
              </w:r>
            </w:hyperlink>
          </w:p>
        </w:tc>
      </w:tr>
      <w:tr>
        <w:trPr>
          <w:trHeight w:val="270"/>
        </w:trPr>
        <w:tc>
          <w:tcPr>
            <w:tcW w:w="9900" w:type="dxa"/>
            <w:vAlign w:val="bottom"/>
            <w:gridSpan w:val="2"/>
          </w:tcPr>
          <w:p>
            <w:pPr>
              <w:ind w:left="140"/>
              <w:spacing w:after="0"/>
              <w:rPr>
                <w:rFonts w:ascii="Arial" w:cs="Arial" w:eastAsia="Arial" w:hAnsi="Arial"/>
                <w:sz w:val="18"/>
                <w:szCs w:val="18"/>
                <w:color w:val="006EBF"/>
              </w:rPr>
            </w:pPr>
            <w:hyperlink w:anchor="page3">
              <w:r>
                <w:rPr>
                  <w:rFonts w:ascii="Arial" w:cs="Arial" w:eastAsia="Arial" w:hAnsi="Arial"/>
                  <w:sz w:val="18"/>
                  <w:szCs w:val="18"/>
                  <w:color w:val="006EBF"/>
                </w:rPr>
                <w:t>Item 1. Financial Statements (Unaudited)</w:t>
              </w:r>
            </w:hyperlink>
          </w:p>
        </w:tc>
        <w:tc>
          <w:tcPr>
            <w:tcW w:w="1480" w:type="dxa"/>
            <w:vAlign w:val="bottom"/>
          </w:tcPr>
          <w:p>
            <w:pPr>
              <w:jc w:val="right"/>
              <w:spacing w:after="0"/>
              <w:rPr>
                <w:rFonts w:ascii="Arial" w:cs="Arial" w:eastAsia="Arial" w:hAnsi="Arial"/>
                <w:sz w:val="18"/>
                <w:szCs w:val="18"/>
                <w:color w:val="006EBF"/>
              </w:rPr>
            </w:pPr>
            <w:hyperlink w:anchor="page3">
              <w:r>
                <w:rPr>
                  <w:rFonts w:ascii="Arial" w:cs="Arial" w:eastAsia="Arial" w:hAnsi="Arial"/>
                  <w:sz w:val="18"/>
                  <w:szCs w:val="18"/>
                  <w:color w:val="006EBF"/>
                </w:rPr>
                <w:t>3</w:t>
              </w:r>
            </w:hyperlink>
          </w:p>
        </w:tc>
      </w:tr>
      <w:tr>
        <w:trPr>
          <w:trHeight w:val="270"/>
        </w:trPr>
        <w:tc>
          <w:tcPr>
            <w:tcW w:w="9900" w:type="dxa"/>
            <w:vAlign w:val="bottom"/>
            <w:gridSpan w:val="2"/>
          </w:tcPr>
          <w:p>
            <w:pPr>
              <w:ind w:left="340"/>
              <w:spacing w:after="0"/>
              <w:rPr>
                <w:rFonts w:ascii="Arial" w:cs="Arial" w:eastAsia="Arial" w:hAnsi="Arial"/>
                <w:sz w:val="18"/>
                <w:szCs w:val="18"/>
                <w:color w:val="006EBF"/>
              </w:rPr>
            </w:pPr>
            <w:hyperlink w:anchor="page3">
              <w:r>
                <w:rPr>
                  <w:rFonts w:ascii="Arial" w:cs="Arial" w:eastAsia="Arial" w:hAnsi="Arial"/>
                  <w:sz w:val="18"/>
                  <w:szCs w:val="18"/>
                  <w:color w:val="006EBF"/>
                </w:rPr>
                <w:t>Condensed Consolidated Balance Sheets</w:t>
              </w:r>
            </w:hyperlink>
          </w:p>
        </w:tc>
        <w:tc>
          <w:tcPr>
            <w:tcW w:w="1480" w:type="dxa"/>
            <w:vAlign w:val="bottom"/>
          </w:tcPr>
          <w:p>
            <w:pPr>
              <w:jc w:val="right"/>
              <w:spacing w:after="0"/>
              <w:rPr>
                <w:rFonts w:ascii="Arial" w:cs="Arial" w:eastAsia="Arial" w:hAnsi="Arial"/>
                <w:sz w:val="18"/>
                <w:szCs w:val="18"/>
                <w:color w:val="006EBF"/>
              </w:rPr>
            </w:pPr>
            <w:hyperlink w:anchor="page3">
              <w:r>
                <w:rPr>
                  <w:rFonts w:ascii="Arial" w:cs="Arial" w:eastAsia="Arial" w:hAnsi="Arial"/>
                  <w:sz w:val="18"/>
                  <w:szCs w:val="18"/>
                  <w:color w:val="006EBF"/>
                </w:rPr>
                <w:t>3</w:t>
              </w:r>
            </w:hyperlink>
          </w:p>
        </w:tc>
      </w:tr>
      <w:tr>
        <w:trPr>
          <w:trHeight w:val="270"/>
        </w:trPr>
        <w:tc>
          <w:tcPr>
            <w:tcW w:w="9900" w:type="dxa"/>
            <w:vAlign w:val="bottom"/>
            <w:gridSpan w:val="2"/>
          </w:tcPr>
          <w:p>
            <w:pPr>
              <w:ind w:left="340"/>
              <w:spacing w:after="0"/>
              <w:rPr>
                <w:rFonts w:ascii="Arial" w:cs="Arial" w:eastAsia="Arial" w:hAnsi="Arial"/>
                <w:sz w:val="18"/>
                <w:szCs w:val="18"/>
                <w:color w:val="006EBF"/>
              </w:rPr>
            </w:pPr>
            <w:hyperlink w:anchor="page4">
              <w:r>
                <w:rPr>
                  <w:rFonts w:ascii="Arial" w:cs="Arial" w:eastAsia="Arial" w:hAnsi="Arial"/>
                  <w:sz w:val="18"/>
                  <w:szCs w:val="18"/>
                  <w:color w:val="006EBF"/>
                </w:rPr>
                <w:t>Condensed Consolidated Statements of Earnings</w:t>
              </w:r>
            </w:hyperlink>
          </w:p>
        </w:tc>
        <w:tc>
          <w:tcPr>
            <w:tcW w:w="1480" w:type="dxa"/>
            <w:vAlign w:val="bottom"/>
          </w:tcPr>
          <w:p>
            <w:pPr>
              <w:jc w:val="right"/>
              <w:spacing w:after="0"/>
              <w:rPr>
                <w:rFonts w:ascii="Arial" w:cs="Arial" w:eastAsia="Arial" w:hAnsi="Arial"/>
                <w:sz w:val="18"/>
                <w:szCs w:val="18"/>
                <w:color w:val="006EBF"/>
              </w:rPr>
            </w:pPr>
            <w:hyperlink w:anchor="page4">
              <w:r>
                <w:rPr>
                  <w:rFonts w:ascii="Arial" w:cs="Arial" w:eastAsia="Arial" w:hAnsi="Arial"/>
                  <w:sz w:val="18"/>
                  <w:szCs w:val="18"/>
                  <w:color w:val="006EBF"/>
                </w:rPr>
                <w:t>4</w:t>
              </w:r>
            </w:hyperlink>
          </w:p>
        </w:tc>
      </w:tr>
      <w:tr>
        <w:trPr>
          <w:trHeight w:val="270"/>
        </w:trPr>
        <w:tc>
          <w:tcPr>
            <w:tcW w:w="9900" w:type="dxa"/>
            <w:vAlign w:val="bottom"/>
            <w:gridSpan w:val="2"/>
          </w:tcPr>
          <w:p>
            <w:pPr>
              <w:ind w:left="340"/>
              <w:spacing w:after="0"/>
              <w:rPr>
                <w:rFonts w:ascii="Arial" w:cs="Arial" w:eastAsia="Arial" w:hAnsi="Arial"/>
                <w:sz w:val="18"/>
                <w:szCs w:val="18"/>
                <w:color w:val="006EBF"/>
              </w:rPr>
            </w:pPr>
            <w:hyperlink w:anchor="page5">
              <w:r>
                <w:rPr>
                  <w:rFonts w:ascii="Arial" w:cs="Arial" w:eastAsia="Arial" w:hAnsi="Arial"/>
                  <w:sz w:val="18"/>
                  <w:szCs w:val="18"/>
                  <w:color w:val="006EBF"/>
                </w:rPr>
                <w:t>Condensed Consolidated Statements of Comprehensive Income</w:t>
              </w:r>
            </w:hyperlink>
          </w:p>
        </w:tc>
        <w:tc>
          <w:tcPr>
            <w:tcW w:w="1480" w:type="dxa"/>
            <w:vAlign w:val="bottom"/>
          </w:tcPr>
          <w:p>
            <w:pPr>
              <w:jc w:val="right"/>
              <w:spacing w:after="0"/>
              <w:rPr>
                <w:rFonts w:ascii="Arial" w:cs="Arial" w:eastAsia="Arial" w:hAnsi="Arial"/>
                <w:sz w:val="18"/>
                <w:szCs w:val="18"/>
                <w:color w:val="006EBF"/>
              </w:rPr>
            </w:pPr>
            <w:hyperlink w:anchor="page5">
              <w:r>
                <w:rPr>
                  <w:rFonts w:ascii="Arial" w:cs="Arial" w:eastAsia="Arial" w:hAnsi="Arial"/>
                  <w:sz w:val="18"/>
                  <w:szCs w:val="18"/>
                  <w:color w:val="006EBF"/>
                </w:rPr>
                <w:t>5</w:t>
              </w:r>
            </w:hyperlink>
          </w:p>
        </w:tc>
      </w:tr>
      <w:tr>
        <w:trPr>
          <w:trHeight w:val="270"/>
        </w:trPr>
        <w:tc>
          <w:tcPr>
            <w:tcW w:w="9900" w:type="dxa"/>
            <w:vAlign w:val="bottom"/>
            <w:gridSpan w:val="2"/>
          </w:tcPr>
          <w:p>
            <w:pPr>
              <w:ind w:left="340"/>
              <w:spacing w:after="0"/>
              <w:rPr>
                <w:rFonts w:ascii="Arial" w:cs="Arial" w:eastAsia="Arial" w:hAnsi="Arial"/>
                <w:sz w:val="18"/>
                <w:szCs w:val="18"/>
                <w:color w:val="006EBF"/>
              </w:rPr>
            </w:pPr>
            <w:hyperlink w:anchor="page6">
              <w:r>
                <w:rPr>
                  <w:rFonts w:ascii="Arial" w:cs="Arial" w:eastAsia="Arial" w:hAnsi="Arial"/>
                  <w:sz w:val="18"/>
                  <w:szCs w:val="18"/>
                  <w:color w:val="006EBF"/>
                </w:rPr>
                <w:t>Condensed Consolidated Statements of Cash Flows</w:t>
              </w:r>
            </w:hyperlink>
          </w:p>
        </w:tc>
        <w:tc>
          <w:tcPr>
            <w:tcW w:w="1480" w:type="dxa"/>
            <w:vAlign w:val="bottom"/>
          </w:tcPr>
          <w:p>
            <w:pPr>
              <w:jc w:val="right"/>
              <w:spacing w:after="0"/>
              <w:rPr>
                <w:rFonts w:ascii="Arial" w:cs="Arial" w:eastAsia="Arial" w:hAnsi="Arial"/>
                <w:sz w:val="18"/>
                <w:szCs w:val="18"/>
                <w:color w:val="006EBF"/>
              </w:rPr>
            </w:pPr>
            <w:hyperlink w:anchor="page6">
              <w:r>
                <w:rPr>
                  <w:rFonts w:ascii="Arial" w:cs="Arial" w:eastAsia="Arial" w:hAnsi="Arial"/>
                  <w:sz w:val="18"/>
                  <w:szCs w:val="18"/>
                  <w:color w:val="006EBF"/>
                </w:rPr>
                <w:t>6</w:t>
              </w:r>
            </w:hyperlink>
          </w:p>
        </w:tc>
      </w:tr>
      <w:tr>
        <w:trPr>
          <w:trHeight w:val="270"/>
        </w:trPr>
        <w:tc>
          <w:tcPr>
            <w:tcW w:w="9900" w:type="dxa"/>
            <w:vAlign w:val="bottom"/>
            <w:gridSpan w:val="2"/>
          </w:tcPr>
          <w:p>
            <w:pPr>
              <w:ind w:left="340"/>
              <w:spacing w:after="0"/>
              <w:rPr>
                <w:rFonts w:ascii="Arial" w:cs="Arial" w:eastAsia="Arial" w:hAnsi="Arial"/>
                <w:sz w:val="18"/>
                <w:szCs w:val="18"/>
                <w:color w:val="006EBF"/>
              </w:rPr>
            </w:pPr>
            <w:hyperlink w:anchor="page7">
              <w:r>
                <w:rPr>
                  <w:rFonts w:ascii="Arial" w:cs="Arial" w:eastAsia="Arial" w:hAnsi="Arial"/>
                  <w:sz w:val="18"/>
                  <w:szCs w:val="18"/>
                  <w:color w:val="006EBF"/>
                </w:rPr>
                <w:t>Notes to Condensed Consolidated Financial Statements</w:t>
              </w:r>
            </w:hyperlink>
          </w:p>
        </w:tc>
        <w:tc>
          <w:tcPr>
            <w:tcW w:w="1480" w:type="dxa"/>
            <w:vAlign w:val="bottom"/>
          </w:tcPr>
          <w:p>
            <w:pPr>
              <w:jc w:val="right"/>
              <w:spacing w:after="0"/>
              <w:rPr>
                <w:rFonts w:ascii="Arial" w:cs="Arial" w:eastAsia="Arial" w:hAnsi="Arial"/>
                <w:sz w:val="18"/>
                <w:szCs w:val="18"/>
                <w:color w:val="006EBF"/>
              </w:rPr>
            </w:pPr>
            <w:hyperlink w:anchor="page7">
              <w:r>
                <w:rPr>
                  <w:rFonts w:ascii="Arial" w:cs="Arial" w:eastAsia="Arial" w:hAnsi="Arial"/>
                  <w:sz w:val="18"/>
                  <w:szCs w:val="18"/>
                  <w:color w:val="006EBF"/>
                </w:rPr>
                <w:t>7</w:t>
              </w:r>
            </w:hyperlink>
          </w:p>
        </w:tc>
      </w:tr>
      <w:tr>
        <w:trPr>
          <w:trHeight w:val="270"/>
        </w:trPr>
        <w:tc>
          <w:tcPr>
            <w:tcW w:w="9900" w:type="dxa"/>
            <w:vAlign w:val="bottom"/>
            <w:gridSpan w:val="2"/>
          </w:tcPr>
          <w:p>
            <w:pPr>
              <w:ind w:left="140"/>
              <w:spacing w:after="0"/>
              <w:rPr>
                <w:rFonts w:ascii="Arial" w:cs="Arial" w:eastAsia="Arial" w:hAnsi="Arial"/>
                <w:sz w:val="18"/>
                <w:szCs w:val="18"/>
                <w:color w:val="006EBF"/>
              </w:rPr>
            </w:pPr>
            <w:hyperlink w:anchor="page18">
              <w:r>
                <w:rPr>
                  <w:rFonts w:ascii="Arial" w:cs="Arial" w:eastAsia="Arial" w:hAnsi="Arial"/>
                  <w:sz w:val="18"/>
                  <w:szCs w:val="18"/>
                  <w:color w:val="006EBF"/>
                </w:rPr>
                <w:t>Item 2. Management’s Discussion and Analysis of Results of Operations and Financial Condition</w:t>
              </w:r>
            </w:hyperlink>
          </w:p>
        </w:tc>
        <w:tc>
          <w:tcPr>
            <w:tcW w:w="1480" w:type="dxa"/>
            <w:vAlign w:val="bottom"/>
          </w:tcPr>
          <w:p>
            <w:pPr>
              <w:jc w:val="right"/>
              <w:spacing w:after="0"/>
              <w:rPr>
                <w:rFonts w:ascii="Arial" w:cs="Arial" w:eastAsia="Arial" w:hAnsi="Arial"/>
                <w:sz w:val="18"/>
                <w:szCs w:val="18"/>
                <w:color w:val="006EBF"/>
              </w:rPr>
            </w:pPr>
            <w:hyperlink w:anchor="page18">
              <w:r>
                <w:rPr>
                  <w:rFonts w:ascii="Arial" w:cs="Arial" w:eastAsia="Arial" w:hAnsi="Arial"/>
                  <w:sz w:val="18"/>
                  <w:szCs w:val="18"/>
                  <w:color w:val="006EBF"/>
                </w:rPr>
                <w:t>18</w:t>
              </w:r>
            </w:hyperlink>
          </w:p>
        </w:tc>
      </w:tr>
      <w:tr>
        <w:trPr>
          <w:trHeight w:val="270"/>
        </w:trPr>
        <w:tc>
          <w:tcPr>
            <w:tcW w:w="660" w:type="dxa"/>
            <w:vAlign w:val="bottom"/>
          </w:tcPr>
          <w:p>
            <w:pPr>
              <w:ind w:left="140"/>
              <w:spacing w:after="0"/>
              <w:rPr>
                <w:rFonts w:ascii="Arial" w:cs="Arial" w:eastAsia="Arial" w:hAnsi="Arial"/>
                <w:sz w:val="18"/>
                <w:szCs w:val="18"/>
                <w:color w:val="006EBF"/>
                <w:w w:val="90"/>
              </w:rPr>
            </w:pPr>
            <w:hyperlink w:anchor="page25">
              <w:r>
                <w:rPr>
                  <w:rFonts w:ascii="Arial" w:cs="Arial" w:eastAsia="Arial" w:hAnsi="Arial"/>
                  <w:sz w:val="18"/>
                  <w:szCs w:val="18"/>
                  <w:color w:val="006EBF"/>
                  <w:w w:val="90"/>
                </w:rPr>
                <w:t>Item 3.</w:t>
              </w:r>
            </w:hyperlink>
          </w:p>
        </w:tc>
        <w:tc>
          <w:tcPr>
            <w:tcW w:w="9240" w:type="dxa"/>
            <w:vAlign w:val="bottom"/>
          </w:tcPr>
          <w:p>
            <w:pPr>
              <w:ind w:left="20"/>
              <w:spacing w:after="0"/>
              <w:rPr>
                <w:rFonts w:ascii="Arial" w:cs="Arial" w:eastAsia="Arial" w:hAnsi="Arial"/>
                <w:sz w:val="18"/>
                <w:szCs w:val="18"/>
                <w:color w:val="006EBF"/>
              </w:rPr>
            </w:pPr>
            <w:hyperlink w:anchor="page25">
              <w:r>
                <w:rPr>
                  <w:rFonts w:ascii="Arial" w:cs="Arial" w:eastAsia="Arial" w:hAnsi="Arial"/>
                  <w:sz w:val="18"/>
                  <w:szCs w:val="18"/>
                  <w:color w:val="006EBF"/>
                </w:rPr>
                <w:t>Quantitative and Qualitative Disclosures About Market Risk</w:t>
              </w:r>
            </w:hyperlink>
          </w:p>
        </w:tc>
        <w:tc>
          <w:tcPr>
            <w:tcW w:w="1480" w:type="dxa"/>
            <w:vAlign w:val="bottom"/>
          </w:tcPr>
          <w:p>
            <w:pPr>
              <w:jc w:val="right"/>
              <w:spacing w:after="0"/>
              <w:rPr>
                <w:rFonts w:ascii="Arial" w:cs="Arial" w:eastAsia="Arial" w:hAnsi="Arial"/>
                <w:sz w:val="18"/>
                <w:szCs w:val="18"/>
                <w:color w:val="006EBF"/>
              </w:rPr>
            </w:pPr>
            <w:hyperlink w:anchor="page25">
              <w:r>
                <w:rPr>
                  <w:rFonts w:ascii="Arial" w:cs="Arial" w:eastAsia="Arial" w:hAnsi="Arial"/>
                  <w:sz w:val="18"/>
                  <w:szCs w:val="18"/>
                  <w:color w:val="006EBF"/>
                </w:rPr>
                <w:t>25</w:t>
              </w:r>
            </w:hyperlink>
          </w:p>
        </w:tc>
      </w:tr>
      <w:tr>
        <w:trPr>
          <w:trHeight w:val="270"/>
        </w:trPr>
        <w:tc>
          <w:tcPr>
            <w:tcW w:w="660" w:type="dxa"/>
            <w:vAlign w:val="bottom"/>
          </w:tcPr>
          <w:p>
            <w:pPr>
              <w:ind w:left="140"/>
              <w:spacing w:after="0"/>
              <w:rPr>
                <w:rFonts w:ascii="Arial" w:cs="Arial" w:eastAsia="Arial" w:hAnsi="Arial"/>
                <w:sz w:val="18"/>
                <w:szCs w:val="18"/>
                <w:color w:val="006EBF"/>
                <w:w w:val="90"/>
              </w:rPr>
            </w:pPr>
            <w:hyperlink w:anchor="page26">
              <w:r>
                <w:rPr>
                  <w:rFonts w:ascii="Arial" w:cs="Arial" w:eastAsia="Arial" w:hAnsi="Arial"/>
                  <w:sz w:val="18"/>
                  <w:szCs w:val="18"/>
                  <w:color w:val="006EBF"/>
                  <w:w w:val="90"/>
                </w:rPr>
                <w:t>Item 4.</w:t>
              </w:r>
            </w:hyperlink>
          </w:p>
        </w:tc>
        <w:tc>
          <w:tcPr>
            <w:tcW w:w="9240" w:type="dxa"/>
            <w:vAlign w:val="bottom"/>
          </w:tcPr>
          <w:p>
            <w:pPr>
              <w:ind w:left="20"/>
              <w:spacing w:after="0"/>
              <w:rPr>
                <w:rFonts w:ascii="Arial" w:cs="Arial" w:eastAsia="Arial" w:hAnsi="Arial"/>
                <w:sz w:val="18"/>
                <w:szCs w:val="18"/>
                <w:color w:val="006EBF"/>
              </w:rPr>
            </w:pPr>
            <w:hyperlink w:anchor="page26">
              <w:r>
                <w:rPr>
                  <w:rFonts w:ascii="Arial" w:cs="Arial" w:eastAsia="Arial" w:hAnsi="Arial"/>
                  <w:sz w:val="18"/>
                  <w:szCs w:val="18"/>
                  <w:color w:val="006EBF"/>
                </w:rPr>
                <w:t>Controls and Procedures</w:t>
              </w:r>
            </w:hyperlink>
          </w:p>
        </w:tc>
        <w:tc>
          <w:tcPr>
            <w:tcW w:w="1480" w:type="dxa"/>
            <w:vAlign w:val="bottom"/>
          </w:tcPr>
          <w:p>
            <w:pPr>
              <w:jc w:val="right"/>
              <w:spacing w:after="0"/>
              <w:rPr>
                <w:rFonts w:ascii="Arial" w:cs="Arial" w:eastAsia="Arial" w:hAnsi="Arial"/>
                <w:sz w:val="18"/>
                <w:szCs w:val="18"/>
                <w:color w:val="006EBF"/>
              </w:rPr>
            </w:pPr>
            <w:hyperlink w:anchor="page26">
              <w:r>
                <w:rPr>
                  <w:rFonts w:ascii="Arial" w:cs="Arial" w:eastAsia="Arial" w:hAnsi="Arial"/>
                  <w:sz w:val="18"/>
                  <w:szCs w:val="18"/>
                  <w:color w:val="006EBF"/>
                </w:rPr>
                <w:t>25</w:t>
              </w:r>
            </w:hyperlink>
          </w:p>
        </w:tc>
      </w:tr>
      <w:tr>
        <w:trPr>
          <w:trHeight w:val="270"/>
        </w:trPr>
        <w:tc>
          <w:tcPr>
            <w:tcW w:w="9900" w:type="dxa"/>
            <w:vAlign w:val="bottom"/>
            <w:gridSpan w:val="2"/>
          </w:tcPr>
          <w:p>
            <w:pPr>
              <w:spacing w:after="0"/>
              <w:rPr>
                <w:rFonts w:ascii="Arial" w:cs="Arial" w:eastAsia="Arial" w:hAnsi="Arial"/>
                <w:sz w:val="18"/>
                <w:szCs w:val="18"/>
                <w:color w:val="006EBF"/>
              </w:rPr>
            </w:pPr>
            <w:hyperlink w:anchor="page26">
              <w:r>
                <w:rPr>
                  <w:rFonts w:ascii="Arial" w:cs="Arial" w:eastAsia="Arial" w:hAnsi="Arial"/>
                  <w:sz w:val="18"/>
                  <w:szCs w:val="18"/>
                  <w:color w:val="006EBF"/>
                </w:rPr>
                <w:t>PART II. Other Information</w:t>
              </w:r>
            </w:hyperlink>
          </w:p>
        </w:tc>
        <w:tc>
          <w:tcPr>
            <w:tcW w:w="1480" w:type="dxa"/>
            <w:vAlign w:val="bottom"/>
          </w:tcPr>
          <w:p>
            <w:pPr>
              <w:jc w:val="right"/>
              <w:spacing w:after="0"/>
              <w:rPr>
                <w:rFonts w:ascii="Arial" w:cs="Arial" w:eastAsia="Arial" w:hAnsi="Arial"/>
                <w:sz w:val="18"/>
                <w:szCs w:val="18"/>
                <w:color w:val="006EBF"/>
              </w:rPr>
            </w:pPr>
            <w:hyperlink w:anchor="page26">
              <w:r>
                <w:rPr>
                  <w:rFonts w:ascii="Arial" w:cs="Arial" w:eastAsia="Arial" w:hAnsi="Arial"/>
                  <w:sz w:val="18"/>
                  <w:szCs w:val="18"/>
                  <w:color w:val="006EBF"/>
                </w:rPr>
                <w:t>26</w:t>
              </w:r>
            </w:hyperlink>
          </w:p>
        </w:tc>
      </w:tr>
      <w:tr>
        <w:trPr>
          <w:trHeight w:val="270"/>
        </w:trPr>
        <w:tc>
          <w:tcPr>
            <w:tcW w:w="660" w:type="dxa"/>
            <w:vAlign w:val="bottom"/>
          </w:tcPr>
          <w:p>
            <w:pPr>
              <w:ind w:left="140"/>
              <w:spacing w:after="0"/>
              <w:rPr>
                <w:sz w:val="20"/>
                <w:szCs w:val="20"/>
                <w:color w:val="auto"/>
              </w:rPr>
            </w:pPr>
            <w:r>
              <w:rPr>
                <w:rFonts w:ascii="Arial" w:cs="Arial" w:eastAsia="Arial" w:hAnsi="Arial"/>
                <w:sz w:val="18"/>
                <w:szCs w:val="18"/>
                <w:color w:val="006EBF"/>
                <w:w w:val="90"/>
              </w:rPr>
              <w:t>Item 2.</w:t>
            </w:r>
          </w:p>
        </w:tc>
        <w:tc>
          <w:tcPr>
            <w:tcW w:w="9240" w:type="dxa"/>
            <w:vAlign w:val="bottom"/>
          </w:tcPr>
          <w:p>
            <w:pPr>
              <w:ind w:left="20"/>
              <w:spacing w:after="0"/>
              <w:rPr>
                <w:sz w:val="20"/>
                <w:szCs w:val="20"/>
                <w:color w:val="auto"/>
              </w:rPr>
            </w:pPr>
            <w:r>
              <w:rPr>
                <w:rFonts w:ascii="Arial" w:cs="Arial" w:eastAsia="Arial" w:hAnsi="Arial"/>
                <w:sz w:val="18"/>
                <w:szCs w:val="18"/>
                <w:color w:val="006EBF"/>
              </w:rPr>
              <w:t>Unregistered Sales of Equity Securities and Use of Proceeds</w:t>
            </w:r>
          </w:p>
        </w:tc>
        <w:tc>
          <w:tcPr>
            <w:tcW w:w="1480" w:type="dxa"/>
            <w:vAlign w:val="bottom"/>
          </w:tcPr>
          <w:p>
            <w:pPr>
              <w:jc w:val="right"/>
              <w:spacing w:after="0"/>
              <w:rPr>
                <w:rFonts w:ascii="Arial" w:cs="Arial" w:eastAsia="Arial" w:hAnsi="Arial"/>
                <w:sz w:val="18"/>
                <w:szCs w:val="18"/>
                <w:color w:val="006EBF"/>
              </w:rPr>
            </w:pPr>
            <w:hyperlink w:anchor="page27">
              <w:r>
                <w:rPr>
                  <w:rFonts w:ascii="Arial" w:cs="Arial" w:eastAsia="Arial" w:hAnsi="Arial"/>
                  <w:sz w:val="18"/>
                  <w:szCs w:val="18"/>
                  <w:color w:val="006EBF"/>
                </w:rPr>
                <w:t>26</w:t>
              </w:r>
            </w:hyperlink>
          </w:p>
        </w:tc>
      </w:tr>
      <w:tr>
        <w:trPr>
          <w:trHeight w:val="270"/>
        </w:trPr>
        <w:tc>
          <w:tcPr>
            <w:tcW w:w="660" w:type="dxa"/>
            <w:vAlign w:val="bottom"/>
          </w:tcPr>
          <w:p>
            <w:pPr>
              <w:ind w:left="140"/>
              <w:spacing w:after="0"/>
              <w:rPr>
                <w:rFonts w:ascii="Arial" w:cs="Arial" w:eastAsia="Arial" w:hAnsi="Arial"/>
                <w:sz w:val="18"/>
                <w:szCs w:val="18"/>
                <w:color w:val="006EBF"/>
                <w:w w:val="90"/>
              </w:rPr>
            </w:pPr>
            <w:hyperlink w:anchor="page27">
              <w:r>
                <w:rPr>
                  <w:rFonts w:ascii="Arial" w:cs="Arial" w:eastAsia="Arial" w:hAnsi="Arial"/>
                  <w:sz w:val="18"/>
                  <w:szCs w:val="18"/>
                  <w:color w:val="006EBF"/>
                  <w:w w:val="90"/>
                </w:rPr>
                <w:t>Item 6.</w:t>
              </w:r>
            </w:hyperlink>
          </w:p>
        </w:tc>
        <w:tc>
          <w:tcPr>
            <w:tcW w:w="9240" w:type="dxa"/>
            <w:vAlign w:val="bottom"/>
          </w:tcPr>
          <w:p>
            <w:pPr>
              <w:ind w:left="20"/>
              <w:spacing w:after="0"/>
              <w:rPr>
                <w:rFonts w:ascii="Arial" w:cs="Arial" w:eastAsia="Arial" w:hAnsi="Arial"/>
                <w:sz w:val="18"/>
                <w:szCs w:val="18"/>
                <w:color w:val="006EBF"/>
              </w:rPr>
            </w:pPr>
            <w:hyperlink w:anchor="page27">
              <w:r>
                <w:rPr>
                  <w:rFonts w:ascii="Arial" w:cs="Arial" w:eastAsia="Arial" w:hAnsi="Arial"/>
                  <w:sz w:val="18"/>
                  <w:szCs w:val="18"/>
                  <w:color w:val="006EBF"/>
                </w:rPr>
                <w:t>Exhibits</w:t>
              </w:r>
            </w:hyperlink>
          </w:p>
        </w:tc>
        <w:tc>
          <w:tcPr>
            <w:tcW w:w="1480" w:type="dxa"/>
            <w:vAlign w:val="bottom"/>
          </w:tcPr>
          <w:p>
            <w:pPr>
              <w:jc w:val="right"/>
              <w:spacing w:after="0"/>
              <w:rPr>
                <w:rFonts w:ascii="Arial" w:cs="Arial" w:eastAsia="Arial" w:hAnsi="Arial"/>
                <w:sz w:val="18"/>
                <w:szCs w:val="18"/>
                <w:color w:val="006EBF"/>
              </w:rPr>
            </w:pPr>
            <w:hyperlink w:anchor="page27">
              <w:r>
                <w:rPr>
                  <w:rFonts w:ascii="Arial" w:cs="Arial" w:eastAsia="Arial" w:hAnsi="Arial"/>
                  <w:sz w:val="18"/>
                  <w:szCs w:val="18"/>
                  <w:color w:val="006EBF"/>
                </w:rPr>
                <w:t>26</w:t>
              </w:r>
            </w:hyperlink>
          </w:p>
        </w:tc>
      </w:tr>
      <w:tr>
        <w:trPr>
          <w:trHeight w:val="270"/>
        </w:trPr>
        <w:tc>
          <w:tcPr>
            <w:tcW w:w="9900" w:type="dxa"/>
            <w:vAlign w:val="bottom"/>
            <w:gridSpan w:val="2"/>
          </w:tcPr>
          <w:p>
            <w:pPr>
              <w:ind w:left="140"/>
              <w:spacing w:after="0"/>
              <w:rPr>
                <w:rFonts w:ascii="Arial" w:cs="Arial" w:eastAsia="Arial" w:hAnsi="Arial"/>
                <w:sz w:val="18"/>
                <w:szCs w:val="18"/>
                <w:color w:val="006EBF"/>
              </w:rPr>
            </w:pPr>
            <w:hyperlink w:anchor="page27">
              <w:r>
                <w:rPr>
                  <w:rFonts w:ascii="Arial" w:cs="Arial" w:eastAsia="Arial" w:hAnsi="Arial"/>
                  <w:sz w:val="18"/>
                  <w:szCs w:val="18"/>
                  <w:color w:val="006EBF"/>
                </w:rPr>
                <w:t>Signatures</w:t>
              </w:r>
            </w:hyperlink>
          </w:p>
        </w:tc>
        <w:tc>
          <w:tcPr>
            <w:tcW w:w="1480" w:type="dxa"/>
            <w:vAlign w:val="bottom"/>
          </w:tcPr>
          <w:p>
            <w:pPr>
              <w:jc w:val="right"/>
              <w:spacing w:after="0"/>
              <w:rPr>
                <w:rFonts w:ascii="Arial" w:cs="Arial" w:eastAsia="Arial" w:hAnsi="Arial"/>
                <w:sz w:val="18"/>
                <w:szCs w:val="18"/>
                <w:color w:val="006EBF"/>
              </w:rPr>
            </w:pPr>
            <w:hyperlink w:anchor="page27">
              <w:r>
                <w:rPr>
                  <w:rFonts w:ascii="Arial" w:cs="Arial" w:eastAsia="Arial" w:hAnsi="Arial"/>
                  <w:sz w:val="18"/>
                  <w:szCs w:val="18"/>
                  <w:color w:val="006EBF"/>
                </w:rPr>
                <w:t>27</w:t>
              </w:r>
            </w:hyperlink>
          </w:p>
        </w:tc>
      </w:tr>
      <w:tr>
        <w:trPr>
          <w:trHeight w:val="486"/>
        </w:trPr>
        <w:tc>
          <w:tcPr>
            <w:tcW w:w="660" w:type="dxa"/>
            <w:vAlign w:val="bottom"/>
          </w:tcPr>
          <w:p>
            <w:pPr>
              <w:spacing w:after="0"/>
              <w:rPr>
                <w:sz w:val="24"/>
                <w:szCs w:val="24"/>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9"/>
              </w:rPr>
              <w:t>2</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October 31, 2015</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114,492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159,174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157,386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63,500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66,700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16,958</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21,059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20,849</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104,507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35,407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32,197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407,208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408,582</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433,199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66,242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68,888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22,310</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17,508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18,704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5,284</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93,803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94,423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270,086</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2,164</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359,403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371,957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253,295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260,743</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111,214</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1,048,849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1,062,897</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72,703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73,020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30,282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7,250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41,723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38,194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169,960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209,247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200,774</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64,697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65,188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476,091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475,209</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47,040,129 and 47,781,184 shares,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314,403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Earnings retained in the business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422,589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414,069</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stock—4,221,358 and 3,480,303 shares, respectively, of Class A nonvoting common stock, at 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(93,234)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(53,426)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(45,034)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572,758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587,688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1,062,897</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24"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8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3"/>
              </w:rPr>
              <w:t>Three months ended October 31,</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7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283,073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310,240</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143,724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160,079</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139,349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150,161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100,678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109,279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109,247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123,188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26,973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(expense) income: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 and other (expense)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27,192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24,405</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8,489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8,906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18,703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15,499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13,584</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51,089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51,313</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 recognized in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Reclassification adjustment for gains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investment hedge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intercompany loan translation adjustments: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 recognized in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Reclassification adjustment for gains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flow hedges:</w:t>
      </w:r>
    </w:p>
    <w:p>
      <w:pPr>
        <w:spacing w:after="0" w:line="86" w:lineRule="exact"/>
        <w:rPr>
          <w:sz w:val="20"/>
          <w:szCs w:val="20"/>
          <w:color w:val="auto"/>
        </w:rPr>
      </w:pPr>
    </w:p>
    <w:p>
      <w:pPr>
        <w:ind w:left="720" w:right="2640"/>
        <w:spacing w:after="0" w:line="470" w:lineRule="auto"/>
        <w:rPr>
          <w:sz w:val="20"/>
          <w:szCs w:val="20"/>
          <w:color w:val="auto"/>
        </w:rPr>
      </w:pPr>
      <w:r>
        <w:rPr>
          <w:rFonts w:ascii="Arial" w:cs="Arial" w:eastAsia="Arial" w:hAnsi="Arial"/>
          <w:sz w:val="14"/>
          <w:szCs w:val="14"/>
          <w:color w:val="auto"/>
        </w:rPr>
        <w:t>Net (loss) gain recognized in other comprehensive loss Reclassification adjustment for (gains) losses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Pension and other post-retirement benefits: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Actuarial gain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Prior service credit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benefit (expense) related to items of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October 31,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37465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90" w:lineRule="exact"/>
        <w:rPr>
          <w:sz w:val="20"/>
          <w:szCs w:val="20"/>
          <w:color w:val="auto"/>
        </w:rPr>
      </w:pPr>
    </w:p>
    <w:p>
      <w:pPr>
        <w:spacing w:after="0"/>
        <w:tabs>
          <w:tab w:leader="none" w:pos="780" w:val="left"/>
          <w:tab w:leader="none" w:pos="1480" w:val="left"/>
          <w:tab w:leader="none" w:pos="2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18,703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13,584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820"/>
        <w:spacing w:after="0"/>
        <w:tabs>
          <w:tab w:leader="none" w:pos="2200" w:val="left"/>
        </w:tabs>
        <w:rPr>
          <w:sz w:val="20"/>
          <w:szCs w:val="20"/>
          <w:color w:val="auto"/>
        </w:rPr>
      </w:pPr>
      <w:r>
        <w:rPr>
          <w:rFonts w:ascii="Arial" w:cs="Arial" w:eastAsia="Arial" w:hAnsi="Arial"/>
          <w:sz w:val="16"/>
          <w:szCs w:val="16"/>
          <w:color w:val="auto"/>
        </w:rPr>
        <w:t>(6,483)</w:t>
      </w:r>
      <w:r>
        <w:rPr>
          <w:sz w:val="20"/>
          <w:szCs w:val="20"/>
          <w:color w:val="auto"/>
        </w:rPr>
        <w:tab/>
      </w:r>
      <w:r>
        <w:rPr>
          <w:rFonts w:ascii="Arial" w:cs="Arial" w:eastAsia="Arial" w:hAnsi="Arial"/>
          <w:sz w:val="16"/>
          <w:szCs w:val="16"/>
          <w:color w:val="auto"/>
        </w:rPr>
        <w:t>(24,303)</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(34,697)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jc w:val="both"/>
        <w:ind w:left="820"/>
        <w:spacing w:after="0"/>
        <w:tabs>
          <w:tab w:leader="none" w:pos="2200" w:val="left"/>
        </w:tabs>
        <w:rPr>
          <w:sz w:val="20"/>
          <w:szCs w:val="20"/>
          <w:color w:val="auto"/>
        </w:rPr>
      </w:pPr>
      <w:r>
        <w:rPr>
          <w:rFonts w:ascii="Arial" w:cs="Arial" w:eastAsia="Arial" w:hAnsi="Arial"/>
          <w:sz w:val="16"/>
          <w:szCs w:val="16"/>
          <w:color w:val="auto"/>
        </w:rPr>
        <w:t>(6,483)</w:t>
      </w:r>
      <w:r>
        <w:rPr>
          <w:sz w:val="20"/>
          <w:szCs w:val="20"/>
          <w:color w:val="auto"/>
        </w:rPr>
        <w:tab/>
      </w:r>
      <w:r>
        <w:rPr>
          <w:rFonts w:ascii="Arial" w:cs="Arial" w:eastAsia="Arial" w:hAnsi="Arial"/>
          <w:sz w:val="16"/>
          <w:szCs w:val="16"/>
          <w:color w:val="auto"/>
        </w:rPr>
        <w:t>(59,000)</w:t>
      </w:r>
    </w:p>
    <w:p>
      <w:pPr>
        <w:spacing w:after="0" w:line="383" w:lineRule="exact"/>
        <w:rPr>
          <w:sz w:val="20"/>
          <w:szCs w:val="20"/>
          <w:color w:val="auto"/>
        </w:rPr>
      </w:pPr>
    </w:p>
    <w:p>
      <w:pPr>
        <w:ind w:left="1000"/>
        <w:spacing w:after="0"/>
        <w:tabs>
          <w:tab w:leader="none" w:pos="2320" w:val="left"/>
        </w:tabs>
        <w:rPr>
          <w:sz w:val="20"/>
          <w:szCs w:val="20"/>
          <w:color w:val="auto"/>
        </w:rPr>
      </w:pPr>
      <w:r>
        <w:rPr>
          <w:rFonts w:ascii="Arial" w:cs="Arial" w:eastAsia="Arial" w:hAnsi="Arial"/>
          <w:sz w:val="16"/>
          <w:szCs w:val="16"/>
          <w:color w:val="auto"/>
        </w:rPr>
        <w:t>871</w:t>
      </w:r>
      <w:r>
        <w:rPr>
          <w:sz w:val="20"/>
          <w:szCs w:val="20"/>
          <w:color w:val="auto"/>
        </w:rPr>
        <w:tab/>
      </w:r>
      <w:r>
        <w:rPr>
          <w:rFonts w:ascii="Arial" w:cs="Arial" w:eastAsia="Arial" w:hAnsi="Arial"/>
          <w:sz w:val="16"/>
          <w:szCs w:val="16"/>
          <w:color w:val="auto"/>
        </w:rPr>
        <w:t>8,151</w:t>
      </w:r>
    </w:p>
    <w:p>
      <w:pPr>
        <w:spacing w:after="0" w:line="356" w:lineRule="exact"/>
        <w:rPr>
          <w:sz w:val="20"/>
          <w:szCs w:val="20"/>
          <w:color w:val="auto"/>
        </w:rPr>
      </w:pPr>
    </w:p>
    <w:p>
      <w:pPr>
        <w:jc w:val="both"/>
        <w:ind w:left="820"/>
        <w:spacing w:after="0"/>
        <w:tabs>
          <w:tab w:leader="none" w:pos="2280" w:val="left"/>
        </w:tabs>
        <w:rPr>
          <w:sz w:val="20"/>
          <w:szCs w:val="20"/>
          <w:color w:val="auto"/>
        </w:rPr>
      </w:pPr>
      <w:r>
        <w:rPr>
          <w:rFonts w:ascii="Arial" w:cs="Arial" w:eastAsia="Arial" w:hAnsi="Arial"/>
          <w:sz w:val="16"/>
          <w:szCs w:val="16"/>
          <w:color w:val="auto"/>
        </w:rPr>
        <w:t>(1,424)</w:t>
      </w:r>
      <w:r>
        <w:rPr>
          <w:sz w:val="20"/>
          <w:szCs w:val="20"/>
          <w:color w:val="auto"/>
        </w:rPr>
        <w:tab/>
      </w:r>
      <w:r>
        <w:rPr>
          <w:rFonts w:ascii="Arial" w:cs="Arial" w:eastAsia="Arial" w:hAnsi="Arial"/>
          <w:sz w:val="16"/>
          <w:szCs w:val="16"/>
          <w:color w:val="auto"/>
        </w:rPr>
        <w:t>(1,350)</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jc w:val="both"/>
        <w:ind w:left="820"/>
        <w:spacing w:after="0"/>
        <w:tabs>
          <w:tab w:leader="none" w:pos="2280" w:val="left"/>
        </w:tabs>
        <w:rPr>
          <w:sz w:val="20"/>
          <w:szCs w:val="20"/>
          <w:color w:val="auto"/>
        </w:rPr>
      </w:pPr>
      <w:r>
        <w:rPr>
          <w:rFonts w:ascii="Arial" w:cs="Arial" w:eastAsia="Arial" w:hAnsi="Arial"/>
          <w:sz w:val="16"/>
          <w:szCs w:val="16"/>
          <w:color w:val="auto"/>
        </w:rPr>
        <w:t>(1,424)</w:t>
      </w:r>
      <w:r>
        <w:rPr>
          <w:sz w:val="20"/>
          <w:szCs w:val="20"/>
          <w:color w:val="auto"/>
        </w:rPr>
        <w:tab/>
      </w:r>
      <w:r>
        <w:rPr>
          <w:rFonts w:ascii="Arial" w:cs="Arial" w:eastAsia="Arial" w:hAnsi="Arial"/>
          <w:sz w:val="16"/>
          <w:szCs w:val="16"/>
          <w:color w:val="auto"/>
        </w:rPr>
        <w:t>(1,743)</w:t>
      </w:r>
    </w:p>
    <w:p>
      <w:pPr>
        <w:spacing w:after="0" w:line="356" w:lineRule="exact"/>
        <w:rPr>
          <w:sz w:val="20"/>
          <w:szCs w:val="20"/>
          <w:color w:val="auto"/>
        </w:rPr>
      </w:pPr>
    </w:p>
    <w:p>
      <w:pPr>
        <w:ind w:left="2460" w:hanging="1517"/>
        <w:spacing w:after="0"/>
        <w:tabs>
          <w:tab w:leader="none" w:pos="2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601</w:t>
      </w:r>
    </w:p>
    <w:p>
      <w:pPr>
        <w:spacing w:after="0" w:line="86" w:lineRule="exact"/>
        <w:rPr>
          <w:sz w:val="20"/>
          <w:szCs w:val="20"/>
          <w:color w:val="auto"/>
        </w:rPr>
      </w:pPr>
    </w:p>
    <w:p>
      <w:pPr>
        <w:ind w:left="2540" w:hanging="1597"/>
        <w:spacing w:after="0"/>
        <w:tabs>
          <w:tab w:leader="none" w:pos="2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2460" w:hanging="1517"/>
        <w:spacing w:after="0"/>
        <w:tabs>
          <w:tab w:leader="none" w:pos="2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622</w:t>
      </w:r>
    </w:p>
    <w:p>
      <w:pPr>
        <w:spacing w:after="0" w:line="356" w:lineRule="exact"/>
        <w:rPr>
          <w:sz w:val="20"/>
          <w:szCs w:val="20"/>
          <w:color w:val="auto"/>
        </w:rPr>
      </w:pPr>
    </w:p>
    <w:p>
      <w:pPr>
        <w:ind w:left="2420" w:hanging="1477"/>
        <w:spacing w:after="0"/>
        <w:tabs>
          <w:tab w:leader="none" w:pos="2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(214)</w:t>
      </w:r>
    </w:p>
    <w:p>
      <w:pPr>
        <w:spacing w:after="0" w:line="109" w:lineRule="exact"/>
        <w:rPr>
          <w:sz w:val="20"/>
          <w:szCs w:val="20"/>
          <w:color w:val="auto"/>
        </w:rPr>
      </w:pPr>
    </w:p>
    <w:p>
      <w:pPr>
        <w:ind w:left="2500" w:hanging="1557"/>
        <w:spacing w:after="0"/>
        <w:tabs>
          <w:tab w:leader="none" w:pos="2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49530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ind w:left="2420" w:hanging="1477"/>
        <w:spacing w:after="0"/>
        <w:tabs>
          <w:tab w:leader="none" w:pos="2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(295)</w:t>
      </w:r>
    </w:p>
    <w:p>
      <w:pPr>
        <w:spacing w:after="0" w:line="200" w:lineRule="exact"/>
        <w:rPr>
          <w:sz w:val="20"/>
          <w:szCs w:val="20"/>
          <w:color w:val="auto"/>
        </w:rPr>
      </w:pPr>
    </w:p>
    <w:p>
      <w:pPr>
        <w:spacing w:after="0" w:line="206" w:lineRule="exact"/>
        <w:rPr>
          <w:sz w:val="20"/>
          <w:szCs w:val="20"/>
          <w:color w:val="auto"/>
        </w:rPr>
      </w:pPr>
    </w:p>
    <w:tbl>
      <w:tblPr>
        <w:tblLayout w:type="fixed"/>
        <w:tblInd w:w="820" w:type="dxa"/>
        <w:tblCellMar>
          <w:top w:w="0" w:type="dxa"/>
          <w:left w:w="0" w:type="dxa"/>
          <w:bottom w:w="0" w:type="dxa"/>
          <w:right w:w="0" w:type="dxa"/>
        </w:tblCellMar>
      </w:tblPr>
      <w:tr>
        <w:trPr>
          <w:trHeight w:val="206"/>
        </w:trPr>
        <w:tc>
          <w:tcPr>
            <w:tcW w:w="940" w:type="dxa"/>
            <w:vAlign w:val="bottom"/>
          </w:tcPr>
          <w:p>
            <w:pPr>
              <w:jc w:val="right"/>
              <w:ind w:right="379"/>
              <w:spacing w:after="0"/>
              <w:rPr>
                <w:sz w:val="20"/>
                <w:szCs w:val="20"/>
                <w:color w:val="auto"/>
              </w:rPr>
            </w:pPr>
            <w:r>
              <w:rPr>
                <w:rFonts w:ascii="Arial" w:cs="Arial" w:eastAsia="Arial" w:hAnsi="Arial"/>
                <w:sz w:val="16"/>
                <w:szCs w:val="16"/>
                <w:color w:val="auto"/>
                <w:w w:val="90"/>
              </w:rPr>
              <w:t>(8,536)</w:t>
            </w:r>
          </w:p>
        </w:tc>
        <w:tc>
          <w:tcPr>
            <w:tcW w:w="1000" w:type="dxa"/>
            <w:vAlign w:val="bottom"/>
          </w:tcPr>
          <w:p>
            <w:pPr>
              <w:jc w:val="right"/>
              <w:spacing w:after="0"/>
              <w:rPr>
                <w:sz w:val="20"/>
                <w:szCs w:val="20"/>
                <w:color w:val="auto"/>
              </w:rPr>
            </w:pPr>
            <w:r>
              <w:rPr>
                <w:rFonts w:ascii="Arial" w:cs="Arial" w:eastAsia="Arial" w:hAnsi="Arial"/>
                <w:sz w:val="16"/>
                <w:szCs w:val="16"/>
                <w:color w:val="auto"/>
              </w:rPr>
              <w:t>(52,265)</w:t>
            </w:r>
          </w:p>
        </w:tc>
      </w:tr>
      <w:tr>
        <w:trPr>
          <w:trHeight w:val="270"/>
        </w:trPr>
        <w:tc>
          <w:tcPr>
            <w:tcW w:w="940" w:type="dxa"/>
            <w:vAlign w:val="bottom"/>
          </w:tcPr>
          <w:p>
            <w:pPr>
              <w:jc w:val="right"/>
              <w:ind w:right="439"/>
              <w:spacing w:after="0"/>
              <w:rPr>
                <w:sz w:val="20"/>
                <w:szCs w:val="20"/>
                <w:color w:val="auto"/>
              </w:rPr>
            </w:pPr>
            <w:r>
              <w:rPr>
                <w:rFonts w:ascii="Arial" w:cs="Arial" w:eastAsia="Arial" w:hAnsi="Arial"/>
                <w:sz w:val="16"/>
                <w:szCs w:val="16"/>
                <w:color w:val="auto"/>
              </w:rPr>
              <w:t>144</w:t>
            </w:r>
          </w:p>
        </w:tc>
        <w:tc>
          <w:tcPr>
            <w:tcW w:w="1000" w:type="dxa"/>
            <w:vAlign w:val="bottom"/>
          </w:tcPr>
          <w:p>
            <w:pPr>
              <w:jc w:val="right"/>
              <w:spacing w:after="0"/>
              <w:rPr>
                <w:sz w:val="20"/>
                <w:szCs w:val="20"/>
                <w:color w:val="auto"/>
              </w:rPr>
            </w:pPr>
            <w:r>
              <w:rPr>
                <w:rFonts w:ascii="Arial" w:cs="Arial" w:eastAsia="Arial" w:hAnsi="Arial"/>
                <w:sz w:val="16"/>
                <w:szCs w:val="16"/>
                <w:color w:val="auto"/>
              </w:rPr>
              <w:t>(3,326)</w:t>
            </w:r>
          </w:p>
        </w:tc>
      </w:tr>
    </w:tbl>
    <w:p>
      <w:pPr>
        <w:spacing w:after="0" w:line="13" w:lineRule="exact"/>
        <w:rPr>
          <w:sz w:val="20"/>
          <w:szCs w:val="20"/>
          <w:color w:val="auto"/>
        </w:rPr>
      </w:pPr>
    </w:p>
    <w:p>
      <w:pPr>
        <w:sectPr>
          <w:pgSz w:w="11900" w:h="16838" w:orient="portrait"/>
          <w:cols w:equalWidth="0" w:num="2">
            <w:col w:w="7880" w:space="720"/>
            <w:col w:w="282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(55,591)</w:t>
            </w:r>
          </w:p>
        </w:tc>
      </w:tr>
      <w:tr>
        <w:trPr>
          <w:trHeight w:val="33"/>
        </w:trPr>
        <w:tc>
          <w:tcPr>
            <w:tcW w:w="8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Loss on sale of business, net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Sale of business, net of cash retained</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issuance of common stock</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(Repayments) proceeds from borrowing on credit facilities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on equity-based compensation, and 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 October 31,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18,703</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13,584</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8,889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10,123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1,319</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196</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2,346</w:t>
            </w:r>
          </w:p>
        </w:tc>
      </w:tr>
      <w:tr>
        <w:trPr>
          <w:trHeight w:val="540"/>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(3,916)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(7,077)</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(2,999)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2,897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1,705</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30,370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18,604</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(11,451)</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8,771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(2,088)</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(10,183)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(10,191)</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33,286</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(1,296)</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(30,891)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21,890</w:t>
            </w:r>
          </w:p>
        </w:tc>
      </w:tr>
      <w:tr>
        <w:trPr>
          <w:trHeight w:val="55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(3,766)</w:t>
            </w:r>
          </w:p>
        </w:tc>
      </w:tr>
      <w:tr>
        <w:trPr>
          <w:trHeight w:val="55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34,640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114,492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81,834</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78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110,610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116,474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52070</wp:posOffset>
            </wp:positionV>
            <wp:extent cx="1955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disclosures of cash flow information: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Interest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taxes, net of refunds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2,144</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3,032</w:t>
            </w:r>
          </w:p>
        </w:tc>
      </w:tr>
      <w:tr>
        <w:trPr>
          <w:trHeight w:val="270"/>
        </w:trPr>
        <w:tc>
          <w:tcPr>
            <w:tcW w:w="540" w:type="dxa"/>
            <w:vAlign w:val="bottom"/>
          </w:tcPr>
          <w:p>
            <w:pPr>
              <w:spacing w:after="0"/>
              <w:rPr>
                <w:sz w:val="23"/>
                <w:szCs w:val="23"/>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4,533</w:t>
            </w: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7,323</w:t>
            </w:r>
          </w:p>
        </w:tc>
      </w:tr>
    </w:tbl>
    <w:p>
      <w:pPr>
        <w:spacing w:after="0" w:line="573"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2015 and July 31, 2015, its results of operations and comprehensive income (loss) for the three months ended October 31, 2015 and 2014, and cash flows for the three months ended October 31, 2015 and 2014. The consolidated balance sheet as of July 31, 2015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2015.</w:t>
      </w:r>
    </w:p>
    <w:p>
      <w:pPr>
        <w:spacing w:after="0" w:line="13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results of operations of the Company's Die-Cut business have been reported as discontinued operations within the condensed consolidated statements of earnings for the three months ended October 31, 2014. A portion of the Die-Cut business was divested in fiscal 2014 and the remainder was divested in the first quarter of fiscal 2015. In accordance with the authoritative literature, the Company has elected to not separately disclose the cash flows or other comprehensive income related to discontinued operations. Refer to Note I, "Discontinued Operations" for further discussion regarding the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three months ended October 31, 2015,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2015</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382,786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50,413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433,199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Translation adjustments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October 31, 2015</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381,433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49,539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430,972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Goodwill at October 31, 2015 and July 31, 2015 included $118,637 and $209,392 of accumulated impairment losses within the ID Solutions ("IDS") and Workplace Safety ("WPS") segments, respectively, for a total of $328,029. There were no impairment charges recorded during the three months ended October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October 31, 2015</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2015</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12,092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(10,760)</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1,332</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12,073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(10,641)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1,256</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136,108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(95,781)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40,327</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136,693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(94,537)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42,156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8,949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23,305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23,305</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23,352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23,352</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194,786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(128,544)</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66,242</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195,569</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(126,681)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68,888</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decrease in the gross carrying amount of other intangible assets as of October 31, 2015 compared to July 31, 2015 was due to the effects of currency fluctuations during the three-month period.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carrying amount of goodwill and other intangible assets in the Condensed Consolidated Balance Sheets at October 31, 2015 differs from the value assigned to them in the original allocation of purchase price due to impairments and the effect of currency fluctuations between the date of acquisition and October 31, 2015.</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was $2,633 and $3,369 for the three months ended October 31, 2015 and 2014, respectively. The amortization over each of the next five fiscal years is projected to be $8,811, $7,129, $6,451, $6,174 and $5,647 for the fiscal years ending July 31, 2016, 2017, 2018, 2019 and 2020,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Income (Loss)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comprehensive income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three months ended October 31, 2015: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July 31, 2015</w:t>
      </w:r>
    </w:p>
    <w:p>
      <w:pPr>
        <w:spacing w:after="0" w:line="100" w:lineRule="exact"/>
        <w:rPr>
          <w:sz w:val="20"/>
          <w:szCs w:val="20"/>
          <w:color w:val="auto"/>
        </w:rPr>
      </w:pPr>
    </w:p>
    <w:p>
      <w:pPr>
        <w:ind w:left="40" w:right="580"/>
        <w:spacing w:after="0" w:line="412" w:lineRule="auto"/>
        <w:rPr>
          <w:sz w:val="20"/>
          <w:szCs w:val="20"/>
          <w:color w:val="auto"/>
        </w:rPr>
      </w:pPr>
      <w:r>
        <w:rPr>
          <w:rFonts w:ascii="Arial" w:cs="Arial" w:eastAsia="Arial" w:hAnsi="Arial"/>
          <w:sz w:val="14"/>
          <w:szCs w:val="14"/>
          <w:color w:val="auto"/>
        </w:rPr>
        <w:t>Other comprehensive income (loss) before reclassification Amounts reclassified from accumulated other comprehensive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October 31, 2015</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Unrealized gain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on cash flow</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2"/>
              </w:rPr>
              <w:t>hedges</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(48,481)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(45,034)</w:t>
            </w:r>
          </w:p>
        </w:tc>
      </w:tr>
      <w:tr>
        <w:trPr>
          <w:trHeight w:val="33"/>
        </w:trPr>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(7,390)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(7,330)</w:t>
            </w:r>
          </w:p>
        </w:tc>
      </w:tr>
      <w:tr>
        <w:trPr>
          <w:trHeight w:val="270"/>
        </w:trPr>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(1,062)</w:t>
            </w:r>
          </w:p>
        </w:tc>
      </w:tr>
      <w:tr>
        <w:trPr>
          <w:trHeight w:val="33"/>
        </w:trPr>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2,655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(55,871)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(53,426)</w:t>
            </w:r>
          </w:p>
        </w:tc>
      </w:tr>
      <w:tr>
        <w:trPr>
          <w:trHeight w:val="33"/>
        </w:trPr>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-728345</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-368300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900" w:space="720"/>
            <w:col w:w="5800"/>
          </w:cols>
          <w:pgMar w:left="240" w:top="121" w:right="239" w:bottom="1440" w:gutter="0" w:footer="0" w:header="0"/>
          <w:type w:val="continuous"/>
        </w:sectPr>
      </w:pPr>
    </w:p>
    <w:p>
      <w:pPr>
        <w:jc w:val="both"/>
        <w:ind w:firstLine="432"/>
        <w:spacing w:after="0" w:line="255" w:lineRule="auto"/>
        <w:rPr>
          <w:sz w:val="20"/>
          <w:szCs w:val="20"/>
          <w:color w:val="auto"/>
        </w:rPr>
      </w:pPr>
      <w:r>
        <w:rPr>
          <w:rFonts w:ascii="Arial" w:cs="Arial" w:eastAsia="Arial" w:hAnsi="Arial"/>
          <w:sz w:val="18"/>
          <w:szCs w:val="18"/>
          <w:color w:val="auto"/>
        </w:rPr>
        <w:t>The increase in the accumulated other comprehensive loss as of October 31, 2015 compared to July 31, 2015 was primarily due to the appreciation of the U.S. dollar against other currencies. The foreign currency translation adjustments column in the table above includes the impact of foreign currency translation, foreign currency translation on intercompany notes, and the settlements of net investment hedges, net of tax. Of the total $1,062 in amounts reclassified from accumulated other comprehensive loss, the $279 gain on cash flow hedges was reclassified into cost of products sold and the $783 gain on post-retirement plans was reclassified into selling, general and administrative expenses ("SG&amp;A") on the Condensed Consolidated Statements of Earnings for the three months ended October 31, 2015.</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changes in accumulated other comprehensive income ("AOCI") by component, net of tax, for the three months ended October 31, 2014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Unrealized (loss)</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Accumulated other</w:t>
            </w:r>
          </w:p>
        </w:tc>
      </w:tr>
      <w:tr>
        <w:trPr>
          <w:trHeight w:val="203"/>
        </w:trPr>
        <w:tc>
          <w:tcPr>
            <w:tcW w:w="550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gain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comprehensive</w:t>
            </w:r>
          </w:p>
        </w:tc>
      </w:tr>
      <w:tr>
        <w:trPr>
          <w:trHeight w:val="210"/>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hedges</w:t>
            </w:r>
          </w:p>
        </w:tc>
        <w:tc>
          <w:tcPr>
            <w:tcW w:w="3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income</w:t>
            </w:r>
          </w:p>
        </w:tc>
      </w:tr>
      <w:tr>
        <w:trPr>
          <w:trHeight w:val="33"/>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64,156</w:t>
            </w: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550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(20,612)</w:t>
            </w:r>
          </w:p>
        </w:tc>
      </w:tr>
      <w:tr>
        <w:trPr>
          <w:trHeight w:val="33"/>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income</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(34,979)</w:t>
            </w:r>
          </w:p>
        </w:tc>
      </w:tr>
      <w:tr>
        <w:trPr>
          <w:trHeight w:val="244"/>
        </w:trPr>
        <w:tc>
          <w:tcPr>
            <w:tcW w:w="5500" w:type="dxa"/>
            <w:vAlign w:val="bottom"/>
          </w:tcPr>
          <w:p>
            <w:pPr>
              <w:ind w:left="40"/>
              <w:spacing w:after="0"/>
              <w:rPr>
                <w:sz w:val="20"/>
                <w:szCs w:val="20"/>
                <w:color w:val="auto"/>
              </w:rPr>
            </w:pPr>
            <w:r>
              <w:rPr>
                <w:rFonts w:ascii="Arial" w:cs="Arial" w:eastAsia="Arial" w:hAnsi="Arial"/>
                <w:sz w:val="16"/>
                <w:szCs w:val="16"/>
                <w:color w:val="auto"/>
              </w:rPr>
              <w:t>Ending balance, October 31,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4,559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8,565</w:t>
            </w: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decrease in AOCI as of October 31, 2014 compared to July 31, 2014 was primarily due to the accumulated foreign currency translation gains in the China Die-Cut businesses, which were reclassified into net earnings upon the completion of the second phase of the Die-Cut divestiture during the three months ended October 31, 2014. The appreciation of the U.S. dollar against other currencies also contributed to the decrease in AOCI during the quarter. Of the total $34,979 in amounts reclassified from accumulated other comprehensive income, the $34,697 gain was reclassified to the net loss on the sale of the Die-Cut business, the $13 loss on cash flow hedges was reclassified into cost of products sold, and the $295 gain on post-retirement plans was reclassified into SG&amp;A on the Condensed Consolidated Statements of Earnings for the three months ended October 31, 2014.</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illustrates the income tax benefit (expense) on the components of other comprehensive loss for the three months ended October 31, 2015 and 2014: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5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5"/>
              </w:rPr>
              <w:t>Three months ended October 31,</w:t>
            </w:r>
          </w:p>
        </w:tc>
      </w:tr>
      <w:tr>
        <w:trPr>
          <w:trHeight w:val="33"/>
        </w:trPr>
        <w:tc>
          <w:tcPr>
            <w:tcW w:w="6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6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 comprehensive loss: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(340)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(3,179)</w:t>
            </w:r>
          </w:p>
        </w:tc>
      </w:tr>
      <w:tr>
        <w:trPr>
          <w:trHeight w:val="33"/>
        </w:trPr>
        <w:tc>
          <w:tcPr>
            <w:tcW w:w="6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 hedges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6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 comprehensive loss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(3,326)</w:t>
            </w:r>
          </w:p>
        </w:tc>
      </w:tr>
      <w:tr>
        <w:trPr>
          <w:trHeight w:val="20"/>
        </w:trPr>
        <w:tc>
          <w:tcPr>
            <w:tcW w:w="6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income tax expense in the three months ended October 31, 2014 was primarily related to the foreign currency translation adjustment on the Company's Euro-denominated debt, which is designated as a net investment hedge, due to the appreciation of the U.S. dollar against the Euro during the three-month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Three months ended October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Earnings from continuing operations (Numerator for basic and diluted Class A Nonvoting Common 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18,703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15,499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Numerator for basic and diluted earnings from continuing operations per Class B Voting Common Share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17,919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14,704</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basic earnings from continuing operations per share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51,029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51,251</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diluted earnings from continuing operations per share for both Class A and Class B</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51,089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51,313</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Earnings from continuing operations per Class A Nonvoting Common Share: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0.30</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per Class A Nonvoting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Loss from discontinued operations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0.27</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0.25</w:t>
            </w:r>
          </w:p>
        </w:tc>
      </w:tr>
    </w:tbl>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Options to purchase approximately 4,172,000 and 3,897,000 shares of Class A Nonvoting Common Stock for the three months ended October 31, 2015 and 2014, respectively, were not included in the computation of diluted net earnings per share because the option exercise price was greater than the average market price of the common shares and, therefore, the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organized and managed on a global basis within three business platforms, ID Solutions, Workplace Safety, and People Identification ("PeopleID"), which aggregate into two reportable segments: IDS and WPS.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Each business platform has a President or Vice-President that reports directly to the Company's chief operating decision maker, its Chief Executive Officer. Each platform has its own distinct operations, which are managed locally by its own management team, maintains its own financial reports and is evaluated based on global segment profit. The Company has determined that these business platforms comprise its three operating segments, which aggregate into two reportable segments based on the information used by the Chief Executive Officer to allocate resources and assess performance.</w:t>
      </w:r>
    </w:p>
    <w:p>
      <w:pPr>
        <w:spacing w:after="0" w:line="1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following is a summary of segment information for the three months ended October 31, 2015 and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6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6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196,327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212,097</w:t>
            </w: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98,143</w:t>
            </w:r>
          </w:p>
        </w:tc>
      </w:tr>
      <w:tr>
        <w:trPr>
          <w:trHeight w:val="217"/>
        </w:trPr>
        <w:tc>
          <w:tcPr>
            <w:tcW w:w="678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283,073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310,240</w:t>
            </w:r>
          </w:p>
        </w:tc>
      </w:tr>
      <w:tr>
        <w:trPr>
          <w:trHeight w:val="73"/>
        </w:trPr>
        <w:tc>
          <w:tcPr>
            <w:tcW w:w="67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67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6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40,004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43,467</w:t>
            </w: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15,539</w:t>
            </w:r>
          </w:p>
        </w:tc>
      </w:tr>
      <w:tr>
        <w:trPr>
          <w:trHeight w:val="217"/>
        </w:trPr>
        <w:tc>
          <w:tcPr>
            <w:tcW w:w="678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56,668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59,006</w:t>
            </w:r>
          </w:p>
        </w:tc>
      </w:tr>
      <w:tr>
        <w:trPr>
          <w:trHeight w:val="33"/>
        </w:trPr>
        <w:tc>
          <w:tcPr>
            <w:tcW w:w="6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reconciliation of segment profit to earnings from continuing operations before income taxes for the three months ended October 31, 2015 and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59,006</w:t>
            </w:r>
          </w:p>
        </w:tc>
      </w:tr>
      <w:tr>
        <w:trPr>
          <w:trHeight w:val="224"/>
        </w:trPr>
        <w:tc>
          <w:tcPr>
            <w:tcW w:w="672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(27,755)</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(4,278)</w:t>
            </w: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(expense) income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(2,891)</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Restricted shares and RSUs issued under the plan have an issuance price equal to the fair market value of the underlying stock at the date of grant. The RSUs granted under the plan generally vest over a three-year service period, with one-third becoming exercisable one year after the grant date and one-third additional in each of the succeeding two years. Shares issued under the plan are referred to herein as "service-based" restricted shares and RSUs.</w:t>
      </w:r>
    </w:p>
    <w:p>
      <w:pPr>
        <w:spacing w:after="0" w:line="9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October 31, 2015, the Company has reserved 4,968,479 shares of Class A Nonvoting Common Stock for outstanding stock options, RSUs, and restricted shares and 2,238,223 shares of Class A Nonvoting Common Stock remain for future issuance of stock options, RSUs, and restricted and unrestricted shares under the active plan. The Company uses treasury stock or will issue new Class A Nonvoting Common Stock to deliver shares under the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October 31, 2015 and 2014, was $2,596 ($1,609 net of taxes) and $1,319 ($818 net of taxes), respectively.</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October 31, 2015, total unrecognized compensation cost related to stock-based compensation awards was $21,053 pre-tax, net of estimated forfeitures, which the Company expects to recognize over a weighted-average period of 3.0 years.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fair value of its service-based stock option awards granted during the three months ended October 31, 2015 and 2014,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8"/>
              </w:rPr>
              <w:t>Three months ended October 31,</w:t>
            </w:r>
          </w:p>
        </w:tc>
      </w:tr>
      <w:tr>
        <w:trPr>
          <w:trHeight w:val="33"/>
        </w:trPr>
        <w:tc>
          <w:tcPr>
            <w:tcW w:w="59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340" w:type="dxa"/>
            <w:vAlign w:val="bottom"/>
          </w:tcPr>
          <w:p>
            <w:pPr>
              <w:spacing w:after="0"/>
              <w:rPr>
                <w:sz w:val="20"/>
                <w:szCs w:val="20"/>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30.27%</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22.66</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22.66</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6.10</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three months ended October 31, 2015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452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Options</w:t>
            </w: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Term</w:t>
            </w: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3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3,500,951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080" w:type="dxa"/>
            <w:vAlign w:val="bottom"/>
          </w:tcPr>
          <w:p>
            <w:pPr>
              <w:jc w:val="right"/>
              <w:spacing w:after="0"/>
              <w:rPr>
                <w:sz w:val="20"/>
                <w:szCs w:val="20"/>
                <w:color w:val="auto"/>
              </w:rPr>
            </w:pPr>
            <w:r>
              <w:rPr>
                <w:rFonts w:ascii="Arial" w:cs="Arial" w:eastAsia="Arial" w:hAnsi="Arial"/>
                <w:sz w:val="16"/>
                <w:szCs w:val="16"/>
                <w:color w:val="auto"/>
              </w:rPr>
              <w:t>871,993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080" w:type="dxa"/>
            <w:vAlign w:val="bottom"/>
          </w:tcPr>
          <w:p>
            <w:pPr>
              <w:jc w:val="right"/>
              <w:spacing w:after="0"/>
              <w:rPr>
                <w:sz w:val="20"/>
                <w:szCs w:val="20"/>
                <w:color w:val="auto"/>
              </w:rPr>
            </w:pPr>
            <w:r>
              <w:rPr>
                <w:rFonts w:ascii="Arial" w:cs="Arial" w:eastAsia="Arial" w:hAnsi="Arial"/>
                <w:sz w:val="16"/>
                <w:szCs w:val="16"/>
                <w:color w:val="auto"/>
              </w:rPr>
              <w:t>(152,462)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4,220,482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October 31, 2015</w:t>
            </w: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gridSpan w:val="2"/>
            <w:vMerge w:val="continue"/>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2,923,276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30.32</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There were 2,923,276 and 3,339,992 options exercisable with a weighted average exercise price of $30.32 and $30.94 at October 31, 2015 and 2014, respectively. The total fair value of stock options vested during the three months ended October 31, 2015 and 2014, was $2,964 and $3,684, respectively.</w:t>
      </w:r>
    </w:p>
    <w:p>
      <w:pPr>
        <w:spacing w:after="0" w:line="124"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No options were exercised during the three months ended October 31, 2015. The total intrinsic value of options exercised during the three months ended October 31, 2014, based upon the average market price at the time of exercise during the period, was $7. The cash received from the exercise of options and the tax benefit on these options during the three months ended October 31, 2014 was $91 and $3,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RSU activity under the Company's share-based compensation plans for the three months ended October 31, 2015:</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677,454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168,566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(28,194)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24.00</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747,997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service-based RSUs granted during the three months ended October 31, 2014 had a weighted-average grant date fair value of $23.45.</w:t>
      </w:r>
    </w:p>
    <w:p>
      <w:pPr>
        <w:spacing w:after="0" w:line="1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aggregate intrinsic value of unvested RSUs expected to vest at October 31, 2015 was $17,017. The total fair value of RSUs vested during the three months ended October 31, 2015 and 2014, was $1,419 and $762,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October 31, 2015 and July 31, 2015,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October 31, 2015</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13,945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13,945</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13,945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14,574</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2015</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16,041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H,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months ended October 31, 2015 and 2014. In addition, the Company had no significant measurements of assets or liabilities at fair value on a nonrecurring basis subsequent to their initial recognition during the three months ended October 31, 2015.</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2015, goodwill with carrying amounts of $26,246 and $10,866 in the WPS APAC and WPS Americas reporting units, respectively, was written off entirely, resulting in impairment charges of $37,112.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it was determined there was no excess fair value of the reporting units over the implied fair value of goodwill and thus, the remaining goodwill balances were impaired in fiscal 2015. The goodwill balances represented a Level 3 asset measured at fair value on a nonrecurring basis subsequent to its original recognition.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fiscal 2015, management evaluated other indefinite-lived intangible assets for recoverability using the income approach. The valuation was based upon current sales projections and profitability for each asset group, and the relief from royalty method was applied. Management evaluated other finite-lived intangible assets for recoverability using an undiscounted cash flow analysis based upon current sales projections and profitability for each asset group. This analysis resulted in an amount that was less than the carrying value of certain finite-lived intangible assets. Management measured the impairment loss of both indefinite and finite-lived intangible assets as the amount by which the carrying amount of the assets exceeded their fair value. As a result, other intangible assets with a carrying amount of $26,194 were written down to their estimated fair value of $19,543. These represented Level 3 assets measured at fair value on a nonrecurring basis subsequent to their original recognition. These items resulted in a total impairment charge of $6,651 in fiscal 2015.</w:t>
      </w:r>
    </w:p>
    <w:p>
      <w:pPr>
        <w:spacing w:after="0" w:line="13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estimated fair value of the Company’s short-term and long-term debt obligations, excluding notes payable, based on the quoted market prices for similar issues and on the current rates offered for debt of similar maturities was $249,607 and $252,254 at October 31, 2015 and July 31, 2015, respectively, as compared to the carrying value of $241,434 and $243,288 at October 31, 2015 and July 31,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October 31, 2015 and July 31, 2015, the notional amount of outstanding forward exchange contracts was $126,945 and $139,300,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exposures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As of October 31, 2015 and 2014, unrealized losses of $420 and unrealized gains of $601 were included in OCI, respectively. These balances are expected to be reclassified from OCI to earnings during the next twelve months when the hedged transactions impact earnings. For the three months ended October 31, 2015 and 2014, the Company reclassified gains of $457 and losses of $21 from OCI into earnings, respectively. At October 31, 2015, the U.S. dollar equivalent of these outstanding forward foreign exchange contracts totaled $24,920, including contracts to sell Euros, Canadian dollars, Australian dollars, British Pounds and U.S. dollars.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also designated intercompany and third party foreign currency denominated debt instruments as net investment hedges. At October 31, 2015, the Company designated £25,036 of intercompany loans as net investment hedges to hedge portions of its net investment in British foreign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foreign operations. The Company’s foreign denominated debt obligations are valued under a market approach using publicized spot prices.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Additionally, the Company may utilize forward foreign exchange currency contracts designated as hedge instruments to hedge portions of its net investments in foreign operations. The net gains or losses attributable to changes in spot exchange rates are recorded in OCI. Recognition in earnings of amounts previously recorded in cumulative translation is limited to circumstances such as complete or substantially complete liquidation of the net investment in the hedged foreign operation. There were no outstanding forward foreign exchange currency contracts designated as net investment hedges at October 31, 2015 and July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October 31, 2015 and 2014, the Company recognized losses of $413 of $841, respectively, in “Investment and other (expense) income” on the Condensed Consolidated Statements of Earnings related to non-designated hedges.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2"/>
                <w:szCs w:val="22"/>
                <w:color w:val="auto"/>
              </w:rPr>
            </w:pPr>
          </w:p>
        </w:tc>
        <w:tc>
          <w:tcPr>
            <w:tcW w:w="2300" w:type="dxa"/>
            <w:vAlign w:val="bottom"/>
            <w:tcBorders>
              <w:bottom w:val="single" w:sz="8" w:color="auto"/>
            </w:tcBorders>
            <w:gridSpan w:val="4"/>
            <w:shd w:val="clear" w:color="auto" w:fill="CCEEFF"/>
          </w:tcPr>
          <w:p>
            <w:pPr>
              <w:ind w:left="620"/>
              <w:spacing w:after="0"/>
              <w:rPr>
                <w:sz w:val="20"/>
                <w:szCs w:val="20"/>
                <w:color w:val="auto"/>
              </w:rPr>
            </w:pPr>
            <w:r>
              <w:rPr>
                <w:rFonts w:ascii="Arial" w:cs="Arial" w:eastAsia="Arial" w:hAnsi="Arial"/>
                <w:sz w:val="14"/>
                <w:szCs w:val="14"/>
                <w:b w:val="1"/>
                <w:bCs w:val="1"/>
                <w:color w:val="auto"/>
              </w:rPr>
              <w:t>October 31, 2015</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w w:val="97"/>
              </w:rPr>
              <w:t>July 31, 2015</w:t>
            </w: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ind w:left="600"/>
              <w:spacing w:after="0"/>
              <w:rPr>
                <w:sz w:val="20"/>
                <w:szCs w:val="20"/>
                <w:color w:val="auto"/>
              </w:rPr>
            </w:pPr>
            <w:r>
              <w:rPr>
                <w:rFonts w:ascii="Arial" w:cs="Arial" w:eastAsia="Arial" w:hAnsi="Arial"/>
                <w:sz w:val="14"/>
                <w:szCs w:val="14"/>
                <w:b w:val="1"/>
                <w:bCs w:val="1"/>
                <w:color w:val="auto"/>
              </w:rPr>
              <w:t>October 31, 2015</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July 31, 2015</w:t>
            </w: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120,643</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121,514</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121,410</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122,251</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1,265</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1,265</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I — Discontinued Operations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it was divested on August 1, 2014. The operating results have been reported as discontinued operations for the three months ended October 31, 2014.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operating results of discontinued operations for the three months ended October 31,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Three months ended</w:t>
            </w:r>
          </w:p>
        </w:tc>
      </w:tr>
      <w:tr>
        <w:trPr>
          <w:trHeight w:val="270"/>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October 31, 2014</w:t>
            </w: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Loss from operations of discontinued businesses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(1,201)</w:t>
            </w: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Loss on sale of discontinued operations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on sale of discontinued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income tax</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assets or liabilities held for sale as of October 31, 2015 and July 31, 2015, respectively. In accordance with authoritative literature, accumulated other comprehensive income of $34,697 was reclassified to the Condensed Consolidated Statements of Earnings upon the closing of the second phase of the Die-Cut divestiture during the three months ended October 31, 2014.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 J — New Accounting Pronouncements</w:t>
      </w:r>
    </w:p>
    <w:p>
      <w:pPr>
        <w:spacing w:after="0" w:line="3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July 2015, the FASB issued ASU 2015-11, "Simplifying the Measurement of Inventory", which requires that inventory within the scope of the guidance be measured at the lower of cost and net realizable value. Inventory measured using last-in, first-out (“LIFO”) is not impacted by the new standard. This guidance is effective for interim and annual periods beginning after December 15, 2016, with early adoption permitted and the prospective transition method should be applied. The Company is currently evaluating the impact of this update on its consolidated financial statements.</w:t>
      </w:r>
    </w:p>
    <w:p>
      <w:pPr>
        <w:spacing w:after="0" w:line="28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June 2014, the FASB issued ASU 2014-12, "Accounting for Share-Based Payments When the Terms of an Award Provide That a Performance Target Could be Achieved after the Requisite Service Period." The new guidance requires that a performance target that affects vesting and that could be achieved after the requisite service period be treated as a performance condition. The guidance also clarifies that the performance target should not be reflected in estimating the grant-date fair value of the award. The guidance is effective for interim and annual periods beginning after December 15, 2015, with early adoption permitted. The Company does not expect the adoption of this update to have a material impact on the financial statements of the Company.</w:t>
      </w:r>
    </w:p>
    <w:p>
      <w:pPr>
        <w:spacing w:after="0" w:line="26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which eliminates the transaction-and industry-specific revenue recognition guidance under current GAAP and replaces it with a principle-based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 The standard permits the use of either the retrospective or cumulative effect transition method. In August 2015, the FASB issued ASU 2015-14, "Revenue from Contracts with Customers (Topic 606): Deferral of the Effective Date," which defers the effective date of the new revenue recognition standard by one year. Under the ASU, the new revenue recognition standard is effective for the Company beginning in fiscal 2019. The Company is currently evaluating the impact of this update on its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NOTE K — Subsequent Events</w:t>
      </w:r>
    </w:p>
    <w:p>
      <w:pPr>
        <w:spacing w:after="0" w:line="25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November 18, 2015, the Board of Directors declared a quarterly cash dividend to shareholders of the Company’s Class A and Class B Common Stock of $0.2025 per share payable on January 29, 2016, to shareholders of record at the close of business on January 8, 2016.</w:t>
      </w:r>
    </w:p>
    <w:p>
      <w:pPr>
        <w:spacing w:after="0" w:line="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November 18, 2015, the Company's Board of Directors authorized an increase in the Company’s share repurchase program, authorizing the repurchase of an additional 807,692 shares, for a total of up to two million shares of the Company’s Class A Common Stock available for repurchase as of that date. The plan may be implemented by purchasing shares in the open market or in privately negotiated transactions, with repurchased shares available for use in connection with the Company's stock-based plans and for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40% and 70%, respectively.</w:t>
      </w:r>
    </w:p>
    <w:p>
      <w:pPr>
        <w:spacing w:after="0" w:line="26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expansion of our product offerings, and increased investment in digital.</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targeting the following key initiatives in fiscal 2016:</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Driving operational excellence and providing the Company's customers with the highest level of customer service.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our innovation development process and the speed to deliver high-value, innovative products that align with the Company's target markets.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Performing comprehensive product reviews to optimize the Company's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our digital presence with a heightened focus on mobile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Growing through focused sales and marketing efforts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months ended October 31, 2015 and 2014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Arial" w:cs="Arial" w:eastAsia="Arial" w:hAnsi="Arial"/>
                <w:sz w:val="16"/>
                <w:szCs w:val="16"/>
                <w:b w:val="1"/>
                <w:bCs w:val="1"/>
                <w:color w:val="auto"/>
                <w:w w:val="94"/>
              </w:rPr>
              <w:t>Three months ended October 31,</w:t>
            </w:r>
          </w:p>
        </w:tc>
        <w:tc>
          <w:tcPr>
            <w:tcW w:w="9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283,073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310,240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139,349</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150,161</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8,569</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9,631</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100,678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4,278</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109,247</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123,188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30,102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26,973</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Sales for the three months ended October 31, 2015 decreased 8.8% to $283.1 million, compared to $310.2 million in the same period of the prior year. The decrease in sales consisted of an organic sales decline of 2.2% and a negative currency impact of 6.6%, due to the strengthening of the U.S. dollar against other major currencies during the three-month period. The organic sales decline was 2.4% in the IDS segment and 1.7% in the WPS segment.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margin for the three months ended October 31, 2015 decreased 7.2% to $139.3 million, compared to $150.2 million in the same period of the prior year. This decrease was primarily due to the decline in sales and the negative impact of currency fluctuations during the quarter. As a percentage of sales, gross margin increased to 49.2% for the three months ended October 31, 2015, from 48.4% in the same period of the prior year. The increase in gross margin as a percentage of sales was primarily due to an improvement in operational efficiencies in our recently consolidated facilities in the Americas and EMEA, such as lower freight, supplies and labor costs and improvements in material usage and excess inventory and scrap charges compared to the same period in the prior year.</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(“R&amp;D”) for the three months ended October 31, 2015 decreased 11.0% to $8.6 million, compared to $9.6 million in the same period of the prior year. The decrease in R&amp;D expenses was primarily due to the timing of expenditures. As a percentage of sales, R&amp;D expenses were 3.0% for the three months ended October 31, 2015, which was consistent with the same period of the prior year.</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Selling, general and administrative expenses ("SG&amp;A") include selling costs directly attributed to the IDS and WPS segments, as well as administrative expenses including finance, informational technology, human resources, and legal. SG&amp;A decreased 7.9% to $100.7 million for the three months ended October 31, 2015, compared to $109.3 million in the same period of the prior year. The decline was primarily due to the strengthening of the U.S. dollar, and to a lesser extent, reduced selling expenses, lower amortization expense, and a reduction in administrative expenses from our continued efforts to drive efficiencies. As a percentage of sales, SG&amp;A was 35.6% for the three months ended October 31, 2015, compared to 35.2% in the same period of the prior year. The increase in SG&amp;A as a percentage of sales was primarily due to currency fluctuations and a higher concentration of SG&amp;A spending in the United States.</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The Company implemented this restructuring plan to enhance customer service, improve efficiency of operations and reduce operating expenses. Restructuring activities related to facility consolidation activities extended into fiscal 2015 and were complete at the end of fiscal 2015. The Company expects to realize operational efficiencies from these actions in fiscal 2016 and over the longer-term.</w:t>
      </w:r>
    </w:p>
    <w:p>
      <w:pPr>
        <w:spacing w:after="0" w:line="21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No restructuring charges were incurred by the Company during the three months ended October 31, 2015. Restructuring charges for the three months ended October 31, 2014 were $4.3 million, which consisted primarily of employee separation costs and facility closure costs. Approximately $2.4 million and $1.9 million were incurred in the IDS and WPS segments, respectively.</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was $30.1 million for the three months ended October 31, 2015. Operating income was $27.0 million for the three months ended October 31, 2014. Excluding restructuring charges of $4.3 million, operating income was $31.3 million for the three months ended October 31, 2014. The decrease of $1.2 million was mainly due to the negative impact of currency fluctuations during the three months ended October 31, 2015 compared to the same period of the prior year and the segment profit decline in the IDS segment, which is discussed in further detail within the Business Segment Operating Results section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ind w:left="800"/>
              <w:spacing w:after="0"/>
              <w:rPr>
                <w:sz w:val="20"/>
                <w:szCs w:val="20"/>
                <w:color w:val="auto"/>
              </w:rPr>
            </w:pPr>
            <w:r>
              <w:rPr>
                <w:rFonts w:ascii="Arial" w:cs="Arial" w:eastAsia="Arial" w:hAnsi="Arial"/>
                <w:sz w:val="16"/>
                <w:szCs w:val="16"/>
                <w:b w:val="1"/>
                <w:bCs w:val="1"/>
                <w:color w:val="auto"/>
                <w:w w:val="95"/>
              </w:rPr>
              <w:t>Three months ended October 31,</w:t>
            </w:r>
          </w:p>
        </w:tc>
        <w:tc>
          <w:tcPr>
            <w:tcW w:w="90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26,973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48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(2,891)</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27,192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8,489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18,703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15,499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expense was $0.8 million for the three months ended October 31, 2015, compared to other income of $0.3 million for the same period in the prior year. This change was primarily due to the decline in market value of securities held in the executive deferred compensation plans. The Company recognized losses of $0.4 million on these securities during the three months ended October 31, 2015, compared to gains of $0.4 million during the same period of the prior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$2.2 million for the three months ended October 31, 2015, from $2.9 million for the same period in the prior year. This decrease was due to a reduction in the weighted average interest rate on the revolving debt and the Company’s declining principal balance under its outstanding long-term debt agreements.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income tax rate on continuing operations was 31.2% for the three months ended October 31, 2015, compared to 36.5% for the three months ended October 31, 2014. The decrease in the income tax rate was primarily due to certain adjustments, which increased the prior year income tax rate. The tax rate is anticipated to be in the upper 20% range for fiscal year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organized and managed on a global basis within two reportable segments: ID Solutions and Workplace Safety. The segment results have been adjusted to reflect continuing operations in all periods presented. The sales and profit of discontinued operations for the three months ended October 31, 2014 are excluded from the following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months ended October 31, 2015 and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196,327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212,097</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86,746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98,143</w:t>
            </w:r>
          </w:p>
        </w:tc>
      </w:tr>
      <w:tr>
        <w:trPr>
          <w:trHeight w:val="217"/>
        </w:trPr>
        <w:tc>
          <w:tcPr>
            <w:tcW w:w="65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283,073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310,240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6613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6130"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Workplace Safety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40,004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43,467</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16,664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15,539</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56,668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59,006</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15.8 %</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segment profit to earnings from continuing operations before income taxes for the three months ended October 31, 2015 and 2014:</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59,006</w:t>
            </w:r>
          </w:p>
        </w:tc>
      </w:tr>
      <w:tr>
        <w:trPr>
          <w:trHeight w:val="224"/>
        </w:trPr>
        <w:tc>
          <w:tcPr>
            <w:tcW w:w="65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(27,755)</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(4,278)</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(expense)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(2,891)</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Approximately 70% of net sales in the IDS segment were generated in the Americas region, 20% in Europe and 10% in Asia. IDS sales decreased 7.4% to $196.3 million for the three months ended October 31, 2015, compared to $212.1 million for the same period in the prior year. Organic sales in the IDS segment continued the trend from the preceding quarter and declined in the low-single digits. Organic sales decreased 2.4% and currency fluctuations decreased sales by 5.0% for the three months ended October 31, 2015, compared to the same period in the prior year.</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the Americas declined in the mid-single digits for the three months ended October 31, 2015, as compared to the same period in the prior year. This decline was primarily due to a slow down in order patterns with certain of our end customers in North America, and a double-digit decline in OEM sales in Brazil due to weak economic conditions and increased competitive pressure.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IDS business in Europe continued the trend from fiscal 2015 with low-single digit organic sales growth for the three months ended October 31, 2015, as compared to the same period in the prior year. This increase was primarily driven by Central Europe where we have increased our salesforce and expanded in focused geographies.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Organic sales in Asia declined in the mid-single digits for the three months ended October 31, 2015, as compared to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decline was primarily due to reduced demand in China, Singapore and Japan as a result of the weakening economies.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decreased 8.0% to $40.0 million for the three months ended October 31, 2015, compared to $43.5 million in the same period of the prior year. This decrease was primarily due to the negative impact of currency fluctuations during the quarter. As a percentage of sales, segment profit was 20.4% for the three months ended October 31, 2015, compared to 20.5% in the same period of the prior year. The slight decline in segment profit as a percentage of sales was primarily due to the decline in organic sales during the three-month period, essentially offset by an improvement in operational efficiencies in our recently consolidated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decreased 11.6% to $86.7 million from $98.1 million for the three months ended October 31, 2015 and 2014, respectively. Organic sales decreased 1.7% and currency fluctuations decreased sales by 9.9%. Because approximately half of the WPS business is located in Europe and another 15% of the WPS segment is in Australia, the strengthening of the U.S. dollar against the Euro and Australian dollar had a larger impact on the results of the WPS segment than it did on the results of the IDS segment.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experienced an organic sales decline for the quarter ended October 31, 2015, the rate of decline has slowed as compared to the preceding quarter and the organic sales decline has lessened each year since fiscal 2013. This improving trend is a result of our focus on workplace safety critical industries, efforts to optimize our product offerings, and our increased investment in digital.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Europe grew in the low-single digits for the three months ended October 31, 2015, compared to the same period in the prior year. This growth was driven primarily by Germany, France, and Belgium due to improvements in website functionality and key account management. We experienced double-digit growth in digital sales, partially offset by a slight decline in traditional catalog sales for the three-month period compared to the same period in the prior year.</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Organic sales in the Americas declined in the mid-single digits for the three months ended October 31, 2015, compared to the same period in the prior year. This decrease was primarily due to reduced demand in the industrial end markets and a decrease in sales through traditional catalog channels.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declined in the low-single digits for the three months ended October 31, 2015, as compared to the same period of the prior year. Our business in Australia is diversified in many industries; however, it has a higher concentration in industries that are experiencing ongoing economic challenges, including manufacturing and mining production. Although we experienced an organic sales decline in the quarter ended October 31, 2015, the rate of decline has slowed as compared to the quarter ended July 31, 2015.</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Segment profit increased to $16.7 million for the three months ended October 31, 2015, compared to $15.5 million in the same period of the prior year. As a percentage of sales, segment profit increased to 19.2% for the three months ended October 31, 2015, compared to 15.8% in the same period of the prior year. The increase in segment profit was primarily due to reduced catalog advertising expenses and an improvement in operational efficiencies.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decreased by $3.9 million and increased by $34.6 million during the three months ended October 31, 2015 and 2014, respectively.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30,370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18,604</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21,890</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(3,766)</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34,640</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Net cash provided by operating activities was $30.4 million for the three months ended October 31, 2015, compared to $18.6 million in the same period of the prior year. The increase in cash provided by operating activities of $11.8 million was due primarily to an increase in net earnings and changes in working capital. Cash used for working capital was $0.5 million for the three months ended October 31, 2015, compared to $9.4 million in the same period of the prior year primarily due to the planned increase in inventory in the prior year to maintain service levels during the facility consolidations.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was $0.8 million for the three months ended October 31, 2015, compared to $2.1 million used in the same period of the prior year. The decrease in cash used in investing activities was due primarily to a decrease in capital expenditures of $9.1 million due to the completion of facility consolidation activities, partially offset by $8.8 million of cash received from the Die-Cut divestiture during the three months ended October 31, 2014.</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financing activities was $30.9 million during the three months ended October 31, 2015, compared to net cash provided by financing activities of $21.9 million in the same period of the prior year. The increase in cash used in financing activities was primarily due to $16.2 million in share repurchases and $2.7 million of repayments on the revolving loan agreements during the three months ended October 31, 2015, compared to $33.3 million in net borrowings on the revolving loan agreements in the same period of the prior year. The Company paid dividends of $10.2 million in both the three months ended October 31, 2015 and 2014.</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fiscal 2006 and 2007, the Company completed two private placement note issuances totaling $350 million in ten-year fixed rate notes with varying maturity dates to institutional investors at interest rates varying from 5.30% to 5.33%. The notes must be repaid equally over seven years, with final payments due in 2016 and 2017, with interest payable on the notes due semiannually on various dates throughout the year. The notes have certain prepayment penalties for repaying them prior to the maturity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The notes have certain prepayment penalties for repaying them prior to maturity.</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25, 2015, the Company and certain of its subsidiaries entered into an unsecured $300 million multi-currency revolving loan agreement with a group of six banks that replaced and terminated the Company’s previous loan agreement that had been entered into on February 1, 2012. Under the new revolving loan agreement, which has a final maturity date of September 25, 2020, the Company has the option to select either a base interest rate (based upon the higher of the federal funds rate plus one-half of 1%, the prime rate of Bank of America plus a margin based on the Company’s consolidated leverage ratio, or the one-month LIBOR rate plus 1%) or a Eurocurrency interest rate (at the LIBOR rate plus a margin based on the Company’s consolidated leverage ratio). At the Company's option, and subject to certain conditions, the available amount under the revolving loan agreement may be increased from $300 million to $450 million. During the three months ended October 31, 2015, the Company repaid $1.5 million and as of October 31, 2015, the outstanding balance on the credit facility was $100.5 million. The Company also had letters of credit outstanding under the loan agreement of $3.3 million as of October 31, 2015 and there was $196.2 million available for future borrowing, which can be increased to $346.2 million at the Company's option, subject to certain conditions.</w:t>
      </w:r>
    </w:p>
    <w:p>
      <w:pPr>
        <w:spacing w:after="0" w:line="2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fiscal 2015, the Company entered into two unsecured $10.0 million multi-currency lines of credit in China. These lines of credit support USD-denominated or CNY-denominated borrowing to fund working capital and operations for the Company's Chinese entities and are due on demand. The borrowings under these facilities may be made for a period up to one year from the date of borrowing with interest on the borrowings incurred equal to U.S. dollar LIBOR on the date of borrowing plus a margin based upon duration. The facilities are subject to periodic review and repricing. The Company is not required to comply with any financial covenants as part of this agreement. During the three months ended October 31, 2015, the Company repaid $1.2 million of this borrowing. As of October 31, 2015, the aggregate outstanding balance of these lines was $9.2 million and there was $10.8 million available for future borrowing under these facilities.</w:t>
      </w:r>
    </w:p>
    <w:p>
      <w:pPr>
        <w:spacing w:after="0" w:line="1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October 31, 2015, the Company was in compliance with these financial covenants, with the ratio of debt to EBITDA, as defined by the agreements, equal to 1.8 to 1.0 and the interest expense coverage ratio equal to 13.7 to 1.0.</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October 31, 2015, approximately 99%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twelve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November 18, 2015, the Board of Directors declared a quarterly cash dividend to shareholders of the Company’s Class A and Class B Common Stock of $0.2025 per share payable on January 29, 2016, to shareholders of record at the close of business on January 8, 2016.</w:t>
      </w:r>
    </w:p>
    <w:p>
      <w:pPr>
        <w:spacing w:after="0" w:line="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November 18, 2015, the Company's Board of Directors authorized an increase in the Company’s share repurchase program, authorizing the repurchase of an additional 807,692 shares, for a total of up to two million shares of the Company’s Class A Common Stock available for repurchase as of that date. The plan may be implemented by purchasing shares in the open market or in privately negotiated transactions, with repurchased shares available for use in connection with the Company's stock-based plans and for other corporate purposes.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technologically advanced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restructuring plans and maintaining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our ownership structure;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our level of debt;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21, 2015.</w:t>
      </w:r>
    </w:p>
    <w:p>
      <w:pPr>
        <w:spacing w:after="0" w:line="1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2015. There has been no material change in this information since July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&amp; Chief Executive Officer and Senior Vice President and Chief Financial Officer concluded that the Company’s disclosure controls and procedures are effective as of the end of the period covered by this report.</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1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of July 31, 2015, the Company had a share repurchase program with 966,242 shares of the Company's Class A Nonvoting Common Stock remaining to be purchased. On September 10, 2015, the Company's Board of Directors authorized an increase in the share repurchase program of 1,033,758 additional shares. During the three months ended October 31, 2015, the Company purchased 807,692 shares of its Class A Nonvoting Common Stock under its share repurchase plan for $16.2 million. As of October 31, 2015, there remained 1,192,308 shares to purchase in connection with this plan.</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October 31,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 Number</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r>
      <w:tr>
        <w:trPr>
          <w:trHeight w:val="203"/>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Purchased As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Shares That</w:t>
            </w:r>
          </w:p>
        </w:tc>
      </w:tr>
      <w:tr>
        <w:trPr>
          <w:trHeight w:val="203"/>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Part of</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Total Number</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Publicly</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r>
      <w:tr>
        <w:trPr>
          <w:trHeight w:val="203"/>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Average Price</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Announced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Under the</w:t>
            </w:r>
          </w:p>
        </w:tc>
      </w:tr>
      <w:tr>
        <w:trPr>
          <w:trHeight w:val="210"/>
        </w:trPr>
        <w:tc>
          <w:tcPr>
            <w:tcW w:w="62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Purchased</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 per share</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Plans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Plans</w:t>
            </w:r>
          </w:p>
        </w:tc>
      </w:tr>
      <w:tr>
        <w:trPr>
          <w:trHeight w:val="33"/>
        </w:trPr>
        <w:tc>
          <w:tcPr>
            <w:tcW w:w="6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6260" w:type="dxa"/>
            <w:vAlign w:val="bottom"/>
            <w:gridSpan w:val="2"/>
          </w:tcPr>
          <w:p>
            <w:pPr>
              <w:ind w:left="40"/>
              <w:spacing w:after="0"/>
              <w:rPr>
                <w:sz w:val="20"/>
                <w:szCs w:val="20"/>
                <w:color w:val="auto"/>
              </w:rPr>
            </w:pPr>
            <w:r>
              <w:rPr>
                <w:rFonts w:ascii="Arial" w:cs="Arial" w:eastAsia="Arial" w:hAnsi="Arial"/>
                <w:sz w:val="16"/>
                <w:szCs w:val="16"/>
                <w:color w:val="auto"/>
              </w:rPr>
              <w:t>August 1, 2015 - August 31, 2015</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966,242</w:t>
            </w:r>
          </w:p>
        </w:tc>
      </w:tr>
      <w:tr>
        <w:trPr>
          <w:trHeight w:val="33"/>
        </w:trPr>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1, 2015 - September 30, 2015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610,478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610,478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1,389,522</w:t>
            </w:r>
          </w:p>
        </w:tc>
      </w:tr>
      <w:tr>
        <w:trPr>
          <w:trHeight w:val="237"/>
        </w:trPr>
        <w:tc>
          <w:tcPr>
            <w:tcW w:w="6260" w:type="dxa"/>
            <w:vAlign w:val="bottom"/>
            <w:gridSpan w:val="2"/>
          </w:tcPr>
          <w:p>
            <w:pPr>
              <w:ind w:left="40"/>
              <w:spacing w:after="0"/>
              <w:rPr>
                <w:sz w:val="20"/>
                <w:szCs w:val="20"/>
                <w:color w:val="auto"/>
              </w:rPr>
            </w:pPr>
            <w:r>
              <w:rPr>
                <w:rFonts w:ascii="Arial" w:cs="Arial" w:eastAsia="Arial" w:hAnsi="Arial"/>
                <w:sz w:val="16"/>
                <w:szCs w:val="16"/>
                <w:color w:val="auto"/>
              </w:rPr>
              <w:t>October 1, 2015 - October 31, 2015</w:t>
            </w:r>
          </w:p>
        </w:tc>
        <w:tc>
          <w:tcPr>
            <w:tcW w:w="1040" w:type="dxa"/>
            <w:vAlign w:val="bottom"/>
          </w:tcPr>
          <w:p>
            <w:pPr>
              <w:jc w:val="right"/>
              <w:spacing w:after="0"/>
              <w:rPr>
                <w:sz w:val="20"/>
                <w:szCs w:val="20"/>
                <w:color w:val="auto"/>
              </w:rPr>
            </w:pPr>
            <w:r>
              <w:rPr>
                <w:rFonts w:ascii="Arial" w:cs="Arial" w:eastAsia="Arial" w:hAnsi="Arial"/>
                <w:sz w:val="16"/>
                <w:szCs w:val="16"/>
                <w:color w:val="auto"/>
              </w:rPr>
              <w:t>197,214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197,214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1,192,308</w:t>
            </w:r>
          </w:p>
        </w:tc>
      </w:tr>
      <w:tr>
        <w:trPr>
          <w:trHeight w:val="33"/>
        </w:trPr>
        <w:tc>
          <w:tcPr>
            <w:tcW w:w="6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807,692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1,192,308</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Restricted Stock Unit Agreement, dated as of September 25, 2015, with Harold L. Sirkin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9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880" w:type="dxa"/>
            <w:vAlign w:val="bottom"/>
            <w:gridSpan w:val="2"/>
          </w:tcPr>
          <w:p>
            <w:pPr>
              <w:jc w:val="center"/>
              <w:ind w:right="3450"/>
              <w:spacing w:after="0"/>
              <w:rPr>
                <w:sz w:val="20"/>
                <w:szCs w:val="20"/>
                <w:color w:val="auto"/>
              </w:rPr>
            </w:pPr>
            <w:r>
              <w:rPr>
                <w:rFonts w:ascii="Arial" w:cs="Arial" w:eastAsia="Arial" w:hAnsi="Arial"/>
                <w:sz w:val="18"/>
                <w:szCs w:val="18"/>
                <w:color w:val="auto"/>
                <w:w w:val="93"/>
              </w:rPr>
              <w:t>SIGNATURES</w:t>
            </w:r>
          </w:p>
        </w:tc>
      </w:tr>
      <w:tr>
        <w:trPr>
          <w:trHeight w:val="378"/>
        </w:trPr>
        <w:tc>
          <w:tcPr>
            <w:tcW w:w="3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500" w:type="dxa"/>
            <w:vAlign w:val="bottom"/>
          </w:tcPr>
          <w:p>
            <w:pPr>
              <w:spacing w:after="0"/>
              <w:rPr>
                <w:sz w:val="20"/>
                <w:szCs w:val="20"/>
                <w:color w:val="auto"/>
              </w:rPr>
            </w:pPr>
            <w:r>
              <w:rPr>
                <w:rFonts w:ascii="Arial" w:cs="Arial" w:eastAsia="Arial" w:hAnsi="Arial"/>
                <w:sz w:val="18"/>
                <w:szCs w:val="18"/>
                <w:color w:val="auto"/>
              </w:rPr>
              <w:t>Date: November 19, 2015</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500" w:type="dxa"/>
            <w:vAlign w:val="bottom"/>
          </w:tcPr>
          <w:p>
            <w:pPr>
              <w:spacing w:after="0"/>
              <w:rPr>
                <w:sz w:val="20"/>
                <w:szCs w:val="20"/>
                <w:color w:val="auto"/>
              </w:rPr>
            </w:pPr>
            <w:r>
              <w:rPr>
                <w:rFonts w:ascii="Arial" w:cs="Arial" w:eastAsia="Arial" w:hAnsi="Arial"/>
                <w:sz w:val="18"/>
                <w:szCs w:val="18"/>
                <w:color w:val="auto"/>
              </w:rPr>
              <w:t>Date: November 19, 2015</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56"/>
        </w:trPr>
        <w:tc>
          <w:tcPr>
            <w:tcW w:w="35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w w:val="96"/>
              </w:rPr>
              <w:t>Senior Vice President, Chief Financial Officer and</w:t>
            </w:r>
          </w:p>
        </w:tc>
      </w:tr>
      <w:tr>
        <w:trPr>
          <w:trHeight w:val="230"/>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Accounting Officer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500" w:type="dxa"/>
            <w:vAlign w:val="bottom"/>
          </w:tcPr>
          <w:p>
            <w:pPr>
              <w:spacing w:after="0"/>
              <w:rPr>
                <w:sz w:val="24"/>
                <w:szCs w:val="24"/>
                <w:color w:val="auto"/>
              </w:rPr>
            </w:pPr>
          </w:p>
        </w:tc>
        <w:tc>
          <w:tcPr>
            <w:tcW w:w="3780" w:type="dxa"/>
            <w:vAlign w:val="bottom"/>
          </w:tcPr>
          <w:p>
            <w:pPr>
              <w:jc w:val="right"/>
              <w:ind w:right="1430"/>
              <w:spacing w:after="0"/>
              <w:rPr>
                <w:sz w:val="20"/>
                <w:szCs w:val="20"/>
                <w:color w:val="auto"/>
              </w:rPr>
            </w:pPr>
            <w:r>
              <w:rPr>
                <w:rFonts w:ascii="Arial" w:cs="Arial" w:eastAsia="Arial" w:hAnsi="Arial"/>
                <w:sz w:val="18"/>
                <w:szCs w:val="18"/>
                <w:color w:val="auto"/>
              </w:rPr>
              <w:t>27</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RESTRICTED STOCK UNIT AGREEMENT</w:t>
      </w:r>
    </w:p>
    <w:p>
      <w:pPr>
        <w:spacing w:after="0" w:line="200" w:lineRule="exact"/>
        <w:rPr>
          <w:sz w:val="20"/>
          <w:szCs w:val="20"/>
          <w:color w:val="auto"/>
        </w:rPr>
      </w:pPr>
    </w:p>
    <w:p>
      <w:pPr>
        <w:spacing w:after="0" w:line="24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Restricted stock unit award effective September 25, 2015 to Harold L. Sirkin (hereinafter called the “Director”) pursuant to the terms of the Brady Corporation (the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6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29" w:lineRule="exact"/>
        <w:rPr>
          <w:rFonts w:ascii="Arial" w:cs="Arial" w:eastAsia="Arial" w:hAnsi="Arial"/>
          <w:sz w:val="18"/>
          <w:szCs w:val="18"/>
          <w:color w:val="auto"/>
        </w:rPr>
      </w:pPr>
    </w:p>
    <w:p>
      <w:pPr>
        <w:ind w:left="660" w:right="20"/>
        <w:spacing w:after="0" w:line="264" w:lineRule="auto"/>
        <w:rPr>
          <w:rFonts w:ascii="Arial" w:cs="Arial" w:eastAsia="Arial" w:hAnsi="Arial"/>
          <w:sz w:val="18"/>
          <w:szCs w:val="18"/>
          <w:color w:val="auto"/>
        </w:rPr>
      </w:pPr>
      <w:r>
        <w:rPr>
          <w:rFonts w:ascii="Arial" w:cs="Arial" w:eastAsia="Arial" w:hAnsi="Arial"/>
          <w:sz w:val="18"/>
          <w:szCs w:val="18"/>
          <w:color w:val="auto"/>
        </w:rPr>
        <w:t>This Restricted Stock Unit Award applies to 4,159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29" w:lineRule="exact"/>
        <w:rPr>
          <w:rFonts w:ascii="Arial" w:cs="Arial" w:eastAsia="Arial" w:hAnsi="Arial"/>
          <w:sz w:val="18"/>
          <w:szCs w:val="18"/>
          <w:color w:val="auto"/>
        </w:rPr>
      </w:pPr>
    </w:p>
    <w:p>
      <w:pPr>
        <w:ind w:left="660" w:right="80"/>
        <w:spacing w:after="0" w:line="277"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the Director must continuously serve as a member of the Board of Directors of the Corporation through February 28, 2016.</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 Except as provided in Section 3, if the Director's service as a member of the Board of Directors of the Corporation terminates prior to the satisfaction of the vesting requirement set forth in Section 2(a) above, any unvested Restricted Stock Units shall immediately be forfeited. The period of time during which the Restricted Stock Units covered by this Award are forfeitable is referred to as the “Restricted Period.”</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color w:val="auto"/>
        </w:rPr>
      </w:pPr>
    </w:p>
    <w:p>
      <w:pPr>
        <w:ind w:left="1300" w:right="20" w:hanging="644"/>
        <w:spacing w:after="0" w:line="25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the Director's service as a member of the Board of Directors of the Corporation is terminated prior to the end of the Restricted Period due to death or Disability, the Restricted Stock Units shall become fully vested. 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188" w:lineRule="exact"/>
        <w:rPr>
          <w:rFonts w:ascii="Arial" w:cs="Arial" w:eastAsia="Arial" w:hAnsi="Arial"/>
          <w:sz w:val="18"/>
          <w:szCs w:val="18"/>
          <w:color w:val="auto"/>
        </w:rPr>
      </w:pPr>
    </w:p>
    <w:p>
      <w:pPr>
        <w:ind w:left="1300" w:right="16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the event the Director's service as a member of the Board of Directors of the Corporation is terminated prior to the end of the Restricted Period due to a Change in Control, the Restricted Stock Units shall become unrestricted and fully vested.</w:t>
      </w:r>
    </w:p>
    <w:p>
      <w:pPr>
        <w:spacing w:after="0" w:line="170" w:lineRule="exact"/>
        <w:rPr>
          <w:sz w:val="20"/>
          <w:szCs w:val="20"/>
          <w:color w:val="auto"/>
        </w:rPr>
      </w:pPr>
    </w:p>
    <w:p>
      <w:pPr>
        <w:ind w:left="660" w:right="40"/>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4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the Director's service as a member of the Board of Directors is involuntarily terminated (other than by reason of death or Disability).</w:t>
      </w:r>
    </w:p>
    <w:p>
      <w:pPr>
        <w:sectPr>
          <w:pgSz w:w="11900" w:h="16838" w:orient="portrait"/>
          <w:cols w:equalWidth="0" w:num="1">
            <w:col w:w="11420"/>
          </w:cols>
          <w:pgMar w:left="240" w:top="580" w:right="239" w:bottom="1440" w:gutter="0" w:footer="0" w:header="0"/>
        </w:sectPr>
      </w:pPr>
    </w:p>
    <w:bookmarkStart w:id="29" w:name="page30"/>
    <w:bookmarkEnd w:id="29"/>
    <w:p>
      <w:pPr>
        <w:ind w:left="1292" w:right="20" w:hanging="644"/>
        <w:spacing w:after="0" w:line="259"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186" w:lineRule="exact"/>
        <w:rPr>
          <w:rFonts w:ascii="Arial" w:cs="Arial" w:eastAsia="Arial" w:hAnsi="Arial"/>
          <w:sz w:val="18"/>
          <w:szCs w:val="18"/>
          <w:color w:val="auto"/>
        </w:rPr>
      </w:pPr>
    </w:p>
    <w:p>
      <w:pPr>
        <w:ind w:left="1292" w:right="480" w:hanging="644"/>
        <w:spacing w:after="0" w:line="277"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Director as a result of Section 280G of the Code, the Corporation shall pay the Director an amount equal to such excise tax.</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29" w:lineRule="exact"/>
        <w:rPr>
          <w:rFonts w:ascii="Arial" w:cs="Arial" w:eastAsia="Arial" w:hAnsi="Arial"/>
          <w:sz w:val="18"/>
          <w:szCs w:val="18"/>
          <w:color w:val="auto"/>
        </w:rPr>
      </w:pPr>
    </w:p>
    <w:p>
      <w:pPr>
        <w:ind w:left="652"/>
        <w:spacing w:after="0" w:line="308"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Director one share of the Corporation's Class A Nonvoting Common Stock, $.01 par value ("Corporation Stock") for each Restricted Stock Unit which becomes vested.</w:t>
      </w:r>
    </w:p>
    <w:p>
      <w:pPr>
        <w:spacing w:after="0" w:line="142" w:lineRule="exact"/>
        <w:rPr>
          <w:rFonts w:ascii="Arial" w:cs="Arial" w:eastAsia="Arial" w:hAnsi="Arial"/>
          <w:sz w:val="18"/>
          <w:szCs w:val="18"/>
          <w:color w:val="auto"/>
        </w:rPr>
      </w:pPr>
    </w:p>
    <w:p>
      <w:pPr>
        <w:ind w:left="652" w:hanging="652"/>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29" w:lineRule="exact"/>
        <w:rPr>
          <w:rFonts w:ascii="Arial" w:cs="Arial" w:eastAsia="Arial" w:hAnsi="Arial"/>
          <w:sz w:val="18"/>
          <w:szCs w:val="18"/>
          <w:color w:val="auto"/>
        </w:rPr>
      </w:pPr>
    </w:p>
    <w:p>
      <w:pPr>
        <w:ind w:left="652" w:right="120"/>
        <w:spacing w:after="0" w:line="264"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color w:val="auto"/>
        </w:rPr>
      </w:pPr>
    </w:p>
    <w:p>
      <w:pPr>
        <w:ind w:left="652"/>
        <w:spacing w:after="0" w:line="255"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Directors, in satisfaction of all withholding taxes (including, without limitation, Federal income, FICA (Social Security and Medicare) and any state and local income taxes) payable as a result of such vesting, may elect, subject to such rules and regulations as the Corporation may adopt from time to time, to have the Corporation withhold that number of shares of Corporation Stock (valued at Fair Market Value on the date of vesting and rounded upward) required to settle such withholding taxes.</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Director</w:t>
      </w:r>
    </w:p>
    <w:p>
      <w:pPr>
        <w:spacing w:after="0" w:line="229" w:lineRule="exact"/>
        <w:rPr>
          <w:rFonts w:ascii="Arial" w:cs="Arial" w:eastAsia="Arial" w:hAnsi="Arial"/>
          <w:sz w:val="18"/>
          <w:szCs w:val="18"/>
          <w:color w:val="auto"/>
        </w:rPr>
      </w:pPr>
    </w:p>
    <w:p>
      <w:pPr>
        <w:ind w:left="652" w:right="80"/>
        <w:spacing w:after="0" w:line="264"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Director, the shares of Corporation Stock shall be issued and paid to the estate of the Director unless the Corporation shall have theretofore received in writing a beneficiary designation, in which event they shall be issued and paid to the designated beneficiary.</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color w:val="auto"/>
        </w:rPr>
      </w:pPr>
    </w:p>
    <w:p>
      <w:pPr>
        <w:ind w:left="652" w:right="180"/>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29" w:lineRule="exact"/>
        <w:rPr>
          <w:rFonts w:ascii="Arial" w:cs="Arial" w:eastAsia="Arial" w:hAnsi="Arial"/>
          <w:sz w:val="18"/>
          <w:szCs w:val="18"/>
          <w:color w:val="auto"/>
        </w:rPr>
      </w:pPr>
    </w:p>
    <w:p>
      <w:pPr>
        <w:ind w:left="652" w:right="20"/>
        <w:spacing w:after="0" w:line="286"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ectPr>
          <w:pgSz w:w="11900" w:h="16838" w:orient="portrait"/>
          <w:cols w:equalWidth="0" w:num="1">
            <w:col w:w="11312"/>
          </w:cols>
          <w:pgMar w:left="248" w:top="584" w:right="339" w:bottom="1440" w:gutter="0" w:footer="0" w:header="0"/>
        </w:sectPr>
      </w:pPr>
    </w:p>
    <w:bookmarkStart w:id="30" w:name="page31"/>
    <w:bookmarkEnd w:id="30"/>
    <w:p>
      <w:pPr>
        <w:ind w:left="652" w:hanging="652"/>
        <w:spacing w:after="0"/>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color w:val="auto"/>
        </w:rPr>
      </w:pPr>
    </w:p>
    <w:p>
      <w:pPr>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Corporation to modify the terms of an Award grant and has done so herein. Terms defined in the Plan where used herein shall have the meanings as so defined. The Director acknowledges receipt of a copy of the Plan.</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rFonts w:ascii="Arial" w:cs="Arial" w:eastAsia="Arial" w:hAnsi="Arial"/>
          <w:sz w:val="18"/>
          <w:szCs w:val="18"/>
          <w:color w:val="auto"/>
        </w:rPr>
      </w:pPr>
    </w:p>
    <w:p>
      <w:pPr>
        <w:ind w:left="652" w:right="120"/>
        <w:spacing w:after="0" w:line="264"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 WITNESS WHEREOF, the Corporation has granted this Award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By: /s/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-10160</wp:posOffset>
            </wp:positionV>
            <wp:extent cx="1473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73200" cy="8890"/>
                    </a:xfrm>
                    <a:prstGeom prst="rect">
                      <a:avLst/>
                    </a:prstGeom>
                    <a:noFill/>
                  </pic:spPr>
                </pic:pic>
              </a:graphicData>
            </a:graphic>
          </wp:anchor>
        </w:drawing>
      </w:r>
    </w:p>
    <w:p>
      <w:pPr>
        <w:spacing w:after="0" w:line="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ind w:left="3232"/>
        <w:spacing w:after="0"/>
        <w:rPr>
          <w:sz w:val="20"/>
          <w:szCs w:val="20"/>
          <w:color w:val="auto"/>
        </w:rPr>
      </w:pPr>
      <w:r>
        <w:rPr>
          <w:rFonts w:ascii="Arial" w:cs="Arial" w:eastAsia="Arial" w:hAnsi="Arial"/>
          <w:sz w:val="18"/>
          <w:szCs w:val="18"/>
          <w:b w:val="1"/>
          <w:bCs w:val="1"/>
          <w:u w:val="single" w:color="auto"/>
          <w:color w:val="auto"/>
        </w:rPr>
        <w:t>DIRECTOR'S ACCEPTANCE</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I, Harold L. Sirkin, hereby accept the foregoing Award and agree to the terms and conditions thereof.</w:t>
      </w:r>
    </w:p>
    <w:p>
      <w:pPr>
        <w:spacing w:after="0" w:line="221"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DIRECTOR:</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HAROLD L. SIRKIN</w:t>
      </w:r>
    </w:p>
    <w:p>
      <w:pPr>
        <w:spacing w:after="0" w:line="2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Print Name: Harold L. Sirkin</w:t>
      </w:r>
    </w:p>
    <w:p>
      <w:pPr>
        <w:sectPr>
          <w:pgSz w:w="11900" w:h="16838" w:orient="portrait"/>
          <w:cols w:equalWidth="0" w:num="1">
            <w:col w:w="11372"/>
          </w:cols>
          <w:pgMar w:left="248" w:top="580" w:right="2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19,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19,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19,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2015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19,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emdash "/>
      <w:numFmt w:val="bullet"/>
      <w:start w:val="1"/>
    </w:lvl>
  </w:abstractNum>
  <w:abstractNum w:abstractNumId="3">
    <w:nsid w:val="1BEFD79F"/>
    <w:multiLevelType w:val="hybridMultilevel"/>
    <w:lvl w:ilvl="0">
      <w:lvlJc w:val="left"/>
      <w:lvlText w:val="\emdash "/>
      <w:numFmt w:val="bullet"/>
      <w:start w:val="1"/>
    </w:lvl>
  </w:abstractNum>
  <w:abstractNum w:abstractNumId="4">
    <w:nsid w:val="41A7C4C9"/>
    <w:multiLevelType w:val="hybridMultilevel"/>
    <w:lvl w:ilvl="0">
      <w:lvlJc w:val="left"/>
      <w:lvlText w:val="(%1)"/>
      <w:numFmt w:val="decimal"/>
      <w:start w:val="260"/>
    </w:lvl>
  </w:abstractNum>
  <w:abstractNum w:abstractNumId="5">
    <w:nsid w:val="6B68079A"/>
    <w:multiLevelType w:val="hybridMultilevel"/>
    <w:lvl w:ilvl="0">
      <w:lvlJc w:val="left"/>
      <w:lvlText w:val="(%1)"/>
      <w:numFmt w:val="decimal"/>
      <w:start w:val="457"/>
    </w:lvl>
  </w:abstractNum>
  <w:abstractNum w:abstractNumId="6">
    <w:nsid w:val="4E6AFB66"/>
    <w:multiLevelType w:val="hybridMultilevel"/>
    <w:lvl w:ilvl="0">
      <w:lvlJc w:val="left"/>
      <w:lvlText w:val="(%1)"/>
      <w:numFmt w:val="decimal"/>
      <w:start w:val="717"/>
    </w:lvl>
  </w:abstractNum>
  <w:abstractNum w:abstractNumId="7">
    <w:nsid w:val="25E45D32"/>
    <w:multiLevelType w:val="hybridMultilevel"/>
    <w:lvl w:ilvl="0">
      <w:lvlJc w:val="left"/>
      <w:lvlText w:val="(%1)"/>
      <w:numFmt w:val="decimal"/>
      <w:start w:val="161"/>
    </w:lvl>
  </w:abstractNum>
  <w:abstractNum w:abstractNumId="8">
    <w:nsid w:val="519B500D"/>
    <w:multiLevelType w:val="hybridMultilevel"/>
    <w:lvl w:ilvl="0">
      <w:lvlJc w:val="left"/>
      <w:lvlText w:val="(%1)"/>
      <w:numFmt w:val="decimal"/>
      <w:start w:val="622"/>
    </w:lvl>
  </w:abstractNum>
  <w:abstractNum w:abstractNumId="9">
    <w:nsid w:val="431BD7B7"/>
    <w:multiLevelType w:val="hybridMultilevel"/>
    <w:lvl w:ilvl="0">
      <w:lvlJc w:val="left"/>
      <w:lvlText w:val="(%1)"/>
      <w:numFmt w:val="decimal"/>
      <w:start w:val="783"/>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lvl w:ilvl="1">
      <w:lvlJc w:val="left"/>
      <w:lvlText w:val="(%2)"/>
      <w:numFmt w:val="lowerLetter"/>
      <w:start w:val="1"/>
    </w:lvl>
  </w:abstractNum>
  <w:abstractNum w:abstractNumId="13">
    <w:nsid w:val="62BBD95A"/>
    <w:multiLevelType w:val="hybridMultilevel"/>
    <w:lvl w:ilvl="0">
      <w:lvlJc w:val="left"/>
      <w:lvlText w:val="%1"/>
      <w:numFmt w:val="decimal"/>
      <w:start w:val="1"/>
    </w:lvl>
    <w:lvl w:ilvl="1">
      <w:lvlJc w:val="left"/>
      <w:lvlText w:val="(%2)"/>
      <w:numFmt w:val="lowerLetter"/>
      <w:start w:val="3"/>
    </w:lvl>
  </w:abstractNum>
  <w:abstractNum w:abstractNumId="14">
    <w:nsid w:val="436C6125"/>
    <w:multiLevelType w:val="hybridMultilevel"/>
    <w:lvl w:ilvl="0">
      <w:lvlJc w:val="left"/>
      <w:lvlText w:val="%1."/>
      <w:numFmt w:val="decimal"/>
      <w:start w:val="4"/>
    </w:lvl>
    <w:lvl w:ilvl="1">
      <w:lvlJc w:val="left"/>
      <w:lvlText w:val="%2"/>
      <w:numFmt w:val="lowerLetter"/>
      <w:start w:val="1"/>
    </w:lvl>
  </w:abstractNum>
  <w:abstractNum w:abstractNumId="15">
    <w:nsid w:val="628C895D"/>
    <w:multiLevelType w:val="hybridMultilevel"/>
    <w:lvl w:ilvl="0">
      <w:lvlJc w:val="left"/>
      <w:lvlText w:val="%1."/>
      <w:numFmt w:val="decimal"/>
      <w:start w:val="1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2019-12-29T14:14:00Z</dcterms:created>
  <dcterms:modified xsi:type="dcterms:W3CDTF">2019-12-29T14:14:00Z</dcterms:modified>
</cp:coreProperties>
</file>