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Times New Roman" w:cs="Times New Roman" w:eastAsia="Times New Roman" w:hAnsi="Times New Roman"/>
          <w:sz w:val="27"/>
          <w:szCs w:val="27"/>
          <w:b w:val="1"/>
          <w:bCs w:val="1"/>
          <w:color w:val="auto"/>
        </w:rPr>
        <w:t>UNITED STATES</w:t>
      </w:r>
    </w:p>
    <w:p>
      <w:pPr>
        <w:spacing w:after="0" w:line="3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spacing w:after="0" w:line="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2844800</wp:posOffset>
            </wp:positionH>
            <wp:positionV relativeFrom="paragraph">
              <wp:posOffset>173355</wp:posOffset>
            </wp:positionV>
            <wp:extent cx="159956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99565" cy="6985"/>
                    </a:xfrm>
                    <a:prstGeom prst="rect">
                      <a:avLst/>
                    </a:prstGeom>
                    <a:noFill/>
                  </pic:spPr>
                </pic:pic>
              </a:graphicData>
            </a:graphic>
          </wp:anchor>
        </w:drawing>
      </w:r>
    </w:p>
    <w:p>
      <w:pPr>
        <w:spacing w:after="0" w:line="30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7"/>
          <w:szCs w:val="27"/>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2844800</wp:posOffset>
            </wp:positionH>
            <wp:positionV relativeFrom="paragraph">
              <wp:posOffset>151130</wp:posOffset>
            </wp:positionV>
            <wp:extent cx="159956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99565" cy="6985"/>
                    </a:xfrm>
                    <a:prstGeom prst="rect">
                      <a:avLst/>
                    </a:prstGeom>
                    <a:noFill/>
                  </pic:spPr>
                </pic:pic>
              </a:graphicData>
            </a:graphic>
          </wp:anchor>
        </w:drawing>
      </w:r>
    </w:p>
    <w:p>
      <w:pPr>
        <w:spacing w:after="0" w:line="27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1"/>
          <w:szCs w:val="21"/>
          <w:b w:val="1"/>
          <w:bCs w:val="1"/>
          <w:color w:val="auto"/>
        </w:rPr>
        <w:t>CURRENT REPORT</w:t>
      </w:r>
    </w:p>
    <w:p>
      <w:pPr>
        <w:spacing w:after="0" w:line="14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2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1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21,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2844800</wp:posOffset>
            </wp:positionH>
            <wp:positionV relativeFrom="paragraph">
              <wp:posOffset>180340</wp:posOffset>
            </wp:positionV>
            <wp:extent cx="159956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99565" cy="6985"/>
                    </a:xfrm>
                    <a:prstGeom prst="rect">
                      <a:avLst/>
                    </a:prstGeom>
                    <a:noFill/>
                  </pic:spPr>
                </pic:pic>
              </a:graphicData>
            </a:graphic>
          </wp:anchor>
        </w:drawing>
      </w:r>
    </w:p>
    <w:p>
      <w:pPr>
        <w:spacing w:after="0" w:line="312" w:lineRule="exact"/>
        <w:rPr>
          <w:sz w:val="24"/>
          <w:szCs w:val="24"/>
          <w:color w:val="auto"/>
        </w:rPr>
      </w:pPr>
    </w:p>
    <w:tbl>
      <w:tblPr>
        <w:tblLayout w:type="fixed"/>
        <w:tblInd w:w="2440" w:type="dxa"/>
        <w:tblCellMar>
          <w:top w:w="0" w:type="dxa"/>
          <w:left w:w="0" w:type="dxa"/>
          <w:bottom w:w="0" w:type="dxa"/>
          <w:right w:w="0" w:type="dxa"/>
        </w:tblCellMar>
      </w:tblPr>
      <w:tr>
        <w:trPr>
          <w:trHeight w:val="434"/>
        </w:trPr>
        <w:tc>
          <w:tcPr>
            <w:tcW w:w="1020" w:type="dxa"/>
            <w:vAlign w:val="bottom"/>
          </w:tcPr>
          <w:p>
            <w:pPr>
              <w:spacing w:after="0"/>
              <w:rPr>
                <w:sz w:val="24"/>
                <w:szCs w:val="24"/>
                <w:color w:val="auto"/>
              </w:rPr>
            </w:pPr>
          </w:p>
        </w:tc>
        <w:tc>
          <w:tcPr>
            <w:tcW w:w="5720" w:type="dxa"/>
            <w:vAlign w:val="bottom"/>
            <w:gridSpan w:val="3"/>
          </w:tcPr>
          <w:p>
            <w:pPr>
              <w:jc w:val="center"/>
              <w:ind w:right="1121"/>
              <w:spacing w:after="0"/>
              <w:rPr>
                <w:sz w:val="20"/>
                <w:szCs w:val="20"/>
                <w:color w:val="auto"/>
              </w:rPr>
            </w:pPr>
            <w:r>
              <w:rPr>
                <w:rFonts w:ascii="Times New Roman" w:cs="Times New Roman" w:eastAsia="Times New Roman" w:hAnsi="Times New Roman"/>
                <w:sz w:val="36"/>
                <w:szCs w:val="36"/>
                <w:b w:val="1"/>
                <w:bCs w:val="1"/>
                <w:color w:val="auto"/>
                <w:w w:val="97"/>
              </w:rPr>
              <w:t>BRADY CORPORATION</w:t>
            </w:r>
          </w:p>
        </w:tc>
      </w:tr>
      <w:tr>
        <w:trPr>
          <w:trHeight w:val="194"/>
        </w:trPr>
        <w:tc>
          <w:tcPr>
            <w:tcW w:w="1020" w:type="dxa"/>
            <w:vAlign w:val="bottom"/>
          </w:tcPr>
          <w:p>
            <w:pPr>
              <w:spacing w:after="0"/>
              <w:rPr>
                <w:sz w:val="16"/>
                <w:szCs w:val="16"/>
                <w:color w:val="auto"/>
              </w:rPr>
            </w:pPr>
          </w:p>
        </w:tc>
        <w:tc>
          <w:tcPr>
            <w:tcW w:w="5720" w:type="dxa"/>
            <w:vAlign w:val="bottom"/>
            <w:gridSpan w:val="3"/>
          </w:tcPr>
          <w:p>
            <w:pPr>
              <w:jc w:val="center"/>
              <w:ind w:right="1121"/>
              <w:spacing w:after="0"/>
              <w:rPr>
                <w:sz w:val="20"/>
                <w:szCs w:val="20"/>
                <w:color w:val="auto"/>
              </w:rPr>
            </w:pPr>
            <w:r>
              <w:rPr>
                <w:rFonts w:ascii="Times New Roman" w:cs="Times New Roman" w:eastAsia="Times New Roman" w:hAnsi="Times New Roman"/>
                <w:sz w:val="15"/>
                <w:szCs w:val="15"/>
                <w:b w:val="1"/>
                <w:bCs w:val="1"/>
                <w:color w:val="auto"/>
                <w:w w:val="98"/>
              </w:rPr>
              <w:t>(Exact name of registrant as specified in its charter)</w:t>
            </w:r>
          </w:p>
        </w:tc>
      </w:tr>
      <w:tr>
        <w:trPr>
          <w:trHeight w:val="211"/>
        </w:trPr>
        <w:tc>
          <w:tcPr>
            <w:tcW w:w="10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520" w:type="dxa"/>
            <w:vAlign w:val="bottom"/>
            <w:tcBorders>
              <w:bottom w:val="single" w:sz="8" w:color="auto"/>
            </w:tcBorders>
          </w:tcPr>
          <w:p>
            <w:pPr>
              <w:spacing w:after="0"/>
              <w:rPr>
                <w:sz w:val="18"/>
                <w:szCs w:val="18"/>
                <w:color w:val="auto"/>
              </w:rPr>
            </w:pPr>
          </w:p>
        </w:tc>
        <w:tc>
          <w:tcPr>
            <w:tcW w:w="2180" w:type="dxa"/>
            <w:vAlign w:val="bottom"/>
          </w:tcPr>
          <w:p>
            <w:pPr>
              <w:spacing w:after="0"/>
              <w:rPr>
                <w:sz w:val="18"/>
                <w:szCs w:val="18"/>
                <w:color w:val="auto"/>
              </w:rPr>
            </w:pPr>
          </w:p>
        </w:tc>
      </w:tr>
      <w:tr>
        <w:trPr>
          <w:trHeight w:val="235"/>
        </w:trPr>
        <w:tc>
          <w:tcPr>
            <w:tcW w:w="10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700" w:type="dxa"/>
            <w:vAlign w:val="bottom"/>
            <w:gridSpan w:val="2"/>
          </w:tcPr>
          <w:p>
            <w:pPr>
              <w:jc w:val="center"/>
              <w:ind w:right="2141"/>
              <w:spacing w:after="0"/>
              <w:rPr>
                <w:sz w:val="20"/>
                <w:szCs w:val="20"/>
                <w:color w:val="auto"/>
              </w:rPr>
            </w:pPr>
            <w:r>
              <w:rPr>
                <w:rFonts w:ascii="Times New Roman" w:cs="Times New Roman" w:eastAsia="Times New Roman" w:hAnsi="Times New Roman"/>
                <w:sz w:val="15"/>
                <w:szCs w:val="15"/>
                <w:b w:val="1"/>
                <w:bCs w:val="1"/>
                <w:color w:val="auto"/>
                <w:w w:val="98"/>
              </w:rPr>
              <w:t>Commission File Number 1-14959</w:t>
            </w:r>
          </w:p>
        </w:tc>
      </w:tr>
      <w:tr>
        <w:trPr>
          <w:trHeight w:val="577"/>
        </w:trPr>
        <w:tc>
          <w:tcPr>
            <w:tcW w:w="1020" w:type="dxa"/>
            <w:vAlign w:val="bottom"/>
          </w:tcPr>
          <w:p>
            <w:pPr>
              <w:jc w:val="center"/>
              <w:ind w:right="196"/>
              <w:spacing w:after="0"/>
              <w:rPr>
                <w:sz w:val="20"/>
                <w:szCs w:val="20"/>
                <w:color w:val="auto"/>
              </w:rPr>
            </w:pPr>
            <w:r>
              <w:rPr>
                <w:rFonts w:ascii="Times New Roman" w:cs="Times New Roman" w:eastAsia="Times New Roman" w:hAnsi="Times New Roman"/>
                <w:sz w:val="15"/>
                <w:szCs w:val="15"/>
                <w:b w:val="1"/>
                <w:bCs w:val="1"/>
                <w:color w:val="auto"/>
                <w:w w:val="97"/>
              </w:rPr>
              <w:t>Wisconsin</w:t>
            </w:r>
          </w:p>
        </w:tc>
        <w:tc>
          <w:tcPr>
            <w:tcW w:w="5720" w:type="dxa"/>
            <w:vAlign w:val="bottom"/>
            <w:gridSpan w:val="3"/>
          </w:tcPr>
          <w:p>
            <w:pPr>
              <w:jc w:val="center"/>
              <w:ind w:left="4708"/>
              <w:spacing w:after="0"/>
              <w:rPr>
                <w:sz w:val="20"/>
                <w:szCs w:val="20"/>
                <w:color w:val="auto"/>
              </w:rPr>
            </w:pPr>
            <w:r>
              <w:rPr>
                <w:rFonts w:ascii="Times New Roman" w:cs="Times New Roman" w:eastAsia="Times New Roman" w:hAnsi="Times New Roman"/>
                <w:sz w:val="15"/>
                <w:szCs w:val="15"/>
                <w:b w:val="1"/>
                <w:bCs w:val="1"/>
                <w:color w:val="auto"/>
                <w:w w:val="99"/>
              </w:rPr>
              <w:t>39-0971239</w:t>
            </w:r>
          </w:p>
        </w:tc>
      </w:tr>
      <w:tr>
        <w:trPr>
          <w:trHeight w:val="147"/>
        </w:trPr>
        <w:tc>
          <w:tcPr>
            <w:tcW w:w="1020" w:type="dxa"/>
            <w:vAlign w:val="bottom"/>
          </w:tcPr>
          <w:p>
            <w:pPr>
              <w:jc w:val="center"/>
              <w:ind w:right="216"/>
              <w:spacing w:after="0"/>
              <w:rPr>
                <w:sz w:val="20"/>
                <w:szCs w:val="20"/>
                <w:color w:val="auto"/>
              </w:rPr>
            </w:pPr>
            <w:r>
              <w:rPr>
                <w:rFonts w:ascii="Times New Roman" w:cs="Times New Roman" w:eastAsia="Times New Roman" w:hAnsi="Times New Roman"/>
                <w:sz w:val="12"/>
                <w:szCs w:val="12"/>
                <w:b w:val="1"/>
                <w:bCs w:val="1"/>
                <w:color w:val="auto"/>
                <w:w w:val="97"/>
              </w:rPr>
              <w:t>(State of</w:t>
            </w:r>
          </w:p>
        </w:tc>
        <w:tc>
          <w:tcPr>
            <w:tcW w:w="10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180" w:type="dxa"/>
            <w:vAlign w:val="bottom"/>
          </w:tcPr>
          <w:p>
            <w:pPr>
              <w:jc w:val="center"/>
              <w:ind w:left="1201"/>
              <w:spacing w:after="0"/>
              <w:rPr>
                <w:sz w:val="20"/>
                <w:szCs w:val="20"/>
                <w:color w:val="auto"/>
              </w:rPr>
            </w:pPr>
            <w:r>
              <w:rPr>
                <w:rFonts w:ascii="Times New Roman" w:cs="Times New Roman" w:eastAsia="Times New Roman" w:hAnsi="Times New Roman"/>
                <w:sz w:val="12"/>
                <w:szCs w:val="12"/>
                <w:b w:val="1"/>
                <w:bCs w:val="1"/>
                <w:color w:val="auto"/>
                <w:w w:val="97"/>
              </w:rPr>
              <w:t>(IRS Employer</w:t>
            </w:r>
          </w:p>
        </w:tc>
      </w:tr>
      <w:tr>
        <w:trPr>
          <w:trHeight w:val="147"/>
        </w:trPr>
        <w:tc>
          <w:tcPr>
            <w:tcW w:w="1020" w:type="dxa"/>
            <w:vAlign w:val="bottom"/>
          </w:tcPr>
          <w:p>
            <w:pPr>
              <w:jc w:val="center"/>
              <w:ind w:right="196"/>
              <w:spacing w:after="0"/>
              <w:rPr>
                <w:sz w:val="20"/>
                <w:szCs w:val="20"/>
                <w:color w:val="auto"/>
              </w:rPr>
            </w:pPr>
            <w:r>
              <w:rPr>
                <w:rFonts w:ascii="Times New Roman" w:cs="Times New Roman" w:eastAsia="Times New Roman" w:hAnsi="Times New Roman"/>
                <w:sz w:val="12"/>
                <w:szCs w:val="12"/>
                <w:b w:val="1"/>
                <w:bCs w:val="1"/>
                <w:color w:val="auto"/>
                <w:w w:val="99"/>
              </w:rPr>
              <w:t>Incorporation)</w:t>
            </w:r>
          </w:p>
        </w:tc>
        <w:tc>
          <w:tcPr>
            <w:tcW w:w="10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180" w:type="dxa"/>
            <w:vAlign w:val="bottom"/>
          </w:tcPr>
          <w:p>
            <w:pPr>
              <w:jc w:val="center"/>
              <w:ind w:left="1201"/>
              <w:spacing w:after="0"/>
              <w:rPr>
                <w:sz w:val="20"/>
                <w:szCs w:val="20"/>
                <w:color w:val="auto"/>
              </w:rPr>
            </w:pPr>
            <w:r>
              <w:rPr>
                <w:rFonts w:ascii="Times New Roman" w:cs="Times New Roman" w:eastAsia="Times New Roman" w:hAnsi="Times New Roman"/>
                <w:sz w:val="12"/>
                <w:szCs w:val="12"/>
                <w:b w:val="1"/>
                <w:bCs w:val="1"/>
                <w:color w:val="auto"/>
                <w:w w:val="97"/>
              </w:rPr>
              <w:t>Identification No.)</w:t>
            </w:r>
          </w:p>
        </w:tc>
      </w:tr>
      <w:tr>
        <w:trPr>
          <w:trHeight w:val="178"/>
        </w:trPr>
        <w:tc>
          <w:tcPr>
            <w:tcW w:w="10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700" w:type="dxa"/>
            <w:vAlign w:val="bottom"/>
            <w:gridSpan w:val="2"/>
          </w:tcPr>
          <w:p>
            <w:pPr>
              <w:jc w:val="center"/>
              <w:ind w:right="2141"/>
              <w:spacing w:after="0"/>
              <w:rPr>
                <w:sz w:val="20"/>
                <w:szCs w:val="20"/>
                <w:color w:val="auto"/>
              </w:rPr>
            </w:pPr>
            <w:r>
              <w:rPr>
                <w:rFonts w:ascii="Times New Roman" w:cs="Times New Roman" w:eastAsia="Times New Roman" w:hAnsi="Times New Roman"/>
                <w:sz w:val="15"/>
                <w:szCs w:val="15"/>
                <w:b w:val="1"/>
                <w:bCs w:val="1"/>
                <w:color w:val="auto"/>
                <w:w w:val="98"/>
              </w:rPr>
              <w:t>6555 West Good Hope Road</w:t>
            </w:r>
          </w:p>
        </w:tc>
      </w:tr>
      <w:tr>
        <w:trPr>
          <w:trHeight w:val="175"/>
        </w:trPr>
        <w:tc>
          <w:tcPr>
            <w:tcW w:w="10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700" w:type="dxa"/>
            <w:vAlign w:val="bottom"/>
            <w:gridSpan w:val="2"/>
          </w:tcPr>
          <w:p>
            <w:pPr>
              <w:jc w:val="center"/>
              <w:ind w:right="2141"/>
              <w:spacing w:after="0"/>
              <w:rPr>
                <w:sz w:val="20"/>
                <w:szCs w:val="20"/>
                <w:color w:val="auto"/>
              </w:rPr>
            </w:pPr>
            <w:r>
              <w:rPr>
                <w:rFonts w:ascii="Times New Roman" w:cs="Times New Roman" w:eastAsia="Times New Roman" w:hAnsi="Times New Roman"/>
                <w:sz w:val="15"/>
                <w:szCs w:val="15"/>
                <w:b w:val="1"/>
                <w:bCs w:val="1"/>
                <w:color w:val="auto"/>
                <w:w w:val="98"/>
              </w:rPr>
              <w:t>Milwaukee, Wisconsin 53223</w:t>
            </w:r>
          </w:p>
        </w:tc>
      </w:tr>
      <w:tr>
        <w:trPr>
          <w:trHeight w:val="155"/>
        </w:trPr>
        <w:tc>
          <w:tcPr>
            <w:tcW w:w="1020" w:type="dxa"/>
            <w:vAlign w:val="bottom"/>
          </w:tcPr>
          <w:p>
            <w:pPr>
              <w:spacing w:after="0"/>
              <w:rPr>
                <w:sz w:val="13"/>
                <w:szCs w:val="13"/>
                <w:color w:val="auto"/>
              </w:rPr>
            </w:pPr>
          </w:p>
        </w:tc>
        <w:tc>
          <w:tcPr>
            <w:tcW w:w="5720" w:type="dxa"/>
            <w:vAlign w:val="bottom"/>
            <w:gridSpan w:val="3"/>
          </w:tcPr>
          <w:p>
            <w:pPr>
              <w:jc w:val="center"/>
              <w:ind w:right="1121"/>
              <w:spacing w:after="0"/>
              <w:rPr>
                <w:sz w:val="20"/>
                <w:szCs w:val="20"/>
                <w:color w:val="auto"/>
              </w:rPr>
            </w:pPr>
            <w:r>
              <w:rPr>
                <w:rFonts w:ascii="Times New Roman" w:cs="Times New Roman" w:eastAsia="Times New Roman" w:hAnsi="Times New Roman"/>
                <w:sz w:val="12"/>
                <w:szCs w:val="12"/>
                <w:b w:val="1"/>
                <w:bCs w:val="1"/>
                <w:color w:val="auto"/>
                <w:w w:val="98"/>
              </w:rPr>
              <w:t>(Address of Principal Executive Offices and Zip Code)</w:t>
            </w:r>
          </w:p>
        </w:tc>
      </w:tr>
      <w:tr>
        <w:trPr>
          <w:trHeight w:val="308"/>
        </w:trPr>
        <w:tc>
          <w:tcPr>
            <w:tcW w:w="1020" w:type="dxa"/>
            <w:vAlign w:val="bottom"/>
          </w:tcPr>
          <w:p>
            <w:pPr>
              <w:spacing w:after="0"/>
              <w:rPr>
                <w:sz w:val="24"/>
                <w:szCs w:val="24"/>
                <w:color w:val="auto"/>
              </w:rPr>
            </w:pPr>
          </w:p>
        </w:tc>
        <w:tc>
          <w:tcPr>
            <w:tcW w:w="3540" w:type="dxa"/>
            <w:vAlign w:val="bottom"/>
            <w:gridSpan w:val="2"/>
          </w:tcPr>
          <w:p>
            <w:pPr>
              <w:jc w:val="center"/>
              <w:ind w:left="928"/>
              <w:spacing w:after="0"/>
              <w:rPr>
                <w:sz w:val="20"/>
                <w:szCs w:val="20"/>
                <w:color w:val="auto"/>
              </w:rPr>
            </w:pPr>
            <w:r>
              <w:rPr>
                <w:rFonts w:ascii="Times New Roman" w:cs="Times New Roman" w:eastAsia="Times New Roman" w:hAnsi="Times New Roman"/>
                <w:sz w:val="15"/>
                <w:szCs w:val="15"/>
                <w:b w:val="1"/>
                <w:bCs w:val="1"/>
                <w:color w:val="auto"/>
                <w:w w:val="98"/>
              </w:rPr>
              <w:t>(414) 358-6600</w:t>
            </w:r>
          </w:p>
        </w:tc>
        <w:tc>
          <w:tcPr>
            <w:tcW w:w="2180" w:type="dxa"/>
            <w:vAlign w:val="bottom"/>
          </w:tcPr>
          <w:p>
            <w:pPr>
              <w:spacing w:after="0"/>
              <w:rPr>
                <w:sz w:val="24"/>
                <w:szCs w:val="24"/>
                <w:color w:val="auto"/>
              </w:rPr>
            </w:pPr>
          </w:p>
        </w:tc>
      </w:tr>
      <w:tr>
        <w:trPr>
          <w:trHeight w:val="158"/>
        </w:trPr>
        <w:tc>
          <w:tcPr>
            <w:tcW w:w="10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700" w:type="dxa"/>
            <w:vAlign w:val="bottom"/>
            <w:gridSpan w:val="2"/>
          </w:tcPr>
          <w:p>
            <w:pPr>
              <w:jc w:val="center"/>
              <w:ind w:right="2121"/>
              <w:spacing w:after="0"/>
              <w:rPr>
                <w:sz w:val="20"/>
                <w:szCs w:val="20"/>
                <w:color w:val="auto"/>
              </w:rPr>
            </w:pPr>
            <w:r>
              <w:rPr>
                <w:rFonts w:ascii="Times New Roman" w:cs="Times New Roman" w:eastAsia="Times New Roman" w:hAnsi="Times New Roman"/>
                <w:sz w:val="12"/>
                <w:szCs w:val="12"/>
                <w:b w:val="1"/>
                <w:bCs w:val="1"/>
                <w:color w:val="auto"/>
                <w:w w:val="97"/>
              </w:rPr>
              <w:t>(Registrant’s Telephone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2844800</wp:posOffset>
            </wp:positionH>
            <wp:positionV relativeFrom="paragraph">
              <wp:posOffset>146050</wp:posOffset>
            </wp:positionV>
            <wp:extent cx="159956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99565" cy="6985"/>
                    </a:xfrm>
                    <a:prstGeom prst="rect">
                      <a:avLst/>
                    </a:prstGeom>
                    <a:noFill/>
                  </pic:spPr>
                </pic:pic>
              </a:graphicData>
            </a:graphic>
          </wp:anchor>
        </w:drawing>
      </w:r>
    </w:p>
    <w:p>
      <w:pPr>
        <w:spacing w:after="0" w:line="273" w:lineRule="exact"/>
        <w:rPr>
          <w:sz w:val="24"/>
          <w:szCs w:val="24"/>
          <w:color w:val="auto"/>
        </w:rPr>
      </w:pPr>
    </w:p>
    <w:p>
      <w:pPr>
        <w:ind w:left="480"/>
        <w:spacing w:after="0"/>
        <w:rPr>
          <w:sz w:val="20"/>
          <w:szCs w:val="20"/>
          <w:color w:val="auto"/>
        </w:rPr>
      </w:pPr>
      <w:r>
        <w:rPr>
          <w:rFonts w:ascii="Times New Roman" w:cs="Times New Roman" w:eastAsia="Times New Roman" w:hAnsi="Times New Roman"/>
          <w:sz w:val="15"/>
          <w:szCs w:val="15"/>
          <w:color w:val="auto"/>
        </w:rPr>
        <w:t>Check the appropriate box below if the Form 8-K filing is intended to simultaneously satisfy the filing obligation of the registrant under any of the following provisions:</w:t>
      </w:r>
    </w:p>
    <w:p>
      <w:pPr>
        <w:spacing w:after="0" w:line="138" w:lineRule="exact"/>
        <w:rPr>
          <w:sz w:val="24"/>
          <w:szCs w:val="24"/>
          <w:color w:val="auto"/>
        </w:rPr>
      </w:pPr>
    </w:p>
    <w:p>
      <w:pPr>
        <w:ind w:left="720" w:hanging="689"/>
        <w:spacing w:after="0"/>
        <w:tabs>
          <w:tab w:leader="none" w:pos="72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Written communications pursuant to Rule 425 under the Securities Act (17 CFR 230.425)</w:t>
      </w:r>
    </w:p>
    <w:p>
      <w:pPr>
        <w:spacing w:after="0" w:line="160" w:lineRule="exact"/>
        <w:rPr>
          <w:rFonts w:ascii="MS PGothic" w:cs="MS PGothic" w:eastAsia="MS PGothic" w:hAnsi="MS PGothic"/>
          <w:sz w:val="15"/>
          <w:szCs w:val="15"/>
          <w:color w:val="auto"/>
        </w:rPr>
      </w:pPr>
    </w:p>
    <w:p>
      <w:pPr>
        <w:ind w:left="720" w:hanging="689"/>
        <w:spacing w:after="0"/>
        <w:tabs>
          <w:tab w:leader="none" w:pos="72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Soliciting material pursuant to Rule 14a-12 under the Exchange Act (17 CFR 240.14a-12)</w:t>
      </w:r>
    </w:p>
    <w:p>
      <w:pPr>
        <w:spacing w:after="0" w:line="160" w:lineRule="exact"/>
        <w:rPr>
          <w:rFonts w:ascii="MS PGothic" w:cs="MS PGothic" w:eastAsia="MS PGothic" w:hAnsi="MS PGothic"/>
          <w:sz w:val="15"/>
          <w:szCs w:val="15"/>
          <w:color w:val="auto"/>
        </w:rPr>
      </w:pPr>
    </w:p>
    <w:p>
      <w:pPr>
        <w:ind w:left="720" w:hanging="689"/>
        <w:spacing w:after="0"/>
        <w:tabs>
          <w:tab w:leader="none" w:pos="72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Pre-commencement communications pursuant to Rule 14d-2(b) under the Exchange Act (17 CFR 240.14d-2(b))</w:t>
      </w:r>
    </w:p>
    <w:p>
      <w:pPr>
        <w:spacing w:after="0" w:line="160" w:lineRule="exact"/>
        <w:rPr>
          <w:rFonts w:ascii="MS PGothic" w:cs="MS PGothic" w:eastAsia="MS PGothic" w:hAnsi="MS PGothic"/>
          <w:sz w:val="15"/>
          <w:szCs w:val="15"/>
          <w:color w:val="auto"/>
        </w:rPr>
      </w:pPr>
    </w:p>
    <w:p>
      <w:pPr>
        <w:ind w:left="720" w:hanging="689"/>
        <w:spacing w:after="0"/>
        <w:tabs>
          <w:tab w:leader="none" w:pos="72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Pre-commencement communications pursuant to Rule 13e-4(c) under the Exchange Act (17 CFR 240.13e-4(c))</w:t>
      </w:r>
    </w:p>
    <w:p>
      <w:pPr>
        <w:spacing w:after="0" w:line="94" w:lineRule="exact"/>
        <w:rPr>
          <w:sz w:val="24"/>
          <w:szCs w:val="24"/>
          <w:color w:val="auto"/>
        </w:rPr>
      </w:pPr>
    </w:p>
    <w:p>
      <w:pPr>
        <w:spacing w:after="0" w:line="273" w:lineRule="auto"/>
        <w:rPr>
          <w:sz w:val="20"/>
          <w:szCs w:val="20"/>
          <w:color w:val="auto"/>
        </w:rPr>
      </w:pPr>
      <w:r>
        <w:rPr>
          <w:rFonts w:ascii="Times New Roman" w:cs="Times New Roman" w:eastAsia="Times New Roman" w:hAnsi="Times New Roman"/>
          <w:sz w:val="15"/>
          <w:szCs w:val="15"/>
          <w:color w:val="auto"/>
        </w:rPr>
        <w:t>Indicate by check mark whether the registrant is an emerging growth company as defined in Rule 405 of the Securities Act of 1933 (17 CFR 230.405) or Rule 12b-2 or the Securities Exchange Act of 1934 (17 CFR 240.12b-2).</w:t>
      </w:r>
    </w:p>
    <w:p>
      <w:pPr>
        <w:spacing w:after="0" w:line="6" w:lineRule="exact"/>
        <w:rPr>
          <w:sz w:val="24"/>
          <w:szCs w:val="24"/>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Emerging growth company </w:t>
      </w:r>
      <w:r>
        <w:rPr>
          <w:rFonts w:ascii="MS PGothic" w:cs="MS PGothic" w:eastAsia="MS PGothic" w:hAnsi="MS PGothic"/>
          <w:sz w:val="15"/>
          <w:szCs w:val="15"/>
          <w:color w:val="auto"/>
        </w:rPr>
        <w:t>☐</w:t>
      </w:r>
    </w:p>
    <w:p>
      <w:pPr>
        <w:spacing w:after="0" w:line="106" w:lineRule="exact"/>
        <w:rPr>
          <w:sz w:val="24"/>
          <w:szCs w:val="24"/>
          <w:color w:val="auto"/>
        </w:rPr>
      </w:pPr>
    </w:p>
    <w:p>
      <w:pPr>
        <w:ind w:right="20"/>
        <w:spacing w:after="0" w:line="193"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ectPr>
          <w:pgSz w:w="11900" w:h="16838" w:orient="portrait"/>
          <w:cols w:equalWidth="0" w:num="1">
            <w:col w:w="11360"/>
          </w:cols>
          <w:pgMar w:left="220" w:top="623" w:right="319" w:bottom="1440" w:gutter="0" w:footer="0" w:header="0"/>
        </w:sectPr>
      </w:pPr>
    </w:p>
    <w:bookmarkStart w:id="1" w:name="page2"/>
    <w:bookmarkEnd w:id="1"/>
    <w:p>
      <w:pPr>
        <w:ind w:left="40"/>
        <w:spacing w:after="0"/>
        <w:tabs>
          <w:tab w:leader="none" w:pos="880" w:val="left"/>
        </w:tabs>
        <w:rPr>
          <w:sz w:val="20"/>
          <w:szCs w:val="20"/>
          <w:color w:val="auto"/>
        </w:rPr>
      </w:pPr>
      <w:r>
        <w:rPr>
          <w:rFonts w:ascii="Times New Roman" w:cs="Times New Roman" w:eastAsia="Times New Roman" w:hAnsi="Times New Roman"/>
          <w:sz w:val="15"/>
          <w:szCs w:val="15"/>
          <w:color w:val="auto"/>
        </w:rPr>
        <w:t>Item 2.02</w:t>
      </w:r>
      <w:r>
        <w:rPr>
          <w:sz w:val="20"/>
          <w:szCs w:val="20"/>
          <w:color w:val="auto"/>
        </w:rPr>
        <w:tab/>
      </w:r>
      <w:r>
        <w:rPr>
          <w:rFonts w:ascii="Times New Roman" w:cs="Times New Roman" w:eastAsia="Times New Roman" w:hAnsi="Times New Roman"/>
          <w:sz w:val="14"/>
          <w:szCs w:val="14"/>
          <w:color w:val="auto"/>
        </w:rPr>
        <w:t>RESULTS OF OPERATIONS AND FINANCIAL CONDITION</w:t>
      </w:r>
    </w:p>
    <w:p>
      <w:pPr>
        <w:spacing w:after="0" w:line="205" w:lineRule="exact"/>
        <w:rPr>
          <w:sz w:val="20"/>
          <w:szCs w:val="20"/>
          <w:color w:val="auto"/>
        </w:rPr>
      </w:pPr>
    </w:p>
    <w:p>
      <w:pPr>
        <w:ind w:right="20" w:firstLine="533"/>
        <w:spacing w:after="0" w:line="273" w:lineRule="auto"/>
        <w:rPr>
          <w:sz w:val="20"/>
          <w:szCs w:val="20"/>
          <w:color w:val="auto"/>
        </w:rPr>
      </w:pPr>
      <w:r>
        <w:rPr>
          <w:rFonts w:ascii="Times New Roman" w:cs="Times New Roman" w:eastAsia="Times New Roman" w:hAnsi="Times New Roman"/>
          <w:sz w:val="15"/>
          <w:szCs w:val="15"/>
          <w:color w:val="auto"/>
        </w:rPr>
        <w:t>On February 21, 2019, Brady Corporation (the “Company”) issued a press release announcing its fiscal 2019 second quarter financial results. A copy of the press release is being furnished to the Securities and Exchange Commission as Exhibit 99.1 attached hereto and is incorporated herein by reference.</w:t>
      </w:r>
    </w:p>
    <w:p>
      <w:pPr>
        <w:spacing w:after="0" w:line="273" w:lineRule="exact"/>
        <w:rPr>
          <w:sz w:val="20"/>
          <w:szCs w:val="20"/>
          <w:color w:val="auto"/>
        </w:rPr>
      </w:pPr>
    </w:p>
    <w:p>
      <w:pPr>
        <w:ind w:left="40"/>
        <w:spacing w:after="0"/>
        <w:tabs>
          <w:tab w:leader="none" w:pos="880" w:val="left"/>
        </w:tabs>
        <w:rPr>
          <w:sz w:val="20"/>
          <w:szCs w:val="20"/>
          <w:color w:val="auto"/>
        </w:rPr>
      </w:pPr>
      <w:r>
        <w:rPr>
          <w:rFonts w:ascii="Times New Roman" w:cs="Times New Roman" w:eastAsia="Times New Roman" w:hAnsi="Times New Roman"/>
          <w:sz w:val="15"/>
          <w:szCs w:val="15"/>
          <w:color w:val="auto"/>
        </w:rPr>
        <w:t>Item 7.01</w:t>
      </w:r>
      <w:r>
        <w:rPr>
          <w:sz w:val="20"/>
          <w:szCs w:val="20"/>
          <w:color w:val="auto"/>
        </w:rPr>
        <w:tab/>
      </w:r>
      <w:r>
        <w:rPr>
          <w:rFonts w:ascii="Times New Roman" w:cs="Times New Roman" w:eastAsia="Times New Roman" w:hAnsi="Times New Roman"/>
          <w:sz w:val="14"/>
          <w:szCs w:val="14"/>
          <w:color w:val="auto"/>
        </w:rPr>
        <w:t>REGULATION FD DISCLOSURE</w:t>
      </w:r>
    </w:p>
    <w:p>
      <w:pPr>
        <w:spacing w:after="0" w:line="205" w:lineRule="exact"/>
        <w:rPr>
          <w:sz w:val="20"/>
          <w:szCs w:val="20"/>
          <w:color w:val="auto"/>
        </w:rPr>
      </w:pPr>
    </w:p>
    <w:p>
      <w:pPr>
        <w:ind w:firstLine="533"/>
        <w:spacing w:after="0" w:line="273" w:lineRule="auto"/>
        <w:rPr>
          <w:sz w:val="20"/>
          <w:szCs w:val="20"/>
          <w:color w:val="auto"/>
        </w:rPr>
      </w:pPr>
      <w:r>
        <w:rPr>
          <w:rFonts w:ascii="Times New Roman" w:cs="Times New Roman" w:eastAsia="Times New Roman" w:hAnsi="Times New Roman"/>
          <w:sz w:val="15"/>
          <w:szCs w:val="15"/>
          <w:color w:val="auto"/>
        </w:rPr>
        <w:t>On February 21, 2019, the Company hosted a conference call related to its fiscal 2019 second quarter financial results. A copy of the slides referenced in the conference call, which is also posted on the Corporation’s website, is being furnished to the Securities and Exchange Commission as Exhibit 99.2 attached hereto and is incorporated herein by reference.</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Item 9.01</w:t>
            </w:r>
          </w:p>
        </w:tc>
        <w:tc>
          <w:tcPr>
            <w:tcW w:w="7200" w:type="dxa"/>
            <w:vAlign w:val="bottom"/>
            <w:gridSpan w:val="6"/>
          </w:tcPr>
          <w:p>
            <w:pPr>
              <w:ind w:left="100"/>
              <w:spacing w:after="0"/>
              <w:rPr>
                <w:sz w:val="20"/>
                <w:szCs w:val="20"/>
                <w:color w:val="auto"/>
              </w:rPr>
            </w:pPr>
            <w:r>
              <w:rPr>
                <w:rFonts w:ascii="Times New Roman" w:cs="Times New Roman" w:eastAsia="Times New Roman" w:hAnsi="Times New Roman"/>
                <w:sz w:val="15"/>
                <w:szCs w:val="15"/>
                <w:color w:val="auto"/>
              </w:rPr>
              <w:t>FINANCIAL STATEMENTS AND EXHIBITS</w:t>
            </w:r>
          </w:p>
        </w:tc>
        <w:tc>
          <w:tcPr>
            <w:tcW w:w="0" w:type="dxa"/>
            <w:vAlign w:val="bottom"/>
          </w:tcPr>
          <w:p>
            <w:pPr>
              <w:spacing w:after="0"/>
              <w:rPr>
                <w:sz w:val="1"/>
                <w:szCs w:val="1"/>
                <w:color w:val="auto"/>
              </w:rPr>
            </w:pPr>
          </w:p>
        </w:tc>
      </w:tr>
      <w:tr>
        <w:trPr>
          <w:trHeight w:val="377"/>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auto"/>
              </w:rPr>
              <w:t>(d) Exhibits</w:t>
            </w: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8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EXHIBIT</w:t>
            </w:r>
          </w:p>
        </w:tc>
        <w:tc>
          <w:tcPr>
            <w:tcW w:w="260" w:type="dxa"/>
            <w:vAlign w:val="bottom"/>
          </w:tcPr>
          <w:p>
            <w:pPr>
              <w:spacing w:after="0"/>
              <w:rPr>
                <w:sz w:val="24"/>
                <w:szCs w:val="24"/>
                <w:color w:val="auto"/>
              </w:rPr>
            </w:pPr>
          </w:p>
        </w:tc>
        <w:tc>
          <w:tcPr>
            <w:tcW w:w="6940" w:type="dxa"/>
            <w:vAlign w:val="bottom"/>
            <w:gridSpan w:val="5"/>
            <w:vMerge w:val="restart"/>
          </w:tcPr>
          <w:p>
            <w:pPr>
              <w:spacing w:after="0"/>
              <w:rPr>
                <w:sz w:val="20"/>
                <w:szCs w:val="20"/>
                <w:color w:val="auto"/>
              </w:rPr>
            </w:pPr>
            <w:r>
              <w:rPr>
                <w:rFonts w:ascii="Times New Roman" w:cs="Times New Roman" w:eastAsia="Times New Roman" w:hAnsi="Times New Roman"/>
                <w:sz w:val="15"/>
                <w:szCs w:val="15"/>
                <w:color w:val="auto"/>
              </w:rPr>
              <w:t>DESCRIPTION</w:t>
            </w:r>
          </w:p>
        </w:tc>
        <w:tc>
          <w:tcPr>
            <w:tcW w:w="0" w:type="dxa"/>
            <w:vAlign w:val="bottom"/>
          </w:tcPr>
          <w:p>
            <w:pPr>
              <w:spacing w:after="0"/>
              <w:rPr>
                <w:sz w:val="1"/>
                <w:szCs w:val="1"/>
                <w:color w:val="auto"/>
              </w:rPr>
            </w:pPr>
          </w:p>
        </w:tc>
      </w:tr>
      <w:tr>
        <w:trPr>
          <w:trHeight w:val="177"/>
        </w:trPr>
        <w:tc>
          <w:tcPr>
            <w:tcW w:w="8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NUMBER</w:t>
            </w:r>
          </w:p>
        </w:tc>
        <w:tc>
          <w:tcPr>
            <w:tcW w:w="260" w:type="dxa"/>
            <w:vAlign w:val="bottom"/>
          </w:tcPr>
          <w:p>
            <w:pPr>
              <w:spacing w:after="0"/>
              <w:rPr>
                <w:sz w:val="15"/>
                <w:szCs w:val="15"/>
                <w:color w:val="auto"/>
              </w:rPr>
            </w:pPr>
          </w:p>
        </w:tc>
        <w:tc>
          <w:tcPr>
            <w:tcW w:w="6940" w:type="dxa"/>
            <w:vAlign w:val="bottom"/>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4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4"/>
        </w:trPr>
        <w:tc>
          <w:tcPr>
            <w:tcW w:w="800" w:type="dxa"/>
            <w:vAlign w:val="bottom"/>
            <w:vMerge w:val="restart"/>
          </w:tcPr>
          <w:p>
            <w:pPr>
              <w:ind w:left="40"/>
              <w:spacing w:after="0"/>
              <w:rPr>
                <w:sz w:val="20"/>
                <w:szCs w:val="20"/>
                <w:color w:val="auto"/>
              </w:rPr>
            </w:pPr>
            <w:r>
              <w:rPr>
                <w:rFonts w:ascii="Times New Roman" w:cs="Times New Roman" w:eastAsia="Times New Roman" w:hAnsi="Times New Roman"/>
                <w:sz w:val="15"/>
                <w:szCs w:val="15"/>
                <w:color w:val="auto"/>
              </w:rPr>
              <w:t>99.1</w:t>
            </w:r>
          </w:p>
        </w:tc>
        <w:tc>
          <w:tcPr>
            <w:tcW w:w="260" w:type="dxa"/>
            <w:vAlign w:val="bottom"/>
          </w:tcPr>
          <w:p>
            <w:pPr>
              <w:spacing w:after="0"/>
              <w:rPr>
                <w:sz w:val="19"/>
                <w:szCs w:val="19"/>
                <w:color w:val="auto"/>
              </w:rPr>
            </w:pPr>
          </w:p>
        </w:tc>
        <w:tc>
          <w:tcPr>
            <w:tcW w:w="6940" w:type="dxa"/>
            <w:vAlign w:val="bottom"/>
            <w:gridSpan w:val="5"/>
          </w:tcPr>
          <w:p>
            <w:pPr>
              <w:spacing w:after="0"/>
              <w:rPr>
                <w:rFonts w:ascii="Times New Roman" w:cs="Times New Roman" w:eastAsia="Times New Roman" w:hAnsi="Times New Roman"/>
                <w:sz w:val="15"/>
                <w:szCs w:val="15"/>
                <w:color w:val="0000FF"/>
              </w:rPr>
            </w:pPr>
            <w:hyperlink w:anchor="page3">
              <w:r>
                <w:rPr>
                  <w:rFonts w:ascii="Times New Roman" w:cs="Times New Roman" w:eastAsia="Times New Roman" w:hAnsi="Times New Roman"/>
                  <w:sz w:val="15"/>
                  <w:szCs w:val="15"/>
                  <w:color w:val="0000FF"/>
                </w:rPr>
                <w:t>Press Release of Brady Corporation, dated February 21, 2019, relating to second quarter fiscal 2019 financial</w:t>
              </w:r>
            </w:hyperlink>
          </w:p>
        </w:tc>
        <w:tc>
          <w:tcPr>
            <w:tcW w:w="0" w:type="dxa"/>
            <w:vAlign w:val="bottom"/>
          </w:tcPr>
          <w:p>
            <w:pPr>
              <w:spacing w:after="0"/>
              <w:rPr>
                <w:sz w:val="1"/>
                <w:szCs w:val="1"/>
                <w:color w:val="auto"/>
              </w:rPr>
            </w:pPr>
          </w:p>
        </w:tc>
      </w:tr>
      <w:tr>
        <w:trPr>
          <w:trHeight w:val="102"/>
        </w:trPr>
        <w:tc>
          <w:tcPr>
            <w:tcW w:w="80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6460" w:type="dxa"/>
            <w:vAlign w:val="bottom"/>
            <w:tcBorders>
              <w:top w:val="single" w:sz="8" w:color="0000FF"/>
            </w:tcBorders>
            <w:gridSpan w:val="3"/>
            <w:vMerge w:val="restart"/>
          </w:tcPr>
          <w:p>
            <w:pPr>
              <w:spacing w:after="0" w:line="158" w:lineRule="exact"/>
              <w:rPr>
                <w:rFonts w:ascii="Times New Roman" w:cs="Times New Roman" w:eastAsia="Times New Roman" w:hAnsi="Times New Roman"/>
                <w:sz w:val="15"/>
                <w:szCs w:val="15"/>
                <w:color w:val="0000FF"/>
              </w:rPr>
            </w:pPr>
            <w:hyperlink w:anchor="page3">
              <w:r>
                <w:rPr>
                  <w:rFonts w:ascii="Times New Roman" w:cs="Times New Roman" w:eastAsia="Times New Roman" w:hAnsi="Times New Roman"/>
                  <w:sz w:val="15"/>
                  <w:szCs w:val="15"/>
                  <w:color w:val="0000FF"/>
                </w:rPr>
                <w:t>results.</w:t>
              </w:r>
            </w:hyperlink>
          </w:p>
        </w:tc>
        <w:tc>
          <w:tcPr>
            <w:tcW w:w="480" w:type="dxa"/>
            <w:vAlign w:val="bottom"/>
            <w:gridSpan w:val="2"/>
            <w:vMerge w:val="restart"/>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8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460" w:type="dxa"/>
            <w:vAlign w:val="bottom"/>
            <w:gridSpan w:val="3"/>
            <w:vMerge w:val="continue"/>
          </w:tcPr>
          <w:p>
            <w:pPr>
              <w:spacing w:after="0"/>
              <w:rPr>
                <w:sz w:val="4"/>
                <w:szCs w:val="4"/>
                <w:color w:val="auto"/>
              </w:rPr>
            </w:pPr>
          </w:p>
        </w:tc>
        <w:tc>
          <w:tcPr>
            <w:tcW w:w="4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9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80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99.2</w:t>
            </w:r>
          </w:p>
        </w:tc>
        <w:tc>
          <w:tcPr>
            <w:tcW w:w="260" w:type="dxa"/>
            <w:vAlign w:val="bottom"/>
          </w:tcPr>
          <w:p>
            <w:pPr>
              <w:spacing w:after="0"/>
              <w:rPr>
                <w:sz w:val="23"/>
                <w:szCs w:val="23"/>
                <w:color w:val="auto"/>
              </w:rPr>
            </w:pPr>
          </w:p>
        </w:tc>
        <w:tc>
          <w:tcPr>
            <w:tcW w:w="6880" w:type="dxa"/>
            <w:vAlign w:val="bottom"/>
            <w:tcBorders>
              <w:bottom w:val="single" w:sz="8" w:color="0000FF"/>
            </w:tcBorders>
            <w:gridSpan w:val="4"/>
          </w:tcPr>
          <w:p>
            <w:pPr>
              <w:spacing w:after="0"/>
              <w:rPr>
                <w:rFonts w:ascii="Times New Roman" w:cs="Times New Roman" w:eastAsia="Times New Roman" w:hAnsi="Times New Roman"/>
                <w:sz w:val="15"/>
                <w:szCs w:val="15"/>
                <w:color w:val="0000FF"/>
                <w:w w:val="98"/>
              </w:rPr>
            </w:pPr>
            <w:hyperlink w:anchor="page11">
              <w:r>
                <w:rPr>
                  <w:rFonts w:ascii="Times New Roman" w:cs="Times New Roman" w:eastAsia="Times New Roman" w:hAnsi="Times New Roman"/>
                  <w:sz w:val="15"/>
                  <w:szCs w:val="15"/>
                  <w:color w:val="0000FF"/>
                  <w:w w:val="98"/>
                </w:rPr>
                <w:t>Informational slides provided by Brady Corporation, dated February 21, 2019, relating to second quarter fiscal 2019</w:t>
              </w:r>
            </w:hyperlink>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940" w:type="dxa"/>
            <w:vAlign w:val="bottom"/>
            <w:gridSpan w:val="5"/>
          </w:tcPr>
          <w:p>
            <w:pPr>
              <w:spacing w:after="0" w:line="158" w:lineRule="exact"/>
              <w:rPr>
                <w:rFonts w:ascii="Times New Roman" w:cs="Times New Roman" w:eastAsia="Times New Roman" w:hAnsi="Times New Roman"/>
                <w:sz w:val="15"/>
                <w:szCs w:val="15"/>
                <w:color w:val="0000FF"/>
              </w:rPr>
            </w:pPr>
            <w:hyperlink w:anchor="page11">
              <w:r>
                <w:rPr>
                  <w:rFonts w:ascii="Times New Roman" w:cs="Times New Roman" w:eastAsia="Times New Roman" w:hAnsi="Times New Roman"/>
                  <w:sz w:val="15"/>
                  <w:szCs w:val="15"/>
                  <w:color w:val="0000FF"/>
                </w:rPr>
                <w:t>financial results.</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5"/>
          <w:szCs w:val="15"/>
          <w:color w:val="auto"/>
        </w:rPr>
        <w:t>SIGNATURE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Pursuant to the requirements of the Securities Exchange Act of 1934, the Registrant has duly caused this report to be signed on its behalf by the undersigned hereunto duly authorized.</w:t>
      </w:r>
    </w:p>
    <w:p>
      <w:pPr>
        <w:spacing w:after="0" w:line="294"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5"/>
          <w:szCs w:val="15"/>
          <w:color w:val="auto"/>
        </w:rPr>
        <w:t>BRADY CORPORATION</w:t>
      </w:r>
    </w:p>
    <w:p>
      <w:pPr>
        <w:spacing w:after="0" w:line="200" w:lineRule="exact"/>
        <w:rPr>
          <w:sz w:val="20"/>
          <w:szCs w:val="20"/>
          <w:color w:val="auto"/>
        </w:rPr>
      </w:pPr>
    </w:p>
    <w:p>
      <w:pPr>
        <w:spacing w:after="0" w:line="382" w:lineRule="exact"/>
        <w:rPr>
          <w:sz w:val="20"/>
          <w:szCs w:val="20"/>
          <w:color w:val="auto"/>
        </w:rPr>
      </w:pPr>
    </w:p>
    <w:p>
      <w:pPr>
        <w:ind w:left="40"/>
        <w:spacing w:after="0"/>
        <w:tabs>
          <w:tab w:leader="none" w:pos="5960" w:val="left"/>
        </w:tabs>
        <w:rPr>
          <w:sz w:val="20"/>
          <w:szCs w:val="20"/>
          <w:color w:val="auto"/>
        </w:rPr>
      </w:pPr>
      <w:r>
        <w:rPr>
          <w:rFonts w:ascii="Times New Roman" w:cs="Times New Roman" w:eastAsia="Times New Roman" w:hAnsi="Times New Roman"/>
          <w:sz w:val="15"/>
          <w:szCs w:val="15"/>
          <w:color w:val="auto"/>
        </w:rPr>
        <w:t>Date: February 21, 2019</w:t>
      </w:r>
      <w:r>
        <w:rPr>
          <w:sz w:val="20"/>
          <w:szCs w:val="20"/>
          <w:color w:val="auto"/>
        </w:rPr>
        <w:tab/>
      </w:r>
      <w:r>
        <w:rPr>
          <w:rFonts w:ascii="Times New Roman" w:cs="Times New Roman" w:eastAsia="Times New Roman" w:hAnsi="Times New Roman"/>
          <w:sz w:val="14"/>
          <w:szCs w:val="14"/>
          <w:color w:val="auto"/>
        </w:rPr>
        <w:t>/s/ AARON J.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3789045</wp:posOffset>
            </wp:positionH>
            <wp:positionV relativeFrom="paragraph">
              <wp:posOffset>26670</wp:posOffset>
            </wp:positionV>
            <wp:extent cx="348742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87420" cy="6985"/>
                    </a:xfrm>
                    <a:prstGeom prst="rect">
                      <a:avLst/>
                    </a:prstGeom>
                    <a:noFill/>
                  </pic:spPr>
                </pic:pic>
              </a:graphicData>
            </a:graphic>
          </wp:anchor>
        </w:drawing>
      </w:r>
    </w:p>
    <w:p>
      <w:pPr>
        <w:spacing w:after="0" w:line="41"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5"/>
          <w:szCs w:val="15"/>
          <w:color w:val="auto"/>
        </w:rPr>
        <w:t>Aaron J. Pearce</w:t>
      </w:r>
    </w:p>
    <w:p>
      <w:pPr>
        <w:spacing w:after="0" w:line="4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5"/>
          <w:szCs w:val="15"/>
          <w:color w:val="auto"/>
        </w:rPr>
        <w:t>Chief Financial Officer and Treasurer</w:t>
      </w:r>
    </w:p>
    <w:p>
      <w:pPr>
        <w:sectPr>
          <w:pgSz w:w="11900" w:h="16838" w:orient="portrait"/>
          <w:cols w:equalWidth="0" w:num="1">
            <w:col w:w="11460"/>
          </w:cols>
          <w:pgMar w:left="220" w:top="635" w:right="21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16"/>
          <w:szCs w:val="16"/>
          <w:b w:val="1"/>
          <w:bCs w:val="1"/>
          <w:u w:val="single" w:color="auto"/>
          <w:color w:val="auto"/>
        </w:rPr>
        <w:t>EXHIBIT 99.1</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For More Information: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Investor contact: Ann Thornton 414-438-6887</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Media contact: Kate Venne 414-358-5176</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Brady Corporation Reports Fiscal 2019 Second Quarter Results and Increases its Fiscal 2019 EPS Guidance</w:t>
      </w:r>
    </w:p>
    <w:p>
      <w:pPr>
        <w:spacing w:after="0" w:line="306" w:lineRule="exact"/>
        <w:rPr>
          <w:sz w:val="20"/>
          <w:szCs w:val="20"/>
          <w:color w:val="auto"/>
        </w:rPr>
      </w:pPr>
    </w:p>
    <w:p>
      <w:pPr>
        <w:ind w:left="540" w:hanging="265"/>
        <w:spacing w:after="0"/>
        <w:tabs>
          <w:tab w:leader="none" w:pos="54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Organic revenues increased 2.3 percent in the second quarter of fiscal 2019.</w:t>
      </w:r>
    </w:p>
    <w:p>
      <w:pPr>
        <w:spacing w:after="0" w:line="93" w:lineRule="exact"/>
        <w:rPr>
          <w:rFonts w:ascii="Times New Roman" w:cs="Times New Roman" w:eastAsia="Times New Roman" w:hAnsi="Times New Roman"/>
          <w:sz w:val="15"/>
          <w:szCs w:val="15"/>
          <w:color w:val="auto"/>
        </w:rPr>
      </w:pPr>
    </w:p>
    <w:p>
      <w:pPr>
        <w:ind w:left="540" w:right="340" w:hanging="265"/>
        <w:spacing w:after="0" w:line="361" w:lineRule="auto"/>
        <w:tabs>
          <w:tab w:leader="none" w:pos="54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Earnings before income taxes increased 4.8 percent to $36.7 million in the second quarter of fiscal 2019 compared to $35.0 million in the same quarter of the prior year.</w:t>
      </w:r>
    </w:p>
    <w:p>
      <w:pPr>
        <w:spacing w:after="0" w:line="1" w:lineRule="exact"/>
        <w:rPr>
          <w:rFonts w:ascii="Times New Roman" w:cs="Times New Roman" w:eastAsia="Times New Roman" w:hAnsi="Times New Roman"/>
          <w:sz w:val="15"/>
          <w:szCs w:val="15"/>
          <w:color w:val="auto"/>
        </w:rPr>
      </w:pPr>
    </w:p>
    <w:p>
      <w:pPr>
        <w:ind w:left="540" w:right="120" w:hanging="265"/>
        <w:spacing w:after="0" w:line="361" w:lineRule="auto"/>
        <w:tabs>
          <w:tab w:leader="none" w:pos="54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Earnings per diluted Class A Nonvoting Common Share were $0.55 in the second quarter of fiscal 2019 compared to $0.08 in the same quarter of the prior year. Results in the same quarter of the prior year were reduced by approximately $0.40 due to income tax charges primarily related to U.S. tax legislation that was enacted in December 2017.</w:t>
      </w:r>
    </w:p>
    <w:p>
      <w:pPr>
        <w:spacing w:after="0" w:line="1" w:lineRule="exact"/>
        <w:rPr>
          <w:rFonts w:ascii="Times New Roman" w:cs="Times New Roman" w:eastAsia="Times New Roman" w:hAnsi="Times New Roman"/>
          <w:sz w:val="15"/>
          <w:szCs w:val="15"/>
          <w:color w:val="auto"/>
        </w:rPr>
      </w:pPr>
    </w:p>
    <w:p>
      <w:pPr>
        <w:ind w:left="540" w:hanging="265"/>
        <w:spacing w:after="0"/>
        <w:tabs>
          <w:tab w:leader="none" w:pos="540" w:val="left"/>
        </w:tabs>
        <w:numPr>
          <w:ilvl w:val="0"/>
          <w:numId w:val="2"/>
        </w:numPr>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Diluted EPS guidance for the full year ending July 31, 2019 was increased to a range of $2.25 to $2.35 from the previous range of $2.20 to $2.30.</w:t>
      </w:r>
    </w:p>
    <w:p>
      <w:pPr>
        <w:spacing w:after="0" w:line="349" w:lineRule="exact"/>
        <w:rPr>
          <w:sz w:val="20"/>
          <w:szCs w:val="20"/>
          <w:color w:val="auto"/>
        </w:rPr>
      </w:pPr>
    </w:p>
    <w:p>
      <w:pPr>
        <w:ind w:right="120"/>
        <w:spacing w:after="0" w:line="396" w:lineRule="auto"/>
        <w:rPr>
          <w:sz w:val="20"/>
          <w:szCs w:val="20"/>
          <w:color w:val="auto"/>
        </w:rPr>
      </w:pPr>
      <w:r>
        <w:rPr>
          <w:rFonts w:ascii="Times New Roman" w:cs="Times New Roman" w:eastAsia="Times New Roman" w:hAnsi="Times New Roman"/>
          <w:sz w:val="16"/>
          <w:szCs w:val="16"/>
          <w:color w:val="auto"/>
        </w:rPr>
        <w:t>MILWAUKEE (February 21, 2019)--Brady Corporation (NYSE: BRC) (“Brady” or “Company”), a world leader in identification solutions, today reported its financial results for its fiscal 2019 second quarter ended January 31, 2019.</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Quarter Ended January 31, 2019 Financial Results:</w:t>
      </w:r>
    </w:p>
    <w:p>
      <w:pPr>
        <w:spacing w:after="0" w:line="95" w:lineRule="exact"/>
        <w:rPr>
          <w:sz w:val="20"/>
          <w:szCs w:val="20"/>
          <w:color w:val="auto"/>
        </w:rPr>
      </w:pPr>
    </w:p>
    <w:p>
      <w:pPr>
        <w:ind w:left="540" w:right="220"/>
        <w:spacing w:after="0" w:line="361" w:lineRule="auto"/>
        <w:rPr>
          <w:sz w:val="20"/>
          <w:szCs w:val="20"/>
          <w:color w:val="auto"/>
        </w:rPr>
      </w:pPr>
      <w:r>
        <w:rPr>
          <w:rFonts w:ascii="Times New Roman" w:cs="Times New Roman" w:eastAsia="Times New Roman" w:hAnsi="Times New Roman"/>
          <w:sz w:val="16"/>
          <w:szCs w:val="16"/>
          <w:color w:val="auto"/>
        </w:rPr>
        <w:t>Earnings before income taxes increased 4.8 percent to $36.7 million for the quarter ended January 31, 2019, compared to $35.0 million in the same quarter last year. Net earnings for the quarter ended January 31, 2019 were $29.2 million compared to $4.3 million in the same quarter last year. Net earnings during the prior year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quarter ended January 31, 2018 were reduced by $21.1 million due to income tax charges primarily related to the passage of the U.S. Tax Cuts and Jobs Act of 2017.</w:t>
      </w:r>
    </w:p>
    <w:p>
      <w:pPr>
        <w:spacing w:after="0" w:line="93" w:lineRule="exact"/>
        <w:rPr>
          <w:sz w:val="20"/>
          <w:szCs w:val="20"/>
          <w:color w:val="auto"/>
        </w:rPr>
      </w:pPr>
    </w:p>
    <w:p>
      <w:pPr>
        <w:ind w:right="120" w:firstLine="533"/>
        <w:spacing w:after="0" w:line="361" w:lineRule="auto"/>
        <w:rPr>
          <w:sz w:val="20"/>
          <w:szCs w:val="20"/>
          <w:color w:val="auto"/>
        </w:rPr>
      </w:pPr>
      <w:r>
        <w:rPr>
          <w:rFonts w:ascii="Times New Roman" w:cs="Times New Roman" w:eastAsia="Times New Roman" w:hAnsi="Times New Roman"/>
          <w:sz w:val="16"/>
          <w:szCs w:val="16"/>
          <w:color w:val="auto"/>
        </w:rPr>
        <w:t>Net earnings per diluted Class A Nonvoting Common Share were $0.55 for the second quarter of fiscal 2019 compared to $0.08 in the same quarter last year. The impact on income tax expense for the prior year quarter ended January 31, 2018 from tax charges primarily related to the enactment of the U.S. tax legislation was a reduction in earnings per diluted share of approximately $0.40.</w:t>
      </w:r>
    </w:p>
    <w:p>
      <w:pPr>
        <w:spacing w:after="0" w:line="2" w:lineRule="exact"/>
        <w:rPr>
          <w:sz w:val="20"/>
          <w:szCs w:val="20"/>
          <w:color w:val="auto"/>
        </w:rPr>
      </w:pPr>
    </w:p>
    <w:p>
      <w:pPr>
        <w:ind w:right="80" w:firstLine="533"/>
        <w:spacing w:after="0" w:line="373" w:lineRule="auto"/>
        <w:rPr>
          <w:sz w:val="20"/>
          <w:szCs w:val="20"/>
          <w:color w:val="auto"/>
        </w:rPr>
      </w:pPr>
      <w:r>
        <w:rPr>
          <w:rFonts w:ascii="Times New Roman" w:cs="Times New Roman" w:eastAsia="Times New Roman" w:hAnsi="Times New Roman"/>
          <w:sz w:val="16"/>
          <w:szCs w:val="16"/>
          <w:color w:val="auto"/>
        </w:rPr>
        <w:t>Sales for the quarter ended January 31, 2019 decreased 1.9 percent, which consisted of organic sales growth of 2.3 percent, a decrease in sales of 2.6 percent from foreign currency translation, and a decline in sales of 1.6 percent from the divestiture of a business during the fourth quarter of fiscal 2018. Sales for the quarter ended January 31, 2019 were $282.4 million compared to $287.8 million in the same quarter last year. By segment, sales increased 1.3 percent in Identification Solutions and decreased 10.0 percent in Workplace Safety, which consisted of</w:t>
      </w:r>
    </w:p>
    <w:p>
      <w:pPr>
        <w:sectPr>
          <w:pgSz w:w="11900" w:h="16838" w:orient="portrait"/>
          <w:cols w:equalWidth="0" w:num="1">
            <w:col w:w="11460"/>
          </w:cols>
          <w:pgMar w:left="220" w:top="496" w:right="2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6"/>
          <w:szCs w:val="16"/>
          <w:color w:val="auto"/>
        </w:rPr>
        <w:t>organic sales growth of 3.6 percent in Identification Solutions and an organic sales decline of 0.9 percent in Workplace Safety.</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Six-Month Period Ended January 31, 2019 Financial Results:</w:t>
      </w:r>
    </w:p>
    <w:p>
      <w:pPr>
        <w:spacing w:after="0" w:line="95" w:lineRule="exact"/>
        <w:rPr>
          <w:sz w:val="20"/>
          <w:szCs w:val="20"/>
          <w:color w:val="auto"/>
        </w:rPr>
      </w:pPr>
    </w:p>
    <w:p>
      <w:pPr>
        <w:ind w:right="280" w:firstLine="533"/>
        <w:spacing w:after="0" w:line="361" w:lineRule="auto"/>
        <w:rPr>
          <w:sz w:val="20"/>
          <w:szCs w:val="20"/>
          <w:color w:val="auto"/>
        </w:rPr>
      </w:pPr>
      <w:r>
        <w:rPr>
          <w:rFonts w:ascii="Times New Roman" w:cs="Times New Roman" w:eastAsia="Times New Roman" w:hAnsi="Times New Roman"/>
          <w:sz w:val="16"/>
          <w:szCs w:val="16"/>
          <w:color w:val="auto"/>
        </w:rPr>
        <w:t>Earnings before income taxes increased 9.7 percent to $76.6 million for the six-month period ended January 31, 2019, compared to $69.8 million for the six-month period ended January 31, 2018.</w:t>
      </w:r>
    </w:p>
    <w:p>
      <w:pPr>
        <w:spacing w:after="0" w:line="1" w:lineRule="exact"/>
        <w:rPr>
          <w:sz w:val="20"/>
          <w:szCs w:val="20"/>
          <w:color w:val="auto"/>
        </w:rPr>
      </w:pPr>
    </w:p>
    <w:p>
      <w:pPr>
        <w:ind w:firstLine="533"/>
        <w:spacing w:after="0" w:line="361" w:lineRule="auto"/>
        <w:rPr>
          <w:sz w:val="20"/>
          <w:szCs w:val="20"/>
          <w:color w:val="auto"/>
        </w:rPr>
      </w:pPr>
      <w:r>
        <w:rPr>
          <w:rFonts w:ascii="Times New Roman" w:cs="Times New Roman" w:eastAsia="Times New Roman" w:hAnsi="Times New Roman"/>
          <w:sz w:val="16"/>
          <w:szCs w:val="16"/>
          <w:color w:val="auto"/>
        </w:rPr>
        <w:t>Net earnings for the six-month period ended January 31, 2019 were $59.9 million compared to $30.1 million for the six-month period ended January 31, 2018. Net earnings during the prior year six-month period ended January 31, 2018 were reduced by $21.1 million due to income tax charges primarily related to the enactment of the U.S. tax legislation.</w:t>
      </w:r>
    </w:p>
    <w:p>
      <w:pPr>
        <w:spacing w:after="0" w:line="2" w:lineRule="exact"/>
        <w:rPr>
          <w:sz w:val="20"/>
          <w:szCs w:val="20"/>
          <w:color w:val="auto"/>
        </w:rPr>
      </w:pPr>
    </w:p>
    <w:p>
      <w:pPr>
        <w:ind w:right="160" w:firstLine="533"/>
        <w:spacing w:after="0" w:line="361" w:lineRule="auto"/>
        <w:rPr>
          <w:sz w:val="20"/>
          <w:szCs w:val="20"/>
          <w:color w:val="auto"/>
        </w:rPr>
      </w:pPr>
      <w:r>
        <w:rPr>
          <w:rFonts w:ascii="Times New Roman" w:cs="Times New Roman" w:eastAsia="Times New Roman" w:hAnsi="Times New Roman"/>
          <w:sz w:val="16"/>
          <w:szCs w:val="16"/>
          <w:color w:val="auto"/>
        </w:rPr>
        <w:t>Net earnings per diluted Class A Nonvoting Common Share were $1.13 for the six-month period ended January 31, 2019 compared to $0.57 in the same six-month period last year. The impact on income tax expense for the prior six-month period ended January 31, 2018 from tax charges primarily related to the enactment of the U.S. tax legislation was a reduction in diluted EPS of approximately $0.40.</w:t>
      </w:r>
    </w:p>
    <w:p>
      <w:pPr>
        <w:spacing w:after="0" w:line="2" w:lineRule="exact"/>
        <w:rPr>
          <w:sz w:val="20"/>
          <w:szCs w:val="20"/>
          <w:color w:val="auto"/>
        </w:rPr>
      </w:pPr>
    </w:p>
    <w:p>
      <w:pPr>
        <w:ind w:right="60" w:firstLine="533"/>
        <w:spacing w:after="0" w:line="379" w:lineRule="auto"/>
        <w:rPr>
          <w:sz w:val="20"/>
          <w:szCs w:val="20"/>
          <w:color w:val="auto"/>
        </w:rPr>
      </w:pPr>
      <w:r>
        <w:rPr>
          <w:rFonts w:ascii="Times New Roman" w:cs="Times New Roman" w:eastAsia="Times New Roman" w:hAnsi="Times New Roman"/>
          <w:sz w:val="16"/>
          <w:szCs w:val="16"/>
          <w:color w:val="auto"/>
        </w:rPr>
        <w:t>Sales for the six-month period ended January 31, 2019 decreased 0.4 percent, which consisted of organic sales growth of 3.5 percent, a decrease in sales of 2.2 percent from foreign currency translation, and a reduction in sales of 1.7 percent from the divestiture of a business during the fourth quarter of 2018. Sales for the six-month period ended January 31, 2019 were $575.6 million compared to $577.9 million in the same six-month period last year. By segment, sales increased 2.7 percent in Identification Solutions and decreased 8.3 percent in Workplace Safety, which consisted of organic sales growth of 4.6 percent in Identification Solutions and 0.6 percent in Workplace Safety.</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Commentary:</w:t>
      </w:r>
    </w:p>
    <w:p>
      <w:pPr>
        <w:spacing w:after="0" w:line="95" w:lineRule="exact"/>
        <w:rPr>
          <w:sz w:val="20"/>
          <w:szCs w:val="20"/>
          <w:color w:val="auto"/>
        </w:rPr>
      </w:pPr>
    </w:p>
    <w:p>
      <w:pPr>
        <w:ind w:right="40" w:firstLine="533"/>
        <w:spacing w:after="0" w:line="361" w:lineRule="auto"/>
        <w:rPr>
          <w:sz w:val="20"/>
          <w:szCs w:val="20"/>
          <w:color w:val="auto"/>
        </w:rPr>
      </w:pPr>
      <w:r>
        <w:rPr>
          <w:rFonts w:ascii="Times New Roman" w:cs="Times New Roman" w:eastAsia="Times New Roman" w:hAnsi="Times New Roman"/>
          <w:sz w:val="16"/>
          <w:szCs w:val="16"/>
          <w:color w:val="auto"/>
        </w:rPr>
        <w:t>“Our investment in the development of innovative, high-quality products is paying off as we continue to grow organic sales and improve our new product pipeline. This organic growth, combined with our focus on driving efficiencies throughout our factories and our selling, general, and administrative structure are driving our pre-tax profit improvements,” said Brady’s President and Chief Executive Officer, J. Michael Nauman. “Our focus is on a consistent set of priorities, which are to continue to invest in innovative new products to grow organic sales, to invest in automation in our manufacturing facilities, to drive sustainable efficiencies throughout our operations and SG&amp;A structure, and to improve our underperforming businesses. We remain committed to taking actions today that we believe will result in continued long-term improvement in our financial results.”</w:t>
      </w:r>
    </w:p>
    <w:p>
      <w:pPr>
        <w:spacing w:after="0" w:line="4" w:lineRule="exact"/>
        <w:rPr>
          <w:sz w:val="20"/>
          <w:szCs w:val="20"/>
          <w:color w:val="auto"/>
        </w:rPr>
      </w:pPr>
    </w:p>
    <w:p>
      <w:pPr>
        <w:ind w:right="200" w:firstLine="533"/>
        <w:spacing w:after="0" w:line="373" w:lineRule="auto"/>
        <w:rPr>
          <w:sz w:val="20"/>
          <w:szCs w:val="20"/>
          <w:color w:val="auto"/>
        </w:rPr>
      </w:pPr>
      <w:r>
        <w:rPr>
          <w:rFonts w:ascii="Times New Roman" w:cs="Times New Roman" w:eastAsia="Times New Roman" w:hAnsi="Times New Roman"/>
          <w:sz w:val="16"/>
          <w:szCs w:val="16"/>
          <w:color w:val="auto"/>
        </w:rPr>
        <w:t>“Brady’s cash position and balance sheet remain strong. At January 31, 2019 we had over $200 million of cash on hand and are in a net cash position of $150.6 million,” said Brady’s Chief Financial Officer, Aaron Pearce. “During the quarter, we continued our commitment of investing back into our business to drive organic sales growth by increasing our investment in new machinery, equipment, and facilities by 31.1 percent when compared to the same quarter in the prior year. We invested over $11 million in research and development and remain on track to increase research and development spend by approximately 6 percent for the year ending July 31, 2019. We also</w:t>
      </w:r>
    </w:p>
    <w:p>
      <w:pPr>
        <w:sectPr>
          <w:pgSz w:w="11900" w:h="16838" w:orient="portrait"/>
          <w:cols w:equalWidth="0" w:num="1">
            <w:col w:w="11440"/>
          </w:cols>
          <w:pgMar w:left="220" w:top="542" w:right="239" w:bottom="1440" w:gutter="0" w:footer="0" w:header="0"/>
        </w:sectPr>
      </w:pPr>
    </w:p>
    <w:bookmarkStart w:id="4" w:name="page5"/>
    <w:bookmarkEnd w:id="4"/>
    <w:p>
      <w:pPr>
        <w:ind w:right="360"/>
        <w:spacing w:after="0" w:line="396" w:lineRule="auto"/>
        <w:rPr>
          <w:sz w:val="20"/>
          <w:szCs w:val="20"/>
          <w:color w:val="auto"/>
        </w:rPr>
      </w:pPr>
      <w:r>
        <w:rPr>
          <w:rFonts w:ascii="Times New Roman" w:cs="Times New Roman" w:eastAsia="Times New Roman" w:hAnsi="Times New Roman"/>
          <w:sz w:val="16"/>
          <w:szCs w:val="16"/>
          <w:color w:val="auto"/>
        </w:rPr>
        <w:t>returned $11.2 million to our shareholders in the form of dividends and repurchased $1.3 million of stock in the quarter. Our balance sheet provides flexibility to invest in growth opportunities to drive long-term value for our shareholders.”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Fiscal 2019 Guidance:</w:t>
      </w:r>
    </w:p>
    <w:p>
      <w:pPr>
        <w:spacing w:after="0" w:line="95" w:lineRule="exact"/>
        <w:rPr>
          <w:sz w:val="20"/>
          <w:szCs w:val="20"/>
          <w:color w:val="auto"/>
        </w:rPr>
      </w:pPr>
    </w:p>
    <w:p>
      <w:pPr>
        <w:ind w:firstLine="533"/>
        <w:spacing w:after="0" w:line="370" w:lineRule="auto"/>
        <w:rPr>
          <w:sz w:val="20"/>
          <w:szCs w:val="20"/>
          <w:color w:val="auto"/>
        </w:rPr>
      </w:pPr>
      <w:r>
        <w:rPr>
          <w:rFonts w:ascii="Times New Roman" w:cs="Times New Roman" w:eastAsia="Times New Roman" w:hAnsi="Times New Roman"/>
          <w:sz w:val="16"/>
          <w:szCs w:val="16"/>
          <w:color w:val="auto"/>
        </w:rPr>
        <w:t>The Company is increasing its full year fiscal 2019 earnings per diluted Class A Nonvoting Common Share guidance from its previous range of $2.20 to $2.30 to a range of $2.25 to $2.35. Included in this guidance is organic sales growth of 3.0 percent to 5.0 percent, a full-year income tax rate of 22 percent to 24 percent, and depreciation and amortization expense of approximately $26 million. The Company expects to achieve efficiency gains in its manufacturing facilities and in selling, general and administrative expenses while continuing to increase investments in research and development. Capital expenditures are anticipated to be approximately $30 million to $35 million during the year ending July 31, 2019. This guidance is based upon foreign currency exchange rates as of January 31, 2019.</w:t>
      </w:r>
    </w:p>
    <w:p>
      <w:pPr>
        <w:spacing w:after="0" w:line="22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6"/>
          <w:szCs w:val="16"/>
          <w:color w:val="auto"/>
        </w:rPr>
        <w:t xml:space="preserve">A webcast regarding Brady’s fiscal 2019 second quarter financial results will be available at </w:t>
      </w:r>
      <w:r>
        <w:rPr>
          <w:rFonts w:ascii="Times New Roman" w:cs="Times New Roman" w:eastAsia="Times New Roman" w:hAnsi="Times New Roman"/>
          <w:sz w:val="16"/>
          <w:szCs w:val="16"/>
          <w:u w:val="single" w:color="auto"/>
          <w:color w:val="0000FF"/>
        </w:rPr>
        <w:t>www.bradycorp.com/investors</w:t>
      </w:r>
      <w:r>
        <w:rPr>
          <w:rFonts w:ascii="Times New Roman" w:cs="Times New Roman" w:eastAsia="Times New Roman" w:hAnsi="Times New Roman"/>
          <w:sz w:val="16"/>
          <w:szCs w:val="16"/>
          <w:color w:val="auto"/>
        </w:rPr>
        <w:t xml:space="preserve"> beginning at 9:30 a.m. Central Time today.</w:t>
      </w:r>
    </w:p>
    <w:p>
      <w:pPr>
        <w:spacing w:after="0" w:line="349" w:lineRule="exact"/>
        <w:rPr>
          <w:sz w:val="20"/>
          <w:szCs w:val="20"/>
          <w:color w:val="auto"/>
        </w:rPr>
      </w:pPr>
    </w:p>
    <w:p>
      <w:pPr>
        <w:ind w:right="60" w:firstLine="533"/>
        <w:spacing w:after="0" w:line="374" w:lineRule="auto"/>
        <w:rPr>
          <w:sz w:val="20"/>
          <w:szCs w:val="20"/>
          <w:color w:val="auto"/>
        </w:rPr>
      </w:pPr>
      <w:r>
        <w:rPr>
          <w:rFonts w:ascii="Times New Roman" w:cs="Times New Roman" w:eastAsia="Times New Roman" w:hAnsi="Times New Roman"/>
          <w:sz w:val="16"/>
          <w:szCs w:val="16"/>
          <w:color w:val="auto"/>
        </w:rPr>
        <w:t xml:space="preserve">Brady Corporation is an international manufacturer and marketer of complete solutions that identify and protect people, products and places. Brady’s products help customers increase safety, security, productivity and performance and include high-performance labels, signs, safety devices, printing systems and software. Founded in 1914, the Company has a diverse customer base in electronics, telecommunications, manufacturing, electrical, construction, medical, aerospace and a variety of other industries. Brady is headquartered in Milwaukee, Wisconsin and as of July 31, 2018, employed approximately 6,200 people in its worldwide businesses. Brady’s fiscal 2018 sales were approximately $1.17 billion. Brady stock trades on the New York Stock Exchange under the symbol BRC. More information is available on the Internet at </w:t>
      </w:r>
      <w:r>
        <w:rPr>
          <w:rFonts w:ascii="Times New Roman" w:cs="Times New Roman" w:eastAsia="Times New Roman" w:hAnsi="Times New Roman"/>
          <w:sz w:val="16"/>
          <w:szCs w:val="16"/>
          <w:u w:val="single" w:color="auto"/>
          <w:color w:val="0000FF"/>
        </w:rPr>
        <w:t>www.bradycorp.com</w:t>
      </w:r>
      <w:r>
        <w:rPr>
          <w:rFonts w:ascii="Times New Roman" w:cs="Times New Roman" w:eastAsia="Times New Roman" w:hAnsi="Times New Roman"/>
          <w:sz w:val="16"/>
          <w:szCs w:val="16"/>
          <w:color w:val="0000FF"/>
        </w:rPr>
        <w:t>.</w:t>
      </w:r>
    </w:p>
    <w:p>
      <w:pPr>
        <w:sectPr>
          <w:pgSz w:w="11900" w:h="16838" w:orient="portrait"/>
          <w:cols w:equalWidth="0" w:num="1">
            <w:col w:w="11400"/>
          </w:cols>
          <w:pgMar w:left="220" w:top="542" w:right="27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6"/>
          <w:szCs w:val="16"/>
          <w:color w:val="auto"/>
        </w:rPr>
        <w:t>###</w:t>
      </w:r>
    </w:p>
    <w:p>
      <w:pPr>
        <w:spacing w:after="0" w:line="231"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5"/>
          <w:szCs w:val="15"/>
          <w:color w:val="auto"/>
        </w:rPr>
        <w:t>In this news release, statements that are not reported financial results or other historic information are “forward-looking statements.” These forward-looking statements relate to, among other things, the Company's future financial position, business strategy, targets, projected sales, costs, earnings, capital expenditures, debt levels and cash flows, and plans and objectives of management for future operations.</w:t>
      </w:r>
    </w:p>
    <w:p>
      <w:pPr>
        <w:spacing w:after="0" w:line="150"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5"/>
          <w:szCs w:val="15"/>
          <w:color w:val="auto"/>
        </w:rPr>
        <w:t>The use of words such as “may,” “will,” “expect,” “intend,” “estimate,” “anticipate,” “believe,” “should,” “project” or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 our ability to compete effectively or to successfully execute our strategy; Brady’s ability to develop technologically advanced products that meet customer demands; difficulties in protecting our websites, networks, and systems against security breaches; decreased demand for our products; Brady’s ability to retain large customers; extensive regulations by U.S. and non-U.S. governmental and self-regulatory entities; risks associated with the loss of key employees; divestitures and contingent liabilities from divestitures; Brady’s ability to properly identify, integrate, and grow acquired companies; litigation, including product liability claims; Brady’s ability to execute facility consolidations and maintain acceptable operational service metrics; foreign currency fluctuations; the impact of the Tax Reform Act and any other changes in tax legislation and tax rates; potential write-offs of Brady’s substantial intangible assets; differing interests of voting and non-voting shareholders; Brady’s ability to meet certain financial covenants required by our debt agreements; numerous other matters of national, regional and global scale, including those of a political, economic, business, competitive, and regulatory nature contained from time to time in Brady’s U.S. Securities and Exchange Commission filings, including, but not limited to, those factors listed in the “Risk Factors” section within Item 1A of Part I of Brady’s Form 10-K for the year ended July 31, 2018.</w:t>
      </w:r>
    </w:p>
    <w:p>
      <w:pPr>
        <w:spacing w:after="0" w:line="162" w:lineRule="exact"/>
        <w:rPr>
          <w:sz w:val="20"/>
          <w:szCs w:val="20"/>
          <w:color w:val="auto"/>
        </w:rPr>
      </w:pPr>
    </w:p>
    <w:p>
      <w:pPr>
        <w:ind w:right="280"/>
        <w:spacing w:after="0" w:line="273" w:lineRule="auto"/>
        <w:rPr>
          <w:sz w:val="20"/>
          <w:szCs w:val="20"/>
          <w:color w:val="auto"/>
        </w:rPr>
      </w:pPr>
      <w:r>
        <w:rPr>
          <w:rFonts w:ascii="Times New Roman" w:cs="Times New Roman" w:eastAsia="Times New Roman" w:hAnsi="Times New Roman"/>
          <w:sz w:val="15"/>
          <w:szCs w:val="15"/>
          <w:color w:val="auto"/>
        </w:rPr>
        <w:t>These uncertainties may cause Brady's actual future results to be materially different than those expressed in its forward-looking statements. Brady does not undertake to update its forward-looking statements except as required by law.</w:t>
      </w:r>
    </w:p>
    <w:p>
      <w:pPr>
        <w:sectPr>
          <w:pgSz w:w="11900" w:h="16838" w:orient="portrait"/>
          <w:cols w:equalWidth="0" w:num="1">
            <w:col w:w="11440"/>
          </w:cols>
          <w:pgMar w:left="220" w:top="542" w:right="2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3"/>
          <w:szCs w:val="13"/>
          <w:b w:val="1"/>
          <w:bCs w:val="1"/>
          <w:color w:val="auto"/>
        </w:rPr>
        <w:t>BRADY CORPORATION AND SUBSIDIARIES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CONSOLIDATED STATEMENTS OF EARNINGS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(Unaudited; Dollars in thousands, except per share 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0" w:type="dxa"/>
            <w:vAlign w:val="bottom"/>
            <w:gridSpan w:val="5"/>
          </w:tcPr>
          <w:p>
            <w:pPr>
              <w:ind w:left="40"/>
              <w:spacing w:after="0"/>
              <w:rPr>
                <w:sz w:val="20"/>
                <w:szCs w:val="20"/>
                <w:color w:val="auto"/>
              </w:rPr>
            </w:pPr>
            <w:r>
              <w:rPr>
                <w:rFonts w:ascii="Times New Roman" w:cs="Times New Roman" w:eastAsia="Times New Roman" w:hAnsi="Times New Roman"/>
                <w:sz w:val="13"/>
                <w:szCs w:val="13"/>
                <w:color w:val="auto"/>
              </w:rPr>
              <w:t>Three months ended January 31,</w:t>
            </w:r>
          </w:p>
        </w:tc>
        <w:tc>
          <w:tcPr>
            <w:tcW w:w="160" w:type="dxa"/>
            <w:vAlign w:val="bottom"/>
          </w:tcPr>
          <w:p>
            <w:pPr>
              <w:spacing w:after="0"/>
              <w:rPr>
                <w:sz w:val="15"/>
                <w:szCs w:val="15"/>
                <w:color w:val="auto"/>
              </w:rPr>
            </w:pPr>
          </w:p>
        </w:tc>
        <w:tc>
          <w:tcPr>
            <w:tcW w:w="1880" w:type="dxa"/>
            <w:vAlign w:val="bottom"/>
            <w:gridSpan w:val="4"/>
          </w:tcPr>
          <w:p>
            <w:pPr>
              <w:jc w:val="right"/>
              <w:ind w:right="153"/>
              <w:spacing w:after="0"/>
              <w:rPr>
                <w:sz w:val="20"/>
                <w:szCs w:val="20"/>
                <w:color w:val="auto"/>
              </w:rPr>
            </w:pPr>
            <w:r>
              <w:rPr>
                <w:rFonts w:ascii="Times New Roman" w:cs="Times New Roman" w:eastAsia="Times New Roman" w:hAnsi="Times New Roman"/>
                <w:sz w:val="13"/>
                <w:szCs w:val="13"/>
                <w:color w:val="auto"/>
              </w:rPr>
              <w:t>Six months ended January 31,</w:t>
            </w:r>
          </w:p>
        </w:tc>
      </w:tr>
      <w:tr>
        <w:trPr>
          <w:trHeight w:val="27"/>
        </w:trPr>
        <w:tc>
          <w:tcPr>
            <w:tcW w:w="38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86"/>
        </w:trPr>
        <w:tc>
          <w:tcPr>
            <w:tcW w:w="3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ind w:right="293"/>
              <w:spacing w:after="0"/>
              <w:rPr>
                <w:sz w:val="20"/>
                <w:szCs w:val="20"/>
                <w:color w:val="auto"/>
              </w:rPr>
            </w:pPr>
            <w:r>
              <w:rPr>
                <w:rFonts w:ascii="Times New Roman" w:cs="Times New Roman" w:eastAsia="Times New Roman" w:hAnsi="Times New Roman"/>
                <w:sz w:val="13"/>
                <w:szCs w:val="13"/>
                <w:color w:val="auto"/>
              </w:rPr>
              <w:t>2019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ind w:right="273"/>
              <w:spacing w:after="0"/>
              <w:rPr>
                <w:sz w:val="20"/>
                <w:szCs w:val="20"/>
                <w:color w:val="auto"/>
              </w:rPr>
            </w:pPr>
            <w:r>
              <w:rPr>
                <w:rFonts w:ascii="Times New Roman" w:cs="Times New Roman" w:eastAsia="Times New Roman" w:hAnsi="Times New Roman"/>
                <w:sz w:val="13"/>
                <w:szCs w:val="13"/>
                <w:color w:val="auto"/>
              </w:rPr>
              <w:t>2018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ind w:right="293"/>
              <w:spacing w:after="0"/>
              <w:rPr>
                <w:sz w:val="20"/>
                <w:szCs w:val="20"/>
                <w:color w:val="auto"/>
              </w:rPr>
            </w:pPr>
            <w:r>
              <w:rPr>
                <w:rFonts w:ascii="Times New Roman" w:cs="Times New Roman" w:eastAsia="Times New Roman" w:hAnsi="Times New Roman"/>
                <w:sz w:val="13"/>
                <w:szCs w:val="13"/>
                <w:color w:val="auto"/>
              </w:rPr>
              <w:t>2019</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293"/>
              <w:spacing w:after="0"/>
              <w:rPr>
                <w:sz w:val="20"/>
                <w:szCs w:val="20"/>
                <w:color w:val="auto"/>
              </w:rPr>
            </w:pPr>
            <w:r>
              <w:rPr>
                <w:rFonts w:ascii="Times New Roman" w:cs="Times New Roman" w:eastAsia="Times New Roman" w:hAnsi="Times New Roman"/>
                <w:sz w:val="13"/>
                <w:szCs w:val="13"/>
                <w:color w:val="auto"/>
              </w:rPr>
              <w:t>2018</w:t>
            </w:r>
          </w:p>
        </w:tc>
      </w:tr>
      <w:tr>
        <w:trPr>
          <w:trHeight w:val="27"/>
        </w:trPr>
        <w:tc>
          <w:tcPr>
            <w:tcW w:w="38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82"/>
        </w:trPr>
        <w:tc>
          <w:tcPr>
            <w:tcW w:w="3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Net sales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282,426</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287,780</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575,622</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577,931</w:t>
            </w:r>
          </w:p>
        </w:tc>
      </w:tr>
      <w:tr>
        <w:trPr>
          <w:trHeight w:val="195"/>
        </w:trPr>
        <w:tc>
          <w:tcPr>
            <w:tcW w:w="38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Cost of products sold</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142,616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144,088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289,273</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288,174</w:t>
            </w:r>
          </w:p>
        </w:tc>
      </w:tr>
      <w:tr>
        <w:trPr>
          <w:trHeight w:val="27"/>
        </w:trPr>
        <w:tc>
          <w:tcPr>
            <w:tcW w:w="38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82"/>
        </w:trPr>
        <w:tc>
          <w:tcPr>
            <w:tcW w:w="38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Gross margin</w:t>
            </w:r>
          </w:p>
        </w:tc>
        <w:tc>
          <w:tcPr>
            <w:tcW w:w="1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139,810</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143,692</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286,349</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289,757</w:t>
            </w:r>
          </w:p>
        </w:tc>
      </w:tr>
      <w:tr>
        <w:trPr>
          <w:trHeight w:val="195"/>
        </w:trPr>
        <w:tc>
          <w:tcPr>
            <w:tcW w:w="38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Operating expenses:</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7"/>
        </w:trPr>
        <w:tc>
          <w:tcPr>
            <w:tcW w:w="3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02"/>
        </w:trPr>
        <w:tc>
          <w:tcPr>
            <w:tcW w:w="38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Research and development</w:t>
            </w:r>
          </w:p>
        </w:tc>
        <w:tc>
          <w:tcPr>
            <w:tcW w:w="1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11,074</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11,314</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22,400</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21,834</w:t>
            </w:r>
          </w:p>
        </w:tc>
      </w:tr>
      <w:tr>
        <w:trPr>
          <w:trHeight w:val="195"/>
        </w:trPr>
        <w:tc>
          <w:tcPr>
            <w:tcW w:w="38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Selling, general and administrative</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92,706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97,582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187,297</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197,716</w:t>
            </w:r>
          </w:p>
        </w:tc>
      </w:tr>
      <w:tr>
        <w:trPr>
          <w:trHeight w:val="27"/>
        </w:trPr>
        <w:tc>
          <w:tcPr>
            <w:tcW w:w="38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82"/>
        </w:trPr>
        <w:tc>
          <w:tcPr>
            <w:tcW w:w="3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shd w:val="clear" w:color="auto" w:fill="CCEEFF"/>
              </w:rPr>
              <w:t>Total operating expenses</w:t>
            </w:r>
          </w:p>
        </w:tc>
        <w:tc>
          <w:tcPr>
            <w:tcW w:w="1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103,780</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108,896</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209,697</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219,550</w:t>
            </w:r>
          </w:p>
        </w:tc>
      </w:tr>
      <w:tr>
        <w:trPr>
          <w:trHeight w:val="178"/>
        </w:trPr>
        <w:tc>
          <w:tcPr>
            <w:tcW w:w="3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02"/>
        </w:trPr>
        <w:tc>
          <w:tcPr>
            <w:tcW w:w="3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shd w:val="clear" w:color="auto" w:fill="CCEEFF"/>
              </w:rPr>
              <w:t>Operating income</w:t>
            </w:r>
          </w:p>
        </w:tc>
        <w:tc>
          <w:tcPr>
            <w:tcW w:w="1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36,030</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34,796</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76,652</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70,207</w:t>
            </w:r>
          </w:p>
        </w:tc>
      </w:tr>
      <w:tr>
        <w:trPr>
          <w:trHeight w:val="178"/>
        </w:trPr>
        <w:tc>
          <w:tcPr>
            <w:tcW w:w="3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02"/>
        </w:trPr>
        <w:tc>
          <w:tcPr>
            <w:tcW w:w="3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shd w:val="clear" w:color="auto" w:fill="CCEEFF"/>
              </w:rPr>
              <w:t>Other income (expense):</w:t>
            </w:r>
          </w:p>
        </w:tc>
        <w:tc>
          <w:tcPr>
            <w:tcW w:w="1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r>
      <w:tr>
        <w:trPr>
          <w:trHeight w:val="195"/>
        </w:trPr>
        <w:tc>
          <w:tcPr>
            <w:tcW w:w="38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Investment and other income</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1,360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1,272</w:t>
            </w:r>
          </w:p>
        </w:tc>
      </w:tr>
      <w:tr>
        <w:trPr>
          <w:trHeight w:val="27"/>
        </w:trPr>
        <w:tc>
          <w:tcPr>
            <w:tcW w:w="3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22"/>
        </w:trPr>
        <w:tc>
          <w:tcPr>
            <w:tcW w:w="38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shd w:val="clear" w:color="auto" w:fill="CCEEFF"/>
              </w:rPr>
              <w:t>Interest expense</w:t>
            </w:r>
          </w:p>
        </w:tc>
        <w:tc>
          <w:tcPr>
            <w:tcW w:w="1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(717)</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(1,429)</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(1,692)</w:t>
            </w:r>
          </w:p>
        </w:tc>
      </w:tr>
      <w:tr>
        <w:trPr>
          <w:trHeight w:val="169"/>
        </w:trPr>
        <w:tc>
          <w:tcPr>
            <w:tcW w:w="38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r>
      <w:tr>
        <w:trPr>
          <w:trHeight w:val="202"/>
        </w:trPr>
        <w:tc>
          <w:tcPr>
            <w:tcW w:w="3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shd w:val="clear" w:color="auto" w:fill="CCEEFF"/>
              </w:rPr>
              <w:t>Earnings before income taxes</w:t>
            </w:r>
          </w:p>
        </w:tc>
        <w:tc>
          <w:tcPr>
            <w:tcW w:w="1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36,690</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35,023</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76,583</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69,787</w:t>
            </w:r>
          </w:p>
        </w:tc>
      </w:tr>
      <w:tr>
        <w:trPr>
          <w:trHeight w:val="178"/>
        </w:trPr>
        <w:tc>
          <w:tcPr>
            <w:tcW w:w="3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22"/>
        </w:trPr>
        <w:tc>
          <w:tcPr>
            <w:tcW w:w="3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shd w:val="clear" w:color="auto" w:fill="CCEEFF"/>
              </w:rPr>
              <w:t>Income tax expense</w:t>
            </w:r>
          </w:p>
        </w:tc>
        <w:tc>
          <w:tcPr>
            <w:tcW w:w="1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7,463</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30,750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16,719</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39,678</w:t>
            </w:r>
          </w:p>
        </w:tc>
      </w:tr>
      <w:tr>
        <w:trPr>
          <w:trHeight w:val="169"/>
        </w:trPr>
        <w:tc>
          <w:tcPr>
            <w:tcW w:w="38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r>
      <w:tr>
        <w:trPr>
          <w:trHeight w:val="216"/>
        </w:trPr>
        <w:tc>
          <w:tcPr>
            <w:tcW w:w="3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shd w:val="clear" w:color="auto" w:fill="CCEEFF"/>
              </w:rPr>
              <w:t>Net earnings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29,227</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4,273</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59,864</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30,109</w:t>
            </w: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r>
        <w:trPr>
          <w:trHeight w:val="151"/>
        </w:trPr>
        <w:tc>
          <w:tcPr>
            <w:tcW w:w="3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78"/>
        </w:trPr>
        <w:tc>
          <w:tcPr>
            <w:tcW w:w="3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195"/>
        </w:trPr>
        <w:tc>
          <w:tcPr>
            <w:tcW w:w="38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Net earnings per Class A Nonvoting Common Share:</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7"/>
        </w:trPr>
        <w:tc>
          <w:tcPr>
            <w:tcW w:w="3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02"/>
        </w:trPr>
        <w:tc>
          <w:tcPr>
            <w:tcW w:w="38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shd w:val="clear" w:color="auto" w:fill="CCEEFF"/>
              </w:rPr>
              <w:t>Basic</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0.56</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0.08</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1.14</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0.58</w:t>
            </w:r>
          </w:p>
        </w:tc>
      </w:tr>
      <w:tr>
        <w:trPr>
          <w:trHeight w:val="195"/>
        </w:trPr>
        <w:tc>
          <w:tcPr>
            <w:tcW w:w="38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Diluted</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0.55</w:t>
            </w:r>
          </w:p>
        </w:tc>
        <w:tc>
          <w:tcPr>
            <w:tcW w:w="100" w:type="dxa"/>
            <w:vAlign w:val="bottom"/>
          </w:tcPr>
          <w:p>
            <w:pPr>
              <w:spacing w:after="0"/>
              <w:rPr>
                <w:sz w:val="16"/>
                <w:szCs w:val="16"/>
                <w:color w:val="auto"/>
              </w:rPr>
            </w:pPr>
          </w:p>
        </w:tc>
        <w:tc>
          <w:tcPr>
            <w:tcW w:w="22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0.08</w:t>
            </w:r>
          </w:p>
        </w:tc>
        <w:tc>
          <w:tcPr>
            <w:tcW w:w="100" w:type="dxa"/>
            <w:vAlign w:val="bottom"/>
          </w:tcPr>
          <w:p>
            <w:pPr>
              <w:spacing w:after="0"/>
              <w:rPr>
                <w:sz w:val="16"/>
                <w:szCs w:val="16"/>
                <w:color w:val="auto"/>
              </w:rPr>
            </w:pPr>
          </w:p>
        </w:tc>
        <w:tc>
          <w:tcPr>
            <w:tcW w:w="1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1.13</w:t>
            </w:r>
          </w:p>
        </w:tc>
        <w:tc>
          <w:tcPr>
            <w:tcW w:w="80" w:type="dxa"/>
            <w:vAlign w:val="bottom"/>
          </w:tcPr>
          <w:p>
            <w:pPr>
              <w:spacing w:after="0"/>
              <w:rPr>
                <w:sz w:val="16"/>
                <w:szCs w:val="16"/>
                <w:color w:val="auto"/>
              </w:rPr>
            </w:pPr>
          </w:p>
        </w:tc>
        <w:tc>
          <w:tcPr>
            <w:tcW w:w="22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0.57</w:t>
            </w:r>
          </w:p>
        </w:tc>
      </w:tr>
      <w:tr>
        <w:trPr>
          <w:trHeight w:val="27"/>
        </w:trPr>
        <w:tc>
          <w:tcPr>
            <w:tcW w:w="3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02"/>
        </w:trPr>
        <w:tc>
          <w:tcPr>
            <w:tcW w:w="38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shd w:val="clear" w:color="auto" w:fill="CCEEFF"/>
              </w:rPr>
              <w:t>Dividends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0.21</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0.21</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0.43</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0.42</w:t>
            </w:r>
          </w:p>
        </w:tc>
      </w:tr>
      <w:tr>
        <w:trPr>
          <w:trHeight w:val="178"/>
        </w:trPr>
        <w:tc>
          <w:tcPr>
            <w:tcW w:w="3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02"/>
        </w:trPr>
        <w:tc>
          <w:tcPr>
            <w:tcW w:w="3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shd w:val="clear" w:color="auto" w:fill="CCEEFF"/>
              </w:rPr>
              <w:t>Net earnings per Class B Voting Common Share:</w:t>
            </w:r>
          </w:p>
        </w:tc>
        <w:tc>
          <w:tcPr>
            <w:tcW w:w="1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r>
      <w:tr>
        <w:trPr>
          <w:trHeight w:val="195"/>
        </w:trPr>
        <w:tc>
          <w:tcPr>
            <w:tcW w:w="38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Basic</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0.56</w:t>
            </w:r>
          </w:p>
        </w:tc>
        <w:tc>
          <w:tcPr>
            <w:tcW w:w="100" w:type="dxa"/>
            <w:vAlign w:val="bottom"/>
          </w:tcPr>
          <w:p>
            <w:pPr>
              <w:spacing w:after="0"/>
              <w:rPr>
                <w:sz w:val="16"/>
                <w:szCs w:val="16"/>
                <w:color w:val="auto"/>
              </w:rPr>
            </w:pPr>
          </w:p>
        </w:tc>
        <w:tc>
          <w:tcPr>
            <w:tcW w:w="22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0.08</w:t>
            </w:r>
          </w:p>
        </w:tc>
        <w:tc>
          <w:tcPr>
            <w:tcW w:w="100" w:type="dxa"/>
            <w:vAlign w:val="bottom"/>
          </w:tcPr>
          <w:p>
            <w:pPr>
              <w:spacing w:after="0"/>
              <w:rPr>
                <w:sz w:val="16"/>
                <w:szCs w:val="16"/>
                <w:color w:val="auto"/>
              </w:rPr>
            </w:pPr>
          </w:p>
        </w:tc>
        <w:tc>
          <w:tcPr>
            <w:tcW w:w="1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1.13</w:t>
            </w:r>
          </w:p>
        </w:tc>
        <w:tc>
          <w:tcPr>
            <w:tcW w:w="80" w:type="dxa"/>
            <w:vAlign w:val="bottom"/>
          </w:tcPr>
          <w:p>
            <w:pPr>
              <w:spacing w:after="0"/>
              <w:rPr>
                <w:sz w:val="16"/>
                <w:szCs w:val="16"/>
                <w:color w:val="auto"/>
              </w:rPr>
            </w:pPr>
          </w:p>
        </w:tc>
        <w:tc>
          <w:tcPr>
            <w:tcW w:w="22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0.57</w:t>
            </w:r>
          </w:p>
        </w:tc>
      </w:tr>
      <w:tr>
        <w:trPr>
          <w:trHeight w:val="27"/>
        </w:trPr>
        <w:tc>
          <w:tcPr>
            <w:tcW w:w="3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02"/>
        </w:trPr>
        <w:tc>
          <w:tcPr>
            <w:tcW w:w="38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shd w:val="clear" w:color="auto" w:fill="CCEEFF"/>
              </w:rPr>
              <w:t>Diluted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0.55</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0.08</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1.11</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0.56</w:t>
            </w:r>
          </w:p>
        </w:tc>
      </w:tr>
      <w:tr>
        <w:trPr>
          <w:trHeight w:val="195"/>
        </w:trPr>
        <w:tc>
          <w:tcPr>
            <w:tcW w:w="38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Dividends</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0.21</w:t>
            </w:r>
          </w:p>
        </w:tc>
        <w:tc>
          <w:tcPr>
            <w:tcW w:w="100" w:type="dxa"/>
            <w:vAlign w:val="bottom"/>
          </w:tcPr>
          <w:p>
            <w:pPr>
              <w:spacing w:after="0"/>
              <w:rPr>
                <w:sz w:val="16"/>
                <w:szCs w:val="16"/>
                <w:color w:val="auto"/>
              </w:rPr>
            </w:pPr>
          </w:p>
        </w:tc>
        <w:tc>
          <w:tcPr>
            <w:tcW w:w="22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0.21</w:t>
            </w:r>
          </w:p>
        </w:tc>
        <w:tc>
          <w:tcPr>
            <w:tcW w:w="100" w:type="dxa"/>
            <w:vAlign w:val="bottom"/>
          </w:tcPr>
          <w:p>
            <w:pPr>
              <w:spacing w:after="0"/>
              <w:rPr>
                <w:sz w:val="16"/>
                <w:szCs w:val="16"/>
                <w:color w:val="auto"/>
              </w:rPr>
            </w:pPr>
          </w:p>
        </w:tc>
        <w:tc>
          <w:tcPr>
            <w:tcW w:w="1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0.41</w:t>
            </w:r>
          </w:p>
        </w:tc>
        <w:tc>
          <w:tcPr>
            <w:tcW w:w="80" w:type="dxa"/>
            <w:vAlign w:val="bottom"/>
          </w:tcPr>
          <w:p>
            <w:pPr>
              <w:spacing w:after="0"/>
              <w:rPr>
                <w:sz w:val="16"/>
                <w:szCs w:val="16"/>
                <w:color w:val="auto"/>
              </w:rPr>
            </w:pPr>
          </w:p>
        </w:tc>
        <w:tc>
          <w:tcPr>
            <w:tcW w:w="22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0.40</w:t>
            </w:r>
          </w:p>
        </w:tc>
      </w:tr>
      <w:tr>
        <w:trPr>
          <w:trHeight w:val="27"/>
        </w:trPr>
        <w:tc>
          <w:tcPr>
            <w:tcW w:w="3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178"/>
        </w:trPr>
        <w:tc>
          <w:tcPr>
            <w:tcW w:w="3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r>
      <w:tr>
        <w:trPr>
          <w:trHeight w:val="195"/>
        </w:trPr>
        <w:tc>
          <w:tcPr>
            <w:tcW w:w="38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Weighted average common shares outstanding (in thousands):</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7"/>
        </w:trPr>
        <w:tc>
          <w:tcPr>
            <w:tcW w:w="3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02"/>
        </w:trPr>
        <w:tc>
          <w:tcPr>
            <w:tcW w:w="38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shd w:val="clear" w:color="auto" w:fill="CCEEFF"/>
              </w:rPr>
              <w:t>Basic</w:t>
            </w:r>
          </w:p>
        </w:tc>
        <w:tc>
          <w:tcPr>
            <w:tcW w:w="1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52,532</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51,698</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52,366</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51,569</w:t>
            </w:r>
          </w:p>
        </w:tc>
      </w:tr>
      <w:tr>
        <w:trPr>
          <w:trHeight w:val="195"/>
        </w:trPr>
        <w:tc>
          <w:tcPr>
            <w:tcW w:w="38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Diluted</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53,206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52,719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53,082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52,551</w:t>
            </w:r>
          </w:p>
        </w:tc>
      </w:tr>
    </w:tbl>
    <w:p>
      <w:pPr>
        <w:sectPr>
          <w:pgSz w:w="11900" w:h="16838" w:orient="portrait"/>
          <w:cols w:equalWidth="0" w:num="1">
            <w:col w:w="10239"/>
          </w:cols>
          <w:pgMar w:left="220" w:top="504"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3"/>
          <w:szCs w:val="13"/>
          <w:b w:val="1"/>
          <w:bCs w:val="1"/>
          <w:color w:val="auto"/>
        </w:rPr>
        <w:t>BRADY CORPORATION AND SUBSIDIARIES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CONSOLIDATED BALANCE SHEETS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(Dollars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color w:val="auto"/>
              </w:rPr>
              <w:t>January 31, 2019</w:t>
            </w:r>
          </w:p>
        </w:tc>
        <w:tc>
          <w:tcPr>
            <w:tcW w:w="160" w:type="dxa"/>
            <w:vAlign w:val="bottom"/>
          </w:tcPr>
          <w:p>
            <w:pPr>
              <w:spacing w:after="0"/>
              <w:rPr>
                <w:sz w:val="15"/>
                <w:szCs w:val="15"/>
                <w:color w:val="auto"/>
              </w:rPr>
            </w:pPr>
          </w:p>
        </w:tc>
        <w:tc>
          <w:tcPr>
            <w:tcW w:w="1000" w:type="dxa"/>
            <w:vAlign w:val="bottom"/>
          </w:tcPr>
          <w:p>
            <w:pPr>
              <w:jc w:val="right"/>
              <w:ind w:right="153"/>
              <w:spacing w:after="0"/>
              <w:rPr>
                <w:sz w:val="20"/>
                <w:szCs w:val="20"/>
                <w:color w:val="auto"/>
              </w:rPr>
            </w:pPr>
            <w:r>
              <w:rPr>
                <w:rFonts w:ascii="Times New Roman" w:cs="Times New Roman" w:eastAsia="Times New Roman" w:hAnsi="Times New Roman"/>
                <w:sz w:val="13"/>
                <w:szCs w:val="13"/>
                <w:color w:val="auto"/>
              </w:rPr>
              <w:t>July 31, 2018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color w:val="auto"/>
              </w:rPr>
              <w:t>(Unaudited)</w:t>
            </w: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9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2480" w:type="dxa"/>
            <w:vAlign w:val="bottom"/>
            <w:tcBorders>
              <w:bottom w:val="single" w:sz="8" w:color="CCEEFF"/>
            </w:tcBorders>
            <w:gridSpan w:val="2"/>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5440" w:type="dxa"/>
            <w:vAlign w:val="bottom"/>
            <w:gridSpan w:val="8"/>
          </w:tcPr>
          <w:p>
            <w:pPr>
              <w:spacing w:after="0"/>
              <w:rPr>
                <w:sz w:val="20"/>
                <w:szCs w:val="20"/>
                <w:color w:val="auto"/>
              </w:rPr>
            </w:pPr>
            <w:r>
              <w:rPr>
                <w:rFonts w:ascii="Times New Roman" w:cs="Times New Roman" w:eastAsia="Times New Roman" w:hAnsi="Times New Roman"/>
                <w:sz w:val="13"/>
                <w:szCs w:val="13"/>
                <w:color w:val="auto"/>
              </w:rPr>
              <w:t>Current assets:</w:t>
            </w: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9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40" w:type="dxa"/>
            <w:vAlign w:val="bottom"/>
            <w:tcBorders>
              <w:bottom w:val="single" w:sz="8" w:color="CCEEFF"/>
            </w:tcBorders>
            <w:shd w:val="clear" w:color="auto" w:fill="CCEEFF"/>
          </w:tcPr>
          <w:p>
            <w:pPr>
              <w:spacing w:after="0"/>
              <w:rPr>
                <w:sz w:val="17"/>
                <w:szCs w:val="17"/>
                <w:color w:val="auto"/>
              </w:rPr>
            </w:pPr>
          </w:p>
        </w:tc>
        <w:tc>
          <w:tcPr>
            <w:tcW w:w="5440" w:type="dxa"/>
            <w:vAlign w:val="bottom"/>
            <w:tcBorders>
              <w:bottom w:val="single" w:sz="8" w:color="CCEEFF"/>
            </w:tcBorders>
            <w:gridSpan w:val="8"/>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202,209</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181,427</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5440" w:type="dxa"/>
            <w:vAlign w:val="bottom"/>
            <w:gridSpan w:val="8"/>
          </w:tcPr>
          <w:p>
            <w:pPr>
              <w:ind w:left="280"/>
              <w:spacing w:after="0"/>
              <w:rPr>
                <w:sz w:val="20"/>
                <w:szCs w:val="20"/>
                <w:color w:val="auto"/>
              </w:rPr>
            </w:pPr>
            <w:r>
              <w:rPr>
                <w:rFonts w:ascii="Times New Roman" w:cs="Times New Roman" w:eastAsia="Times New Roman" w:hAnsi="Times New Roman"/>
                <w:sz w:val="13"/>
                <w:szCs w:val="13"/>
                <w:color w:val="auto"/>
              </w:rPr>
              <w:t>Accounts receivable—net</w:t>
            </w:r>
          </w:p>
        </w:tc>
        <w:tc>
          <w:tcPr>
            <w:tcW w:w="120" w:type="dxa"/>
            <w:vAlign w:val="bottom"/>
          </w:tcPr>
          <w:p>
            <w:pPr>
              <w:spacing w:after="0"/>
              <w:rPr>
                <w:sz w:val="16"/>
                <w:szCs w:val="16"/>
                <w:color w:val="auto"/>
              </w:rPr>
            </w:pP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161,981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161,282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40" w:type="dxa"/>
            <w:vAlign w:val="bottom"/>
            <w:tcBorders>
              <w:bottom w:val="single" w:sz="8" w:color="CCEEFF"/>
            </w:tcBorders>
            <w:shd w:val="clear" w:color="auto" w:fill="CCEEFF"/>
          </w:tcPr>
          <w:p>
            <w:pPr>
              <w:spacing w:after="0"/>
              <w:rPr>
                <w:sz w:val="17"/>
                <w:szCs w:val="17"/>
                <w:color w:val="auto"/>
              </w:rPr>
            </w:pPr>
          </w:p>
        </w:tc>
        <w:tc>
          <w:tcPr>
            <w:tcW w:w="5440" w:type="dxa"/>
            <w:vAlign w:val="bottom"/>
            <w:tcBorders>
              <w:bottom w:val="single" w:sz="8" w:color="CCEEFF"/>
            </w:tcBorders>
            <w:gridSpan w:val="8"/>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Inventories</w:t>
            </w:r>
          </w:p>
        </w:tc>
        <w:tc>
          <w:tcPr>
            <w:tcW w:w="1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118,519</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113,071</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5440" w:type="dxa"/>
            <w:vAlign w:val="bottom"/>
            <w:gridSpan w:val="8"/>
          </w:tcPr>
          <w:p>
            <w:pPr>
              <w:ind w:left="28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120" w:type="dxa"/>
            <w:vAlign w:val="bottom"/>
          </w:tcPr>
          <w:p>
            <w:pPr>
              <w:spacing w:after="0"/>
              <w:rPr>
                <w:sz w:val="16"/>
                <w:szCs w:val="16"/>
                <w:color w:val="auto"/>
              </w:rPr>
            </w:pP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18,973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15,559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w w:val="98"/>
                <w:shd w:val="clear" w:color="auto" w:fill="CCEEFF"/>
              </w:rPr>
              <w:t>Total current assets</w:t>
            </w:r>
          </w:p>
        </w:tc>
        <w:tc>
          <w:tcPr>
            <w:tcW w:w="2600" w:type="dxa"/>
            <w:vAlign w:val="bottom"/>
            <w:tcBorders>
              <w:bottom w:val="single" w:sz="8" w:color="CCEEFF"/>
            </w:tcBorders>
            <w:gridSpan w:val="3"/>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501,682</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471,339</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5440" w:type="dxa"/>
            <w:vAlign w:val="bottom"/>
            <w:gridSpan w:val="8"/>
          </w:tcPr>
          <w:p>
            <w:pPr>
              <w:spacing w:after="0"/>
              <w:rPr>
                <w:sz w:val="20"/>
                <w:szCs w:val="20"/>
                <w:color w:val="auto"/>
              </w:rPr>
            </w:pPr>
            <w:r>
              <w:rPr>
                <w:rFonts w:ascii="Times New Roman" w:cs="Times New Roman" w:eastAsia="Times New Roman" w:hAnsi="Times New Roman"/>
                <w:sz w:val="13"/>
                <w:szCs w:val="13"/>
                <w:color w:val="auto"/>
              </w:rPr>
              <w:t>Property, plant and equipment—net</w:t>
            </w:r>
          </w:p>
        </w:tc>
        <w:tc>
          <w:tcPr>
            <w:tcW w:w="120" w:type="dxa"/>
            <w:vAlign w:val="bottom"/>
          </w:tcPr>
          <w:p>
            <w:pPr>
              <w:spacing w:after="0"/>
              <w:rPr>
                <w:sz w:val="16"/>
                <w:szCs w:val="16"/>
                <w:color w:val="auto"/>
              </w:rPr>
            </w:pP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99,378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97,945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shd w:val="clear" w:color="auto" w:fill="CCEEFF"/>
              </w:rPr>
              <w:t>Goodwill</w:t>
            </w:r>
          </w:p>
        </w:tc>
        <w:tc>
          <w:tcPr>
            <w:tcW w:w="6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900" w:type="dxa"/>
            <w:vAlign w:val="bottom"/>
            <w:tcBorders>
              <w:bottom w:val="single" w:sz="8" w:color="CCEEFF"/>
            </w:tcBorders>
            <w:gridSpan w:val="4"/>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417,240</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419,815</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5440" w:type="dxa"/>
            <w:vAlign w:val="bottom"/>
            <w:gridSpan w:val="8"/>
          </w:tcPr>
          <w:p>
            <w:pPr>
              <w:spacing w:after="0"/>
              <w:rPr>
                <w:sz w:val="20"/>
                <w:szCs w:val="20"/>
                <w:color w:val="auto"/>
              </w:rPr>
            </w:pPr>
            <w:r>
              <w:rPr>
                <w:rFonts w:ascii="Times New Roman" w:cs="Times New Roman" w:eastAsia="Times New Roman" w:hAnsi="Times New Roman"/>
                <w:sz w:val="13"/>
                <w:szCs w:val="13"/>
                <w:color w:val="auto"/>
              </w:rPr>
              <w:t>Other intangible assets</w:t>
            </w:r>
          </w:p>
        </w:tc>
        <w:tc>
          <w:tcPr>
            <w:tcW w:w="120" w:type="dxa"/>
            <w:vAlign w:val="bottom"/>
          </w:tcPr>
          <w:p>
            <w:pPr>
              <w:spacing w:after="0"/>
              <w:rPr>
                <w:sz w:val="16"/>
                <w:szCs w:val="16"/>
                <w:color w:val="auto"/>
              </w:rPr>
            </w:pP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39,652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42,588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shd w:val="clear" w:color="auto" w:fill="CCEEFF"/>
              </w:rPr>
              <w:t>Deferred income taxes</w:t>
            </w:r>
          </w:p>
        </w:tc>
        <w:tc>
          <w:tcPr>
            <w:tcW w:w="60" w:type="dxa"/>
            <w:vAlign w:val="bottom"/>
            <w:tcBorders>
              <w:bottom w:val="single" w:sz="8" w:color="CCEEFF"/>
            </w:tcBorders>
            <w:shd w:val="clear" w:color="auto" w:fill="CCEEFF"/>
          </w:tcPr>
          <w:p>
            <w:pPr>
              <w:spacing w:after="0"/>
              <w:rPr>
                <w:sz w:val="17"/>
                <w:szCs w:val="17"/>
                <w:color w:val="auto"/>
              </w:rPr>
            </w:pPr>
          </w:p>
        </w:tc>
        <w:tc>
          <w:tcPr>
            <w:tcW w:w="2900" w:type="dxa"/>
            <w:vAlign w:val="bottom"/>
            <w:tcBorders>
              <w:bottom w:val="single" w:sz="8" w:color="CCEEFF"/>
            </w:tcBorders>
            <w:gridSpan w:val="4"/>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7,076</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7,582</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5440" w:type="dxa"/>
            <w:vAlign w:val="bottom"/>
            <w:gridSpan w:val="8"/>
          </w:tcPr>
          <w:p>
            <w:pPr>
              <w:spacing w:after="0"/>
              <w:rPr>
                <w:sz w:val="20"/>
                <w:szCs w:val="20"/>
                <w:color w:val="auto"/>
              </w:rPr>
            </w:pPr>
            <w:r>
              <w:rPr>
                <w:rFonts w:ascii="Times New Roman" w:cs="Times New Roman" w:eastAsia="Times New Roman" w:hAnsi="Times New Roman"/>
                <w:sz w:val="13"/>
                <w:szCs w:val="13"/>
                <w:color w:val="auto"/>
              </w:rPr>
              <w:t>Other</w:t>
            </w:r>
          </w:p>
        </w:tc>
        <w:tc>
          <w:tcPr>
            <w:tcW w:w="120" w:type="dxa"/>
            <w:vAlign w:val="bottom"/>
          </w:tcPr>
          <w:p>
            <w:pPr>
              <w:spacing w:after="0"/>
              <w:rPr>
                <w:sz w:val="16"/>
                <w:szCs w:val="16"/>
                <w:color w:val="auto"/>
              </w:rPr>
            </w:pP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18,312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17,662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40" w:type="dxa"/>
            <w:vAlign w:val="bottom"/>
            <w:tcBorders>
              <w:bottom w:val="single" w:sz="8" w:color="CCEEFF"/>
            </w:tcBorders>
            <w:shd w:val="clear" w:color="auto" w:fill="CCEEFF"/>
          </w:tcPr>
          <w:p>
            <w:pPr>
              <w:spacing w:after="0"/>
              <w:rPr>
                <w:sz w:val="17"/>
                <w:szCs w:val="17"/>
                <w:color w:val="auto"/>
              </w:rPr>
            </w:pPr>
          </w:p>
        </w:tc>
        <w:tc>
          <w:tcPr>
            <w:tcW w:w="5440" w:type="dxa"/>
            <w:vAlign w:val="bottom"/>
            <w:tcBorders>
              <w:bottom w:val="single" w:sz="8" w:color="CCEEFF"/>
            </w:tcBorders>
            <w:gridSpan w:val="8"/>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1,083,340</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1,056,931</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bottom w:val="single" w:sz="8" w:color="CCEEFF"/>
            </w:tcBorders>
            <w:vMerge w:val="restart"/>
          </w:tcPr>
          <w:p>
            <w:pPr>
              <w:spacing w:after="0" w:line="20" w:lineRule="exact"/>
              <w:rPr>
                <w:sz w:val="1"/>
                <w:szCs w:val="1"/>
                <w:color w:val="auto"/>
              </w:rPr>
            </w:pPr>
          </w:p>
        </w:tc>
        <w:tc>
          <w:tcPr>
            <w:tcW w:w="540" w:type="dxa"/>
            <w:vAlign w:val="bottom"/>
            <w:tcBorders>
              <w:top w:val="single" w:sz="8" w:color="CCEEFF"/>
              <w:bottom w:val="single" w:sz="8" w:color="CCEEFF"/>
            </w:tcBorders>
            <w:vMerge w:val="restart"/>
          </w:tcPr>
          <w:p>
            <w:pPr>
              <w:spacing w:after="0" w:line="20" w:lineRule="exact"/>
              <w:rPr>
                <w:sz w:val="1"/>
                <w:szCs w:val="1"/>
                <w:color w:val="auto"/>
              </w:rPr>
            </w:pPr>
          </w:p>
        </w:tc>
        <w:tc>
          <w:tcPr>
            <w:tcW w:w="660" w:type="dxa"/>
            <w:vAlign w:val="bottom"/>
            <w:tcBorders>
              <w:top w:val="single" w:sz="8" w:color="CCEEFF"/>
              <w:bottom w:val="single" w:sz="8" w:color="CCEEFF"/>
            </w:tcBorders>
            <w:vMerge w:val="restart"/>
          </w:tcPr>
          <w:p>
            <w:pPr>
              <w:spacing w:after="0" w:line="20" w:lineRule="exact"/>
              <w:rPr>
                <w:sz w:val="1"/>
                <w:szCs w:val="1"/>
                <w:color w:val="auto"/>
              </w:rPr>
            </w:pPr>
          </w:p>
        </w:tc>
        <w:tc>
          <w:tcPr>
            <w:tcW w:w="4240" w:type="dxa"/>
            <w:vAlign w:val="bottom"/>
            <w:tcBorders>
              <w:top w:val="single" w:sz="8" w:color="CCEEFF"/>
              <w:bottom w:val="single" w:sz="8" w:color="CCEEFF"/>
            </w:tcBorders>
            <w:gridSpan w:val="6"/>
            <w:vMerge w:val="restart"/>
          </w:tcPr>
          <w:p>
            <w:pPr>
              <w:jc w:val="center"/>
              <w:ind w:right="1220"/>
              <w:spacing w:after="0" w:line="147" w:lineRule="exact"/>
              <w:rPr>
                <w:sz w:val="20"/>
                <w:szCs w:val="20"/>
                <w:color w:val="auto"/>
              </w:rPr>
            </w:pPr>
            <w:r>
              <w:rPr>
                <w:rFonts w:ascii="Times New Roman" w:cs="Times New Roman" w:eastAsia="Times New Roman" w:hAnsi="Times New Roman"/>
                <w:sz w:val="13"/>
                <w:szCs w:val="13"/>
                <w:b w:val="1"/>
                <w:bCs w:val="1"/>
                <w:color w:val="auto"/>
              </w:rPr>
              <w:t>LIABILITIES AND STOCKHOLDERS’ EQUITY</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4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4240" w:type="dxa"/>
            <w:vAlign w:val="bottom"/>
            <w:gridSpan w:val="6"/>
            <w:vMerge w:val="continue"/>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9"/>
        </w:trPr>
        <w:tc>
          <w:tcPr>
            <w:tcW w:w="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1200" w:type="dxa"/>
            <w:vAlign w:val="bottom"/>
            <w:tcBorders>
              <w:top w:val="single" w:sz="8" w:color="auto"/>
            </w:tcBorders>
          </w:tcPr>
          <w:p>
            <w:pPr>
              <w:spacing w:after="0"/>
              <w:rPr>
                <w:sz w:val="5"/>
                <w:szCs w:val="5"/>
                <w:color w:val="auto"/>
              </w:rPr>
            </w:pPr>
          </w:p>
        </w:tc>
        <w:tc>
          <w:tcPr>
            <w:tcW w:w="1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40" w:type="dxa"/>
            <w:vAlign w:val="bottom"/>
            <w:tcBorders>
              <w:bottom w:val="single" w:sz="8" w:color="CCEEFF"/>
            </w:tcBorders>
            <w:shd w:val="clear" w:color="auto" w:fill="CCEEFF"/>
          </w:tcPr>
          <w:p>
            <w:pPr>
              <w:spacing w:after="0"/>
              <w:rPr>
                <w:sz w:val="17"/>
                <w:szCs w:val="17"/>
                <w:color w:val="auto"/>
              </w:rPr>
            </w:pPr>
          </w:p>
        </w:tc>
        <w:tc>
          <w:tcPr>
            <w:tcW w:w="5440" w:type="dxa"/>
            <w:vAlign w:val="bottom"/>
            <w:tcBorders>
              <w:bottom w:val="single" w:sz="8" w:color="CCEEFF"/>
            </w:tcBorders>
            <w:gridSpan w:val="8"/>
            <w:shd w:val="clear" w:color="auto" w:fill="CCEEFF"/>
          </w:tcPr>
          <w:p>
            <w:pPr>
              <w:spacing w:after="0"/>
              <w:rPr>
                <w:sz w:val="20"/>
                <w:szCs w:val="20"/>
                <w:color w:val="auto"/>
              </w:rPr>
            </w:pPr>
            <w:r>
              <w:rPr>
                <w:rFonts w:ascii="Times New Roman" w:cs="Times New Roman" w:eastAsia="Times New Roman" w:hAnsi="Times New Roman"/>
                <w:sz w:val="13"/>
                <w:szCs w:val="13"/>
                <w:color w:val="auto"/>
              </w:rPr>
              <w:t>Current liabilities:</w:t>
            </w:r>
          </w:p>
        </w:tc>
        <w:tc>
          <w:tcPr>
            <w:tcW w:w="1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5440" w:type="dxa"/>
            <w:vAlign w:val="bottom"/>
            <w:gridSpan w:val="8"/>
          </w:tcPr>
          <w:p>
            <w:pPr>
              <w:ind w:left="280"/>
              <w:spacing w:after="0"/>
              <w:rPr>
                <w:sz w:val="20"/>
                <w:szCs w:val="20"/>
                <w:color w:val="auto"/>
              </w:rPr>
            </w:pPr>
            <w:r>
              <w:rPr>
                <w:rFonts w:ascii="Times New Roman" w:cs="Times New Roman" w:eastAsia="Times New Roman" w:hAnsi="Times New Roman"/>
                <w:sz w:val="13"/>
                <w:szCs w:val="13"/>
                <w:color w:val="auto"/>
              </w:rPr>
              <w:t>Accounts payable</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60,504</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66,538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40" w:type="dxa"/>
            <w:vAlign w:val="bottom"/>
            <w:tcBorders>
              <w:bottom w:val="single" w:sz="8" w:color="CCEEFF"/>
            </w:tcBorders>
            <w:shd w:val="clear" w:color="auto" w:fill="CCEEFF"/>
          </w:tcPr>
          <w:p>
            <w:pPr>
              <w:spacing w:after="0"/>
              <w:rPr>
                <w:sz w:val="17"/>
                <w:szCs w:val="17"/>
                <w:color w:val="auto"/>
              </w:rPr>
            </w:pPr>
          </w:p>
        </w:tc>
        <w:tc>
          <w:tcPr>
            <w:tcW w:w="5440" w:type="dxa"/>
            <w:vAlign w:val="bottom"/>
            <w:tcBorders>
              <w:bottom w:val="single" w:sz="8" w:color="CCEEFF"/>
            </w:tcBorders>
            <w:gridSpan w:val="8"/>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Wages and amounts withheld from employees</w:t>
            </w:r>
          </w:p>
        </w:tc>
        <w:tc>
          <w:tcPr>
            <w:tcW w:w="1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41,510</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67,619</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5440" w:type="dxa"/>
            <w:vAlign w:val="bottom"/>
            <w:gridSpan w:val="8"/>
          </w:tcPr>
          <w:p>
            <w:pPr>
              <w:ind w:left="280"/>
              <w:spacing w:after="0"/>
              <w:rPr>
                <w:sz w:val="20"/>
                <w:szCs w:val="20"/>
                <w:color w:val="auto"/>
              </w:rPr>
            </w:pPr>
            <w:r>
              <w:rPr>
                <w:rFonts w:ascii="Times New Roman" w:cs="Times New Roman" w:eastAsia="Times New Roman" w:hAnsi="Times New Roman"/>
                <w:sz w:val="13"/>
                <w:szCs w:val="13"/>
                <w:color w:val="auto"/>
              </w:rPr>
              <w:t>Taxes, other than income taxes</w:t>
            </w:r>
          </w:p>
        </w:tc>
        <w:tc>
          <w:tcPr>
            <w:tcW w:w="120" w:type="dxa"/>
            <w:vAlign w:val="bottom"/>
          </w:tcPr>
          <w:p>
            <w:pPr>
              <w:spacing w:after="0"/>
              <w:rPr>
                <w:sz w:val="16"/>
                <w:szCs w:val="16"/>
                <w:color w:val="auto"/>
              </w:rPr>
            </w:pP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7,145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8,318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40" w:type="dxa"/>
            <w:vAlign w:val="bottom"/>
            <w:tcBorders>
              <w:bottom w:val="single" w:sz="8" w:color="CCEEFF"/>
            </w:tcBorders>
            <w:shd w:val="clear" w:color="auto" w:fill="CCEEFF"/>
          </w:tcPr>
          <w:p>
            <w:pPr>
              <w:spacing w:after="0"/>
              <w:rPr>
                <w:sz w:val="17"/>
                <w:szCs w:val="17"/>
                <w:color w:val="auto"/>
              </w:rPr>
            </w:pPr>
          </w:p>
        </w:tc>
        <w:tc>
          <w:tcPr>
            <w:tcW w:w="5440" w:type="dxa"/>
            <w:vAlign w:val="bottom"/>
            <w:tcBorders>
              <w:bottom w:val="single" w:sz="8" w:color="CCEEFF"/>
            </w:tcBorders>
            <w:gridSpan w:val="8"/>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Accrued income taxes</w:t>
            </w:r>
          </w:p>
        </w:tc>
        <w:tc>
          <w:tcPr>
            <w:tcW w:w="1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4,426</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3,885</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5440" w:type="dxa"/>
            <w:vAlign w:val="bottom"/>
            <w:gridSpan w:val="8"/>
          </w:tcPr>
          <w:p>
            <w:pPr>
              <w:ind w:left="280"/>
              <w:spacing w:after="0"/>
              <w:rPr>
                <w:sz w:val="20"/>
                <w:szCs w:val="20"/>
                <w:color w:val="auto"/>
              </w:rPr>
            </w:pPr>
            <w:r>
              <w:rPr>
                <w:rFonts w:ascii="Times New Roman" w:cs="Times New Roman" w:eastAsia="Times New Roman" w:hAnsi="Times New Roman"/>
                <w:sz w:val="13"/>
                <w:szCs w:val="13"/>
                <w:color w:val="auto"/>
              </w:rPr>
              <w:t>Other current liabilities</w:t>
            </w:r>
          </w:p>
        </w:tc>
        <w:tc>
          <w:tcPr>
            <w:tcW w:w="120" w:type="dxa"/>
            <w:vAlign w:val="bottom"/>
          </w:tcPr>
          <w:p>
            <w:pPr>
              <w:spacing w:after="0"/>
              <w:rPr>
                <w:sz w:val="16"/>
                <w:szCs w:val="16"/>
                <w:color w:val="auto"/>
              </w:rPr>
            </w:pP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50,103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44,567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4900" w:type="dxa"/>
            <w:vAlign w:val="bottom"/>
            <w:tcBorders>
              <w:bottom w:val="single" w:sz="8" w:color="CCEEFF"/>
            </w:tcBorders>
            <w:gridSpan w:val="7"/>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current liabilities</w:t>
            </w:r>
          </w:p>
        </w:tc>
        <w:tc>
          <w:tcPr>
            <w:tcW w:w="1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163,688</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190,927</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5440" w:type="dxa"/>
            <w:vAlign w:val="bottom"/>
            <w:gridSpan w:val="8"/>
          </w:tcPr>
          <w:p>
            <w:pPr>
              <w:spacing w:after="0"/>
              <w:rPr>
                <w:sz w:val="20"/>
                <w:szCs w:val="20"/>
                <w:color w:val="auto"/>
              </w:rPr>
            </w:pPr>
            <w:r>
              <w:rPr>
                <w:rFonts w:ascii="Times New Roman" w:cs="Times New Roman" w:eastAsia="Times New Roman" w:hAnsi="Times New Roman"/>
                <w:sz w:val="13"/>
                <w:szCs w:val="13"/>
                <w:color w:val="auto"/>
              </w:rPr>
              <w:t>Long-term obligations</w:t>
            </w:r>
          </w:p>
        </w:tc>
        <w:tc>
          <w:tcPr>
            <w:tcW w:w="120" w:type="dxa"/>
            <w:vAlign w:val="bottom"/>
          </w:tcPr>
          <w:p>
            <w:pPr>
              <w:spacing w:after="0"/>
              <w:rPr>
                <w:sz w:val="16"/>
                <w:szCs w:val="16"/>
                <w:color w:val="auto"/>
              </w:rPr>
            </w:pP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51,610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52,618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40" w:type="dxa"/>
            <w:vAlign w:val="bottom"/>
            <w:tcBorders>
              <w:bottom w:val="single" w:sz="8" w:color="CCEEFF"/>
            </w:tcBorders>
            <w:shd w:val="clear" w:color="auto" w:fill="CCEEFF"/>
          </w:tcPr>
          <w:p>
            <w:pPr>
              <w:spacing w:after="0"/>
              <w:rPr>
                <w:sz w:val="19"/>
                <w:szCs w:val="19"/>
                <w:color w:val="auto"/>
              </w:rPr>
            </w:pPr>
          </w:p>
        </w:tc>
        <w:tc>
          <w:tcPr>
            <w:tcW w:w="5440" w:type="dxa"/>
            <w:vAlign w:val="bottom"/>
            <w:tcBorders>
              <w:bottom w:val="single" w:sz="8" w:color="CCEEFF"/>
            </w:tcBorders>
            <w:gridSpan w:val="8"/>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liabilities</w:t>
            </w:r>
          </w:p>
        </w:tc>
        <w:tc>
          <w:tcPr>
            <w:tcW w:w="1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64,661</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61,274</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900" w:type="dxa"/>
            <w:vAlign w:val="bottom"/>
            <w:gridSpan w:val="7"/>
          </w:tcPr>
          <w:p>
            <w:pPr>
              <w:spacing w:after="0"/>
              <w:rPr>
                <w:sz w:val="20"/>
                <w:szCs w:val="20"/>
                <w:color w:val="auto"/>
              </w:rPr>
            </w:pPr>
            <w:r>
              <w:rPr>
                <w:rFonts w:ascii="Times New Roman" w:cs="Times New Roman" w:eastAsia="Times New Roman" w:hAnsi="Times New Roman"/>
                <w:sz w:val="13"/>
                <w:szCs w:val="13"/>
                <w:color w:val="auto"/>
              </w:rPr>
              <w:t>Total liabilities</w:t>
            </w:r>
          </w:p>
        </w:tc>
        <w:tc>
          <w:tcPr>
            <w:tcW w:w="1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rPr>
              <w:t>279,959</w:t>
            </w: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304,819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40" w:type="dxa"/>
            <w:vAlign w:val="bottom"/>
            <w:tcBorders>
              <w:bottom w:val="single" w:sz="8" w:color="CCEEFF"/>
            </w:tcBorders>
            <w:shd w:val="clear" w:color="auto" w:fill="CCEEFF"/>
          </w:tcPr>
          <w:p>
            <w:pPr>
              <w:spacing w:after="0"/>
              <w:rPr>
                <w:sz w:val="17"/>
                <w:szCs w:val="17"/>
                <w:color w:val="auto"/>
              </w:rPr>
            </w:pPr>
          </w:p>
        </w:tc>
        <w:tc>
          <w:tcPr>
            <w:tcW w:w="5440" w:type="dxa"/>
            <w:vAlign w:val="bottom"/>
            <w:tcBorders>
              <w:bottom w:val="single" w:sz="8" w:color="CCEEFF"/>
            </w:tcBorders>
            <w:gridSpan w:val="8"/>
            <w:shd w:val="clear" w:color="auto" w:fill="CCEEFF"/>
          </w:tcPr>
          <w:p>
            <w:pPr>
              <w:spacing w:after="0"/>
              <w:rPr>
                <w:sz w:val="20"/>
                <w:szCs w:val="20"/>
                <w:color w:val="auto"/>
              </w:rPr>
            </w:pPr>
            <w:r>
              <w:rPr>
                <w:rFonts w:ascii="Times New Roman" w:cs="Times New Roman" w:eastAsia="Times New Roman" w:hAnsi="Times New Roman"/>
                <w:sz w:val="13"/>
                <w:szCs w:val="13"/>
                <w:color w:val="auto"/>
              </w:rPr>
              <w:t>Stockholders’ equity:</w:t>
            </w:r>
          </w:p>
        </w:tc>
        <w:tc>
          <w:tcPr>
            <w:tcW w:w="1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40" w:type="dxa"/>
            <w:vAlign w:val="bottom"/>
          </w:tcPr>
          <w:p>
            <w:pPr>
              <w:spacing w:after="0"/>
              <w:rPr>
                <w:sz w:val="15"/>
                <w:szCs w:val="15"/>
                <w:color w:val="auto"/>
              </w:rPr>
            </w:pPr>
          </w:p>
        </w:tc>
        <w:tc>
          <w:tcPr>
            <w:tcW w:w="5440" w:type="dxa"/>
            <w:vAlign w:val="bottom"/>
            <w:gridSpan w:val="8"/>
          </w:tcPr>
          <w:p>
            <w:pPr>
              <w:ind w:left="280"/>
              <w:spacing w:after="0"/>
              <w:rPr>
                <w:sz w:val="20"/>
                <w:szCs w:val="20"/>
                <w:color w:val="auto"/>
              </w:rPr>
            </w:pPr>
            <w:r>
              <w:rPr>
                <w:rFonts w:ascii="Times New Roman" w:cs="Times New Roman" w:eastAsia="Times New Roman" w:hAnsi="Times New Roman"/>
                <w:sz w:val="13"/>
                <w:szCs w:val="13"/>
                <w:color w:val="auto"/>
              </w:rPr>
              <w:t>Class A nonvoting common stock—Issued 51,261,487 shares, and outstanding 49,101,192 and</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5440" w:type="dxa"/>
            <w:vAlign w:val="bottom"/>
            <w:gridSpan w:val="8"/>
          </w:tcPr>
          <w:p>
            <w:pPr>
              <w:ind w:left="280"/>
              <w:spacing w:after="0"/>
              <w:rPr>
                <w:sz w:val="20"/>
                <w:szCs w:val="20"/>
                <w:color w:val="auto"/>
              </w:rPr>
            </w:pPr>
            <w:r>
              <w:rPr>
                <w:rFonts w:ascii="Times New Roman" w:cs="Times New Roman" w:eastAsia="Times New Roman" w:hAnsi="Times New Roman"/>
                <w:sz w:val="13"/>
                <w:szCs w:val="13"/>
                <w:color w:val="auto"/>
              </w:rPr>
              <w:t>48,393,617 shares, respectively</w:t>
            </w:r>
          </w:p>
        </w:tc>
        <w:tc>
          <w:tcPr>
            <w:tcW w:w="120" w:type="dxa"/>
            <w:vAlign w:val="bottom"/>
          </w:tcPr>
          <w:p>
            <w:pPr>
              <w:spacing w:after="0"/>
              <w:rPr>
                <w:sz w:val="15"/>
                <w:szCs w:val="15"/>
                <w:color w:val="auto"/>
              </w:rPr>
            </w:pP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513</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40" w:type="dxa"/>
            <w:vAlign w:val="bottom"/>
            <w:tcBorders>
              <w:bottom w:val="single" w:sz="8" w:color="CCEEFF"/>
            </w:tcBorders>
            <w:shd w:val="clear" w:color="auto" w:fill="CCEEFF"/>
          </w:tcPr>
          <w:p>
            <w:pPr>
              <w:spacing w:after="0"/>
              <w:rPr>
                <w:sz w:val="17"/>
                <w:szCs w:val="17"/>
                <w:color w:val="auto"/>
              </w:rPr>
            </w:pPr>
          </w:p>
        </w:tc>
        <w:tc>
          <w:tcPr>
            <w:tcW w:w="5440" w:type="dxa"/>
            <w:vAlign w:val="bottom"/>
            <w:tcBorders>
              <w:bottom w:val="single" w:sz="8" w:color="CCEEFF"/>
            </w:tcBorders>
            <w:gridSpan w:val="8"/>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Class B voting common stock—Issued and outstanding, 3,538,628 shares</w:t>
            </w:r>
          </w:p>
        </w:tc>
        <w:tc>
          <w:tcPr>
            <w:tcW w:w="1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35</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5440" w:type="dxa"/>
            <w:vAlign w:val="bottom"/>
            <w:gridSpan w:val="8"/>
          </w:tcPr>
          <w:p>
            <w:pPr>
              <w:ind w:left="280"/>
              <w:spacing w:after="0"/>
              <w:rPr>
                <w:sz w:val="20"/>
                <w:szCs w:val="20"/>
                <w:color w:val="auto"/>
              </w:rPr>
            </w:pPr>
            <w:r>
              <w:rPr>
                <w:rFonts w:ascii="Times New Roman" w:cs="Times New Roman" w:eastAsia="Times New Roman" w:hAnsi="Times New Roman"/>
                <w:sz w:val="13"/>
                <w:szCs w:val="13"/>
                <w:color w:val="auto"/>
              </w:rPr>
              <w:t>Additional paid-in capital</w:t>
            </w:r>
          </w:p>
        </w:tc>
        <w:tc>
          <w:tcPr>
            <w:tcW w:w="120" w:type="dxa"/>
            <w:vAlign w:val="bottom"/>
          </w:tcPr>
          <w:p>
            <w:pPr>
              <w:spacing w:after="0"/>
              <w:rPr>
                <w:sz w:val="16"/>
                <w:szCs w:val="16"/>
                <w:color w:val="auto"/>
              </w:rPr>
            </w:pP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328,978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325,631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40" w:type="dxa"/>
            <w:vAlign w:val="bottom"/>
            <w:tcBorders>
              <w:bottom w:val="single" w:sz="8" w:color="CCEEFF"/>
            </w:tcBorders>
            <w:shd w:val="clear" w:color="auto" w:fill="CCEEFF"/>
          </w:tcPr>
          <w:p>
            <w:pPr>
              <w:spacing w:after="0"/>
              <w:rPr>
                <w:sz w:val="17"/>
                <w:szCs w:val="17"/>
                <w:color w:val="auto"/>
              </w:rPr>
            </w:pPr>
          </w:p>
        </w:tc>
        <w:tc>
          <w:tcPr>
            <w:tcW w:w="5440" w:type="dxa"/>
            <w:vAlign w:val="bottom"/>
            <w:tcBorders>
              <w:bottom w:val="single" w:sz="8" w:color="CCEEFF"/>
            </w:tcBorders>
            <w:gridSpan w:val="8"/>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Retained earnings</w:t>
            </w:r>
          </w:p>
        </w:tc>
        <w:tc>
          <w:tcPr>
            <w:tcW w:w="1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588,918</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553,454</w:t>
            </w:r>
          </w:p>
        </w:tc>
        <w:tc>
          <w:tcPr>
            <w:tcW w:w="0" w:type="dxa"/>
            <w:vAlign w:val="bottom"/>
          </w:tcPr>
          <w:p>
            <w:pPr>
              <w:spacing w:after="0"/>
              <w:rPr>
                <w:sz w:val="1"/>
                <w:szCs w:val="1"/>
                <w:color w:val="auto"/>
              </w:rPr>
            </w:pPr>
          </w:p>
        </w:tc>
      </w:tr>
      <w:tr>
        <w:trPr>
          <w:trHeight w:val="178"/>
        </w:trPr>
        <w:tc>
          <w:tcPr>
            <w:tcW w:w="40" w:type="dxa"/>
            <w:vAlign w:val="bottom"/>
          </w:tcPr>
          <w:p>
            <w:pPr>
              <w:spacing w:after="0"/>
              <w:rPr>
                <w:sz w:val="15"/>
                <w:szCs w:val="15"/>
                <w:color w:val="auto"/>
              </w:rPr>
            </w:pPr>
          </w:p>
        </w:tc>
        <w:tc>
          <w:tcPr>
            <w:tcW w:w="5440" w:type="dxa"/>
            <w:vAlign w:val="bottom"/>
            <w:gridSpan w:val="8"/>
          </w:tcPr>
          <w:p>
            <w:pPr>
              <w:ind w:left="280"/>
              <w:spacing w:after="0"/>
              <w:rPr>
                <w:sz w:val="20"/>
                <w:szCs w:val="20"/>
                <w:color w:val="auto"/>
              </w:rPr>
            </w:pPr>
            <w:r>
              <w:rPr>
                <w:rFonts w:ascii="Times New Roman" w:cs="Times New Roman" w:eastAsia="Times New Roman" w:hAnsi="Times New Roman"/>
                <w:sz w:val="13"/>
                <w:szCs w:val="13"/>
                <w:color w:val="auto"/>
              </w:rPr>
              <w:t>Treasury stock—2,160,295 and 2,867,870 shares, respectively of Class A nonvoting common</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5440" w:type="dxa"/>
            <w:vAlign w:val="bottom"/>
            <w:gridSpan w:val="8"/>
          </w:tcPr>
          <w:p>
            <w:pPr>
              <w:ind w:left="280"/>
              <w:spacing w:after="0"/>
              <w:rPr>
                <w:sz w:val="20"/>
                <w:szCs w:val="20"/>
                <w:color w:val="auto"/>
              </w:rPr>
            </w:pPr>
            <w:r>
              <w:rPr>
                <w:rFonts w:ascii="Times New Roman" w:cs="Times New Roman" w:eastAsia="Times New Roman" w:hAnsi="Times New Roman"/>
                <w:sz w:val="13"/>
                <w:szCs w:val="13"/>
                <w:color w:val="auto"/>
              </w:rPr>
              <w:t>stock, at cost</w:t>
            </w: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(54,498)</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(71,120)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40" w:type="dxa"/>
            <w:vAlign w:val="bottom"/>
            <w:tcBorders>
              <w:bottom w:val="single" w:sz="8" w:color="CCEEFF"/>
            </w:tcBorders>
            <w:shd w:val="clear" w:color="auto" w:fill="CCEEFF"/>
          </w:tcPr>
          <w:p>
            <w:pPr>
              <w:spacing w:after="0"/>
              <w:rPr>
                <w:sz w:val="19"/>
                <w:szCs w:val="19"/>
                <w:color w:val="auto"/>
              </w:rPr>
            </w:pPr>
          </w:p>
        </w:tc>
        <w:tc>
          <w:tcPr>
            <w:tcW w:w="5440" w:type="dxa"/>
            <w:vAlign w:val="bottom"/>
            <w:tcBorders>
              <w:bottom w:val="single" w:sz="8" w:color="CCEEFF"/>
            </w:tcBorders>
            <w:gridSpan w:val="8"/>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Accumulated other comprehensive loss</w:t>
            </w:r>
          </w:p>
        </w:tc>
        <w:tc>
          <w:tcPr>
            <w:tcW w:w="1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(60,565)</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(56,401)</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900" w:type="dxa"/>
            <w:vAlign w:val="bottom"/>
            <w:gridSpan w:val="7"/>
          </w:tcPr>
          <w:p>
            <w:pPr>
              <w:spacing w:after="0"/>
              <w:rPr>
                <w:sz w:val="20"/>
                <w:szCs w:val="20"/>
                <w:color w:val="auto"/>
              </w:rPr>
            </w:pPr>
            <w:r>
              <w:rPr>
                <w:rFonts w:ascii="Times New Roman" w:cs="Times New Roman" w:eastAsia="Times New Roman" w:hAnsi="Times New Roman"/>
                <w:sz w:val="13"/>
                <w:szCs w:val="13"/>
                <w:color w:val="auto"/>
              </w:rPr>
              <w:t>Total stockholders’ equity</w:t>
            </w:r>
          </w:p>
        </w:tc>
        <w:tc>
          <w:tcPr>
            <w:tcW w:w="1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rPr>
              <w:t>803,381</w:t>
            </w: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752,112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40" w:type="dxa"/>
            <w:vAlign w:val="bottom"/>
            <w:tcBorders>
              <w:bottom w:val="single" w:sz="8" w:color="CCEEFF"/>
            </w:tcBorders>
            <w:shd w:val="clear" w:color="auto" w:fill="CCEEFF"/>
          </w:tcPr>
          <w:p>
            <w:pPr>
              <w:spacing w:after="0"/>
              <w:rPr>
                <w:sz w:val="17"/>
                <w:szCs w:val="17"/>
                <w:color w:val="auto"/>
              </w:rPr>
            </w:pPr>
          </w:p>
        </w:tc>
        <w:tc>
          <w:tcPr>
            <w:tcW w:w="5440" w:type="dxa"/>
            <w:vAlign w:val="bottom"/>
            <w:tcBorders>
              <w:bottom w:val="single" w:sz="8" w:color="CCEEFF"/>
            </w:tcBorders>
            <w:gridSpan w:val="8"/>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1,083,340</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1,056,931</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239"/>
          </w:cols>
          <w:pgMar w:left="220" w:top="504" w:right="1440" w:bottom="1440" w:gutter="0" w:footer="0" w:header="0"/>
        </w:sectPr>
      </w:pPr>
    </w:p>
    <w:bookmarkStart w:id="8" w:name="page9"/>
    <w:bookmarkEnd w:id="8"/>
    <w:p>
      <w:pPr>
        <w:ind w:right="2080"/>
        <w:spacing w:after="0" w:line="269" w:lineRule="auto"/>
        <w:rPr>
          <w:sz w:val="20"/>
          <w:szCs w:val="20"/>
          <w:color w:val="auto"/>
        </w:rPr>
      </w:pPr>
      <w:r>
        <w:rPr>
          <w:rFonts w:ascii="Times New Roman" w:cs="Times New Roman" w:eastAsia="Times New Roman" w:hAnsi="Times New Roman"/>
          <w:sz w:val="13"/>
          <w:szCs w:val="13"/>
          <w:b w:val="1"/>
          <w:bCs w:val="1"/>
          <w:color w:val="auto"/>
        </w:rPr>
        <w:t>BRADY CORPORATION AND SUBSIDIARIES CONSOLIDATED STATEMENTS OF CASH FLOWS (Unaudited;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344170</wp:posOffset>
            </wp:positionV>
            <wp:extent cx="5073015" cy="147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073015" cy="14795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Operating activities:</w:t>
      </w:r>
    </w:p>
    <w:p>
      <w:pPr>
        <w:spacing w:after="0" w:line="8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3"/>
          <w:szCs w:val="13"/>
          <w:color w:val="auto"/>
        </w:rPr>
        <w:t>Net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38735</wp:posOffset>
            </wp:positionV>
            <wp:extent cx="5073015" cy="1409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073015" cy="140970"/>
                    </a:xfrm>
                    <a:prstGeom prst="rect">
                      <a:avLst/>
                    </a:prstGeom>
                    <a:noFill/>
                  </pic:spPr>
                </pic:pic>
              </a:graphicData>
            </a:graphic>
          </wp:anchor>
        </w:drawing>
      </w:r>
    </w:p>
    <w:p>
      <w:pPr>
        <w:spacing w:after="0" w:line="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3"/>
          <w:szCs w:val="13"/>
          <w:color w:val="auto"/>
        </w:rPr>
        <w:t>Adjustments to reconcile net income to net cash provided by operating activities:</w:t>
      </w:r>
    </w:p>
    <w:p>
      <w:pPr>
        <w:spacing w:after="0" w:line="7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3"/>
          <w:szCs w:val="13"/>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38735</wp:posOffset>
            </wp:positionV>
            <wp:extent cx="5073015" cy="1409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073015" cy="140970"/>
                    </a:xfrm>
                    <a:prstGeom prst="rect">
                      <a:avLst/>
                    </a:prstGeom>
                    <a:noFill/>
                  </pic:spPr>
                </pic:pic>
              </a:graphicData>
            </a:graphic>
          </wp:anchor>
        </w:drawing>
      </w:r>
    </w:p>
    <w:p>
      <w:pPr>
        <w:spacing w:after="0" w:line="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3"/>
          <w:szCs w:val="13"/>
          <w:color w:val="auto"/>
        </w:rPr>
        <w:t>Non-cash portion of stock-based compensation expense</w:t>
      </w:r>
    </w:p>
    <w:p>
      <w:pPr>
        <w:spacing w:after="0" w:line="7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3"/>
          <w:szCs w:val="13"/>
          <w:color w:val="auto"/>
        </w:rPr>
        <w:t>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38735</wp:posOffset>
            </wp:positionV>
            <wp:extent cx="5073015" cy="1409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073015" cy="140970"/>
                    </a:xfrm>
                    <a:prstGeom prst="rect">
                      <a:avLst/>
                    </a:prstGeom>
                    <a:noFill/>
                  </pic:spPr>
                </pic:pic>
              </a:graphicData>
            </a:graphic>
          </wp:anchor>
        </w:drawing>
      </w:r>
    </w:p>
    <w:p>
      <w:pPr>
        <w:spacing w:after="0" w:line="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3"/>
          <w:szCs w:val="13"/>
          <w:color w:val="auto"/>
        </w:rPr>
        <w:t>Changes in operating assets and liabilities:</w:t>
      </w:r>
    </w:p>
    <w:p>
      <w:pPr>
        <w:spacing w:after="0" w:line="7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38735</wp:posOffset>
            </wp:positionV>
            <wp:extent cx="5073015" cy="1409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073015" cy="140970"/>
                    </a:xfrm>
                    <a:prstGeom prst="rect">
                      <a:avLst/>
                    </a:prstGeom>
                    <a:noFill/>
                  </pic:spPr>
                </pic:pic>
              </a:graphicData>
            </a:graphic>
          </wp:anchor>
        </w:drawing>
      </w:r>
    </w:p>
    <w:p>
      <w:pPr>
        <w:spacing w:after="0" w:line="5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Inventories</w:t>
      </w:r>
    </w:p>
    <w:p>
      <w:pPr>
        <w:spacing w:after="0" w:line="7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Prepaid expenses and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38735</wp:posOffset>
            </wp:positionV>
            <wp:extent cx="5073015" cy="1409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073015" cy="140970"/>
                    </a:xfrm>
                    <a:prstGeom prst="rect">
                      <a:avLst/>
                    </a:prstGeom>
                    <a:noFill/>
                  </pic:spPr>
                </pic:pic>
              </a:graphicData>
            </a:graphic>
          </wp:anchor>
        </w:drawing>
      </w:r>
    </w:p>
    <w:p>
      <w:pPr>
        <w:spacing w:after="0" w:line="5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Accounts payable and accrued liabilities</w:t>
      </w:r>
    </w:p>
    <w:p>
      <w:pPr>
        <w:spacing w:after="0" w:line="7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38735</wp:posOffset>
            </wp:positionV>
            <wp:extent cx="5073015" cy="1409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073015" cy="140970"/>
                    </a:xfrm>
                    <a:prstGeom prst="rect">
                      <a:avLst/>
                    </a:prstGeom>
                    <a:noFill/>
                  </pic:spPr>
                </pic:pic>
              </a:graphicData>
            </a:graphic>
          </wp:anchor>
        </w:drawing>
      </w:r>
    </w:p>
    <w:p>
      <w:pPr>
        <w:spacing w:after="0" w:line="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3"/>
          <w:szCs w:val="13"/>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186690</wp:posOffset>
            </wp:positionV>
            <wp:extent cx="5073015" cy="1409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073015" cy="140970"/>
                    </a:xfrm>
                    <a:prstGeom prst="rect">
                      <a:avLst/>
                    </a:prstGeom>
                    <a:noFill/>
                  </pic:spPr>
                </pic:pic>
              </a:graphicData>
            </a:graphic>
          </wp:anchor>
        </w:drawing>
      </w:r>
    </w:p>
    <w:p>
      <w:pPr>
        <w:spacing w:after="0" w:line="2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Investing activities:</w:t>
      </w:r>
    </w:p>
    <w:p>
      <w:pPr>
        <w:spacing w:after="0" w:line="7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3"/>
          <w:szCs w:val="13"/>
          <w:color w:val="auto"/>
        </w:rPr>
        <w:t>Purchases of 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38735</wp:posOffset>
            </wp:positionV>
            <wp:extent cx="5073015" cy="1409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073015" cy="140970"/>
                    </a:xfrm>
                    <a:prstGeom prst="rect">
                      <a:avLst/>
                    </a:prstGeom>
                    <a:noFill/>
                  </pic:spPr>
                </pic:pic>
              </a:graphicData>
            </a:graphic>
          </wp:anchor>
        </w:drawing>
      </w:r>
    </w:p>
    <w:p>
      <w:pPr>
        <w:spacing w:after="0" w:line="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3"/>
          <w:szCs w:val="13"/>
          <w:color w:val="auto"/>
          <w:shd w:val="clear" w:color="auto" w:fill="CCEEFF"/>
        </w:rPr>
        <w:t>Other</w:t>
      </w:r>
    </w:p>
    <w:p>
      <w:pPr>
        <w:spacing w:after="0" w:line="7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3"/>
          <w:szCs w:val="13"/>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38735</wp:posOffset>
            </wp:positionV>
            <wp:extent cx="5073015" cy="147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073015" cy="147955"/>
                    </a:xfrm>
                    <a:prstGeom prst="rect">
                      <a:avLst/>
                    </a:prstGeom>
                    <a:noFill/>
                  </pic:spPr>
                </pic:pic>
              </a:graphicData>
            </a:graphic>
          </wp:anchor>
        </w:drawing>
      </w:r>
    </w:p>
    <w:p>
      <w:pPr>
        <w:spacing w:after="0" w:line="2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38735</wp:posOffset>
            </wp:positionV>
            <wp:extent cx="5073015" cy="1409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073015" cy="140970"/>
                    </a:xfrm>
                    <a:prstGeom prst="rect">
                      <a:avLst/>
                    </a:prstGeom>
                    <a:noFill/>
                  </pic:spPr>
                </pic:pic>
              </a:graphicData>
            </a:graphic>
          </wp:anchor>
        </w:drawing>
      </w:r>
    </w:p>
    <w:p>
      <w:pPr>
        <w:spacing w:after="0" w:line="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3"/>
          <w:szCs w:val="13"/>
          <w:color w:val="auto"/>
          <w:shd w:val="clear" w:color="auto" w:fill="CCEEFF"/>
        </w:rPr>
        <w:t>Payment of dividends</w:t>
      </w:r>
    </w:p>
    <w:p>
      <w:pPr>
        <w:spacing w:after="0" w:line="7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3"/>
          <w:szCs w:val="13"/>
          <w:color w:val="auto"/>
        </w:rPr>
        <w:t>Proceeds from exercise of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38735</wp:posOffset>
            </wp:positionV>
            <wp:extent cx="5073015" cy="1409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073015" cy="140970"/>
                    </a:xfrm>
                    <a:prstGeom prst="rect">
                      <a:avLst/>
                    </a:prstGeom>
                    <a:noFill/>
                  </pic:spPr>
                </pic:pic>
              </a:graphicData>
            </a:graphic>
          </wp:anchor>
        </w:drawing>
      </w:r>
    </w:p>
    <w:p>
      <w:pPr>
        <w:spacing w:after="0" w:line="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3"/>
          <w:szCs w:val="13"/>
          <w:color w:val="auto"/>
        </w:rPr>
        <w:t>Proceeds from borrowing on credit facilities</w:t>
      </w:r>
    </w:p>
    <w:p>
      <w:pPr>
        <w:spacing w:after="0" w:line="7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3"/>
          <w:szCs w:val="13"/>
          <w:color w:val="auto"/>
        </w:rPr>
        <w:t>Repayment of borrowing on credit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38735</wp:posOffset>
            </wp:positionV>
            <wp:extent cx="5073015" cy="1409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073015" cy="140970"/>
                    </a:xfrm>
                    <a:prstGeom prst="rect">
                      <a:avLst/>
                    </a:prstGeom>
                    <a:noFill/>
                  </pic:spPr>
                </pic:pic>
              </a:graphicData>
            </a:graphic>
          </wp:anchor>
        </w:drawing>
      </w:r>
    </w:p>
    <w:p>
      <w:pPr>
        <w:spacing w:after="0" w:line="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3"/>
          <w:szCs w:val="13"/>
          <w:color w:val="auto"/>
        </w:rPr>
        <w:t>Other</w:t>
      </w:r>
    </w:p>
    <w:p>
      <w:pPr>
        <w:spacing w:after="0" w:line="7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3"/>
          <w:szCs w:val="13"/>
          <w:color w:val="auto"/>
        </w:rPr>
        <w:t>Net cash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38735</wp:posOffset>
            </wp:positionV>
            <wp:extent cx="5073015" cy="147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073015" cy="147955"/>
                    </a:xfrm>
                    <a:prstGeom prst="rect">
                      <a:avLst/>
                    </a:prstGeom>
                    <a:noFill/>
                  </pic:spPr>
                </pic:pic>
              </a:graphicData>
            </a:graphic>
          </wp:anchor>
        </w:drawing>
      </w:r>
    </w:p>
    <w:p>
      <w:pPr>
        <w:spacing w:after="0" w:line="2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Effect of exchange rate changes on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38735</wp:posOffset>
            </wp:positionV>
            <wp:extent cx="5073015" cy="154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073015" cy="154940"/>
                    </a:xfrm>
                    <a:prstGeom prst="rect">
                      <a:avLst/>
                    </a:prstGeom>
                    <a:noFill/>
                  </pic:spPr>
                </pic:pic>
              </a:graphicData>
            </a:graphic>
          </wp:anchor>
        </w:drawing>
      </w:r>
    </w:p>
    <w:p>
      <w:pPr>
        <w:spacing w:after="0" w:line="2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Net increase (decrease)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38735</wp:posOffset>
            </wp:positionV>
            <wp:extent cx="5073015" cy="1409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073015" cy="140970"/>
                    </a:xfrm>
                    <a:prstGeom prst="rect">
                      <a:avLst/>
                    </a:prstGeom>
                    <a:noFill/>
                  </pic:spPr>
                </pic:pic>
              </a:graphicData>
            </a:graphic>
          </wp:anchor>
        </w:drawing>
      </w:r>
    </w:p>
    <w:p>
      <w:pPr>
        <w:spacing w:after="0" w:line="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auto"/>
        </w:rPr>
        <w:t>Cash and cash equivalents,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193675</wp:posOffset>
            </wp:positionV>
            <wp:extent cx="5073015" cy="1409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073015" cy="1409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Six months ended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31750</wp:posOffset>
            </wp:positionV>
            <wp:extent cx="1310640" cy="6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10640" cy="6985"/>
                    </a:xfrm>
                    <a:prstGeom prst="rect">
                      <a:avLst/>
                    </a:prstGeom>
                    <a:noFill/>
                  </pic:spPr>
                </pic:pic>
              </a:graphicData>
            </a:graphic>
          </wp:anchor>
        </w:drawing>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20" w:type="dxa"/>
            <w:vAlign w:val="bottom"/>
          </w:tcPr>
          <w:p>
            <w:pPr>
              <w:spacing w:after="0"/>
              <w:rPr>
                <w:sz w:val="15"/>
                <w:szCs w:val="15"/>
                <w:color w:val="auto"/>
              </w:rPr>
            </w:pPr>
          </w:p>
        </w:tc>
        <w:tc>
          <w:tcPr>
            <w:tcW w:w="760" w:type="dxa"/>
            <w:vAlign w:val="bottom"/>
          </w:tcPr>
          <w:p>
            <w:pPr>
              <w:jc w:val="right"/>
              <w:ind w:right="293"/>
              <w:spacing w:after="0"/>
              <w:rPr>
                <w:sz w:val="20"/>
                <w:szCs w:val="20"/>
                <w:color w:val="auto"/>
              </w:rPr>
            </w:pPr>
            <w:r>
              <w:rPr>
                <w:rFonts w:ascii="Times New Roman" w:cs="Times New Roman" w:eastAsia="Times New Roman" w:hAnsi="Times New Roman"/>
                <w:sz w:val="13"/>
                <w:szCs w:val="13"/>
                <w:color w:val="auto"/>
              </w:rPr>
              <w:t>2019</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ind w:right="293"/>
              <w:spacing w:after="0"/>
              <w:rPr>
                <w:sz w:val="20"/>
                <w:szCs w:val="20"/>
                <w:color w:val="auto"/>
              </w:rPr>
            </w:pPr>
            <w:r>
              <w:rPr>
                <w:rFonts w:ascii="Times New Roman" w:cs="Times New Roman" w:eastAsia="Times New Roman" w:hAnsi="Times New Roman"/>
                <w:sz w:val="13"/>
                <w:szCs w:val="13"/>
                <w:color w:val="auto"/>
              </w:rPr>
              <w:t>2018</w:t>
            </w:r>
          </w:p>
        </w:tc>
      </w:tr>
      <w:tr>
        <w:trPr>
          <w:trHeight w:val="27"/>
        </w:trPr>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408"/>
        </w:trPr>
        <w:tc>
          <w:tcPr>
            <w:tcW w:w="22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59,864</w:t>
            </w:r>
          </w:p>
        </w:tc>
        <w:tc>
          <w:tcPr>
            <w:tcW w:w="80" w:type="dxa"/>
            <w:vAlign w:val="bottom"/>
          </w:tcPr>
          <w:p>
            <w:pPr>
              <w:spacing w:after="0"/>
              <w:rPr>
                <w:sz w:val="24"/>
                <w:szCs w:val="24"/>
                <w:color w:val="auto"/>
              </w:rPr>
            </w:pPr>
          </w:p>
        </w:tc>
        <w:tc>
          <w:tcPr>
            <w:tcW w:w="24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30,109</w:t>
            </w:r>
          </w:p>
        </w:tc>
      </w:tr>
      <w:tr>
        <w:trPr>
          <w:trHeight w:val="444"/>
        </w:trPr>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11,909</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12,840</w:t>
            </w:r>
          </w:p>
        </w:tc>
      </w:tr>
      <w:tr>
        <w:trPr>
          <w:trHeight w:val="222"/>
        </w:trPr>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7,805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5,897</w:t>
            </w:r>
          </w:p>
        </w:tc>
      </w:tr>
      <w:tr>
        <w:trPr>
          <w:trHeight w:val="222"/>
        </w:trPr>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4,423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26,028</w:t>
            </w:r>
          </w:p>
        </w:tc>
      </w:tr>
    </w:tbl>
    <w:p>
      <w:pPr>
        <w:spacing w:after="0" w:line="271" w:lineRule="exact"/>
        <w:rPr>
          <w:sz w:val="20"/>
          <w:szCs w:val="20"/>
          <w:color w:val="auto"/>
        </w:rPr>
      </w:pPr>
    </w:p>
    <w:p>
      <w:pPr>
        <w:jc w:val="both"/>
        <w:ind w:left="620"/>
        <w:spacing w:after="0"/>
        <w:tabs>
          <w:tab w:leader="none" w:pos="1560" w:val="left"/>
        </w:tabs>
        <w:rPr>
          <w:sz w:val="20"/>
          <w:szCs w:val="20"/>
          <w:color w:val="auto"/>
        </w:rPr>
      </w:pPr>
      <w:r>
        <w:rPr>
          <w:rFonts w:ascii="Times New Roman" w:cs="Times New Roman" w:eastAsia="Times New Roman" w:hAnsi="Times New Roman"/>
          <w:sz w:val="13"/>
          <w:szCs w:val="13"/>
          <w:color w:val="auto"/>
        </w:rPr>
        <w:t>2,562</w:t>
      </w:r>
      <w:r>
        <w:rPr>
          <w:sz w:val="20"/>
          <w:szCs w:val="20"/>
          <w:color w:val="auto"/>
        </w:rPr>
        <w:tab/>
      </w:r>
      <w:r>
        <w:rPr>
          <w:rFonts w:ascii="Times New Roman" w:cs="Times New Roman" w:eastAsia="Times New Roman" w:hAnsi="Times New Roman"/>
          <w:sz w:val="13"/>
          <w:szCs w:val="13"/>
          <w:color w:val="auto"/>
        </w:rPr>
        <w:t>(10,945)</w:t>
      </w:r>
    </w:p>
    <w:p>
      <w:pPr>
        <w:spacing w:after="0" w:line="72" w:lineRule="exact"/>
        <w:rPr>
          <w:sz w:val="20"/>
          <w:szCs w:val="20"/>
          <w:color w:val="auto"/>
        </w:rPr>
      </w:pPr>
    </w:p>
    <w:p>
      <w:pPr>
        <w:jc w:val="both"/>
        <w:ind w:left="580"/>
        <w:spacing w:after="0"/>
        <w:tabs>
          <w:tab w:leader="none" w:pos="1620" w:val="left"/>
        </w:tabs>
        <w:rPr>
          <w:sz w:val="20"/>
          <w:szCs w:val="20"/>
          <w:color w:val="auto"/>
        </w:rPr>
      </w:pPr>
      <w:r>
        <w:rPr>
          <w:rFonts w:ascii="Times New Roman" w:cs="Times New Roman" w:eastAsia="Times New Roman" w:hAnsi="Times New Roman"/>
          <w:sz w:val="13"/>
          <w:szCs w:val="13"/>
          <w:color w:val="auto"/>
        </w:rPr>
        <w:t>(6,602)</w:t>
      </w:r>
      <w:r>
        <w:rPr>
          <w:sz w:val="20"/>
          <w:szCs w:val="20"/>
          <w:color w:val="auto"/>
        </w:rPr>
        <w:tab/>
      </w:r>
      <w:r>
        <w:rPr>
          <w:rFonts w:ascii="Times New Roman" w:cs="Times New Roman" w:eastAsia="Times New Roman" w:hAnsi="Times New Roman"/>
          <w:sz w:val="13"/>
          <w:szCs w:val="13"/>
          <w:color w:val="auto"/>
        </w:rPr>
        <w:t>(4,150)</w:t>
      </w:r>
    </w:p>
    <w:p>
      <w:pPr>
        <w:spacing w:after="0" w:line="72" w:lineRule="exact"/>
        <w:rPr>
          <w:sz w:val="20"/>
          <w:szCs w:val="20"/>
          <w:color w:val="auto"/>
        </w:rPr>
      </w:pPr>
    </w:p>
    <w:p>
      <w:pPr>
        <w:jc w:val="both"/>
        <w:ind w:left="580"/>
        <w:spacing w:after="0"/>
        <w:tabs>
          <w:tab w:leader="none" w:pos="1620" w:val="left"/>
        </w:tabs>
        <w:rPr>
          <w:sz w:val="20"/>
          <w:szCs w:val="20"/>
          <w:color w:val="auto"/>
        </w:rPr>
      </w:pPr>
      <w:r>
        <w:rPr>
          <w:rFonts w:ascii="Times New Roman" w:cs="Times New Roman" w:eastAsia="Times New Roman" w:hAnsi="Times New Roman"/>
          <w:sz w:val="13"/>
          <w:szCs w:val="13"/>
          <w:color w:val="auto"/>
        </w:rPr>
        <w:t>(2,310)</w:t>
      </w:r>
      <w:r>
        <w:rPr>
          <w:sz w:val="20"/>
          <w:szCs w:val="20"/>
          <w:color w:val="auto"/>
        </w:rPr>
        <w:tab/>
      </w:r>
      <w:r>
        <w:rPr>
          <w:rFonts w:ascii="Times New Roman" w:cs="Times New Roman" w:eastAsia="Times New Roman" w:hAnsi="Times New Roman"/>
          <w:sz w:val="13"/>
          <w:szCs w:val="13"/>
          <w:color w:val="auto"/>
        </w:rPr>
        <w:t>(3,153)</w:t>
      </w:r>
    </w:p>
    <w:p>
      <w:pPr>
        <w:spacing w:after="0" w:line="72" w:lineRule="exact"/>
        <w:rPr>
          <w:sz w:val="20"/>
          <w:szCs w:val="20"/>
          <w:color w:val="auto"/>
        </w:rPr>
      </w:pPr>
    </w:p>
    <w:p>
      <w:pPr>
        <w:jc w:val="both"/>
        <w:ind w:left="500"/>
        <w:spacing w:after="0"/>
        <w:tabs>
          <w:tab w:leader="none" w:pos="1560" w:val="left"/>
        </w:tabs>
        <w:rPr>
          <w:sz w:val="20"/>
          <w:szCs w:val="20"/>
          <w:color w:val="auto"/>
        </w:rPr>
      </w:pPr>
      <w:r>
        <w:rPr>
          <w:rFonts w:ascii="Times New Roman" w:cs="Times New Roman" w:eastAsia="Times New Roman" w:hAnsi="Times New Roman"/>
          <w:sz w:val="13"/>
          <w:szCs w:val="13"/>
          <w:color w:val="auto"/>
        </w:rPr>
        <w:t>(34,055)</w:t>
      </w:r>
      <w:r>
        <w:rPr>
          <w:sz w:val="20"/>
          <w:szCs w:val="20"/>
          <w:color w:val="auto"/>
        </w:rPr>
        <w:tab/>
      </w:r>
      <w:r>
        <w:rPr>
          <w:rFonts w:ascii="Times New Roman" w:cs="Times New Roman" w:eastAsia="Times New Roman" w:hAnsi="Times New Roman"/>
          <w:sz w:val="13"/>
          <w:szCs w:val="13"/>
          <w:color w:val="auto"/>
        </w:rPr>
        <w:t>(12,695)</w:t>
      </w:r>
    </w:p>
    <w:p>
      <w:pPr>
        <w:spacing w:after="0" w:line="72" w:lineRule="exact"/>
        <w:rPr>
          <w:sz w:val="20"/>
          <w:szCs w:val="20"/>
          <w:color w:val="auto"/>
        </w:rPr>
      </w:pPr>
    </w:p>
    <w:p>
      <w:pPr>
        <w:ind w:left="1640" w:hanging="925"/>
        <w:spacing w:after="0"/>
        <w:tabs>
          <w:tab w:leader="none" w:pos="164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(1,471)</w:t>
      </w:r>
    </w:p>
    <w:p>
      <w:pPr>
        <w:spacing w:after="0" w:line="72" w:lineRule="exact"/>
        <w:rPr>
          <w:rFonts w:ascii="Times New Roman" w:cs="Times New Roman" w:eastAsia="Times New Roman" w:hAnsi="Times New Roman"/>
          <w:sz w:val="13"/>
          <w:szCs w:val="13"/>
          <w:color w:val="auto"/>
        </w:rPr>
      </w:pPr>
    </w:p>
    <w:p>
      <w:pPr>
        <w:ind w:left="54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44,18842,460</w:t>
      </w:r>
    </w:p>
    <w:p>
      <w:pPr>
        <w:spacing w:after="0" w:line="200" w:lineRule="exact"/>
        <w:rPr>
          <w:sz w:val="20"/>
          <w:szCs w:val="20"/>
          <w:color w:val="auto"/>
        </w:rPr>
      </w:pPr>
    </w:p>
    <w:p>
      <w:pPr>
        <w:spacing w:after="0" w:line="327" w:lineRule="exact"/>
        <w:rPr>
          <w:sz w:val="20"/>
          <w:szCs w:val="20"/>
          <w:color w:val="auto"/>
        </w:rPr>
      </w:pPr>
    </w:p>
    <w:p>
      <w:pPr>
        <w:jc w:val="both"/>
        <w:ind w:left="500"/>
        <w:spacing w:after="0"/>
        <w:tabs>
          <w:tab w:leader="none" w:pos="1620" w:val="left"/>
        </w:tabs>
        <w:rPr>
          <w:sz w:val="20"/>
          <w:szCs w:val="20"/>
          <w:color w:val="auto"/>
        </w:rPr>
      </w:pPr>
      <w:r>
        <w:rPr>
          <w:rFonts w:ascii="Times New Roman" w:cs="Times New Roman" w:eastAsia="Times New Roman" w:hAnsi="Times New Roman"/>
          <w:sz w:val="13"/>
          <w:szCs w:val="13"/>
          <w:color w:val="auto"/>
        </w:rPr>
        <w:t>(12,127)</w:t>
      </w:r>
      <w:r>
        <w:rPr>
          <w:sz w:val="20"/>
          <w:szCs w:val="20"/>
          <w:color w:val="auto"/>
        </w:rPr>
        <w:tab/>
      </w:r>
      <w:r>
        <w:rPr>
          <w:rFonts w:ascii="Times New Roman" w:cs="Times New Roman" w:eastAsia="Times New Roman" w:hAnsi="Times New Roman"/>
          <w:sz w:val="13"/>
          <w:szCs w:val="13"/>
          <w:color w:val="auto"/>
        </w:rPr>
        <w:t>(8,469)</w:t>
      </w:r>
    </w:p>
    <w:p>
      <w:pPr>
        <w:spacing w:after="0" w:line="72" w:lineRule="exact"/>
        <w:rPr>
          <w:sz w:val="20"/>
          <w:szCs w:val="20"/>
          <w:color w:val="auto"/>
        </w:rPr>
      </w:pPr>
    </w:p>
    <w:p>
      <w:pPr>
        <w:ind w:left="1740" w:hanging="1069"/>
        <w:spacing w:after="0"/>
        <w:tabs>
          <w:tab w:leader="none" w:pos="174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(729)</w:t>
      </w:r>
    </w:p>
    <w:p>
      <w:pPr>
        <w:spacing w:after="0" w:line="72" w:lineRule="exact"/>
        <w:rPr>
          <w:rFonts w:ascii="Times New Roman" w:cs="Times New Roman" w:eastAsia="Times New Roman" w:hAnsi="Times New Roman"/>
          <w:sz w:val="13"/>
          <w:szCs w:val="13"/>
          <w:color w:val="auto"/>
        </w:rPr>
      </w:pPr>
    </w:p>
    <w:p>
      <w:pPr>
        <w:ind w:left="50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(12,579)(9,198)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1310640" cy="69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10640" cy="6985"/>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jc w:val="both"/>
        <w:ind w:left="500"/>
        <w:spacing w:after="0"/>
        <w:tabs>
          <w:tab w:leader="none" w:pos="1560" w:val="left"/>
        </w:tabs>
        <w:rPr>
          <w:sz w:val="20"/>
          <w:szCs w:val="20"/>
          <w:color w:val="auto"/>
        </w:rPr>
      </w:pPr>
      <w:r>
        <w:rPr>
          <w:rFonts w:ascii="Times New Roman" w:cs="Times New Roman" w:eastAsia="Times New Roman" w:hAnsi="Times New Roman"/>
          <w:sz w:val="13"/>
          <w:szCs w:val="13"/>
          <w:color w:val="auto"/>
        </w:rPr>
        <w:t>(22,263)</w:t>
      </w:r>
      <w:r>
        <w:rPr>
          <w:sz w:val="20"/>
          <w:szCs w:val="20"/>
          <w:color w:val="auto"/>
        </w:rPr>
        <w:tab/>
      </w:r>
      <w:r>
        <w:rPr>
          <w:rFonts w:ascii="Times New Roman" w:cs="Times New Roman" w:eastAsia="Times New Roman" w:hAnsi="Times New Roman"/>
          <w:sz w:val="13"/>
          <w:szCs w:val="13"/>
          <w:color w:val="auto"/>
        </w:rPr>
        <w:t>(21,373)</w:t>
      </w:r>
    </w:p>
    <w:p>
      <w:pPr>
        <w:spacing w:after="0" w:line="72" w:lineRule="exact"/>
        <w:rPr>
          <w:sz w:val="20"/>
          <w:szCs w:val="20"/>
          <w:color w:val="auto"/>
        </w:rPr>
      </w:pPr>
    </w:p>
    <w:p>
      <w:pPr>
        <w:ind w:left="540"/>
        <w:spacing w:after="0"/>
        <w:tabs>
          <w:tab w:leader="none" w:pos="1680" w:val="left"/>
        </w:tabs>
        <w:rPr>
          <w:sz w:val="20"/>
          <w:szCs w:val="20"/>
          <w:color w:val="auto"/>
        </w:rPr>
      </w:pPr>
      <w:r>
        <w:rPr>
          <w:rFonts w:ascii="Times New Roman" w:cs="Times New Roman" w:eastAsia="Times New Roman" w:hAnsi="Times New Roman"/>
          <w:sz w:val="13"/>
          <w:szCs w:val="13"/>
          <w:color w:val="auto"/>
        </w:rPr>
        <w:t>17,317</w:t>
      </w:r>
      <w:r>
        <w:rPr>
          <w:sz w:val="20"/>
          <w:szCs w:val="20"/>
          <w:color w:val="auto"/>
        </w:rPr>
        <w:tab/>
      </w:r>
      <w:r>
        <w:rPr>
          <w:rFonts w:ascii="Times New Roman" w:cs="Times New Roman" w:eastAsia="Times New Roman" w:hAnsi="Times New Roman"/>
          <w:sz w:val="13"/>
          <w:szCs w:val="13"/>
          <w:color w:val="auto"/>
        </w:rPr>
        <w:t>9,948</w:t>
      </w:r>
    </w:p>
    <w:p>
      <w:pPr>
        <w:spacing w:after="0" w:line="72" w:lineRule="exact"/>
        <w:rPr>
          <w:sz w:val="20"/>
          <w:szCs w:val="20"/>
          <w:color w:val="auto"/>
        </w:rPr>
      </w:pPr>
    </w:p>
    <w:p>
      <w:pPr>
        <w:ind w:left="620"/>
        <w:spacing w:after="0"/>
        <w:tabs>
          <w:tab w:leader="none" w:pos="1600" w:val="left"/>
        </w:tabs>
        <w:rPr>
          <w:sz w:val="20"/>
          <w:szCs w:val="20"/>
          <w:color w:val="auto"/>
        </w:rPr>
      </w:pPr>
      <w:r>
        <w:rPr>
          <w:rFonts w:ascii="Times New Roman" w:cs="Times New Roman" w:eastAsia="Times New Roman" w:hAnsi="Times New Roman"/>
          <w:sz w:val="13"/>
          <w:szCs w:val="13"/>
          <w:color w:val="auto"/>
        </w:rPr>
        <w:t>5,737</w:t>
      </w:r>
      <w:r>
        <w:rPr>
          <w:sz w:val="20"/>
          <w:szCs w:val="20"/>
          <w:color w:val="auto"/>
        </w:rPr>
        <w:tab/>
      </w:r>
      <w:r>
        <w:rPr>
          <w:rFonts w:ascii="Times New Roman" w:cs="Times New Roman" w:eastAsia="Times New Roman" w:hAnsi="Times New Roman"/>
          <w:sz w:val="13"/>
          <w:szCs w:val="13"/>
          <w:color w:val="auto"/>
        </w:rPr>
        <w:t>17,439</w:t>
      </w:r>
    </w:p>
    <w:p>
      <w:pPr>
        <w:spacing w:after="0" w:line="72" w:lineRule="exact"/>
        <w:rPr>
          <w:sz w:val="20"/>
          <w:szCs w:val="20"/>
          <w:color w:val="auto"/>
        </w:rPr>
      </w:pPr>
    </w:p>
    <w:p>
      <w:pPr>
        <w:jc w:val="both"/>
        <w:ind w:left="580"/>
        <w:spacing w:after="0"/>
        <w:tabs>
          <w:tab w:leader="none" w:pos="1560" w:val="left"/>
        </w:tabs>
        <w:rPr>
          <w:sz w:val="20"/>
          <w:szCs w:val="20"/>
          <w:color w:val="auto"/>
        </w:rPr>
      </w:pPr>
      <w:r>
        <w:rPr>
          <w:rFonts w:ascii="Times New Roman" w:cs="Times New Roman" w:eastAsia="Times New Roman" w:hAnsi="Times New Roman"/>
          <w:sz w:val="13"/>
          <w:szCs w:val="13"/>
          <w:color w:val="auto"/>
        </w:rPr>
        <w:t>(5,688)</w:t>
      </w:r>
      <w:r>
        <w:rPr>
          <w:sz w:val="20"/>
          <w:szCs w:val="20"/>
          <w:color w:val="auto"/>
        </w:rPr>
        <w:tab/>
      </w:r>
      <w:r>
        <w:rPr>
          <w:rFonts w:ascii="Times New Roman" w:cs="Times New Roman" w:eastAsia="Times New Roman" w:hAnsi="Times New Roman"/>
          <w:sz w:val="13"/>
          <w:szCs w:val="13"/>
          <w:color w:val="auto"/>
        </w:rPr>
        <w:t>(57,314)</w:t>
      </w:r>
    </w:p>
    <w:p>
      <w:pPr>
        <w:spacing w:after="0" w:line="72" w:lineRule="exact"/>
        <w:rPr>
          <w:sz w:val="20"/>
          <w:szCs w:val="20"/>
          <w:color w:val="auto"/>
        </w:rPr>
      </w:pPr>
    </w:p>
    <w:p>
      <w:pPr>
        <w:jc w:val="both"/>
        <w:ind w:left="580"/>
        <w:spacing w:after="0"/>
        <w:tabs>
          <w:tab w:leader="none" w:pos="1620" w:val="left"/>
        </w:tabs>
        <w:rPr>
          <w:sz w:val="20"/>
          <w:szCs w:val="20"/>
          <w:color w:val="auto"/>
        </w:rPr>
      </w:pPr>
      <w:r>
        <w:rPr>
          <w:rFonts w:ascii="Times New Roman" w:cs="Times New Roman" w:eastAsia="Times New Roman" w:hAnsi="Times New Roman"/>
          <w:sz w:val="13"/>
          <w:szCs w:val="13"/>
          <w:color w:val="auto"/>
        </w:rPr>
        <w:t>(5,154)</w:t>
      </w:r>
      <w:r>
        <w:rPr>
          <w:sz w:val="20"/>
          <w:szCs w:val="20"/>
          <w:color w:val="auto"/>
        </w:rPr>
        <w:tab/>
      </w:r>
      <w:r>
        <w:rPr>
          <w:rFonts w:ascii="Times New Roman" w:cs="Times New Roman" w:eastAsia="Times New Roman" w:hAnsi="Times New Roman"/>
          <w:sz w:val="13"/>
          <w:szCs w:val="13"/>
          <w:color w:val="auto"/>
        </w:rPr>
        <w:t>(2,342)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31750</wp:posOffset>
            </wp:positionV>
            <wp:extent cx="1310640" cy="6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10640" cy="6985"/>
                    </a:xfrm>
                    <a:prstGeom prst="rect">
                      <a:avLst/>
                    </a:prstGeom>
                    <a:noFill/>
                  </pic:spPr>
                </pic:pic>
              </a:graphicData>
            </a:graphic>
          </wp:anchor>
        </w:drawing>
      </w:r>
    </w:p>
    <w:p>
      <w:pPr>
        <w:spacing w:after="0" w:line="52" w:lineRule="exact"/>
        <w:rPr>
          <w:sz w:val="20"/>
          <w:szCs w:val="20"/>
          <w:color w:val="auto"/>
        </w:rPr>
      </w:pPr>
    </w:p>
    <w:p>
      <w:pPr>
        <w:jc w:val="both"/>
        <w:ind w:left="500"/>
        <w:spacing w:after="0"/>
        <w:tabs>
          <w:tab w:leader="none" w:pos="1560" w:val="left"/>
        </w:tabs>
        <w:rPr>
          <w:sz w:val="20"/>
          <w:szCs w:val="20"/>
          <w:color w:val="auto"/>
        </w:rPr>
      </w:pPr>
      <w:r>
        <w:rPr>
          <w:rFonts w:ascii="Times New Roman" w:cs="Times New Roman" w:eastAsia="Times New Roman" w:hAnsi="Times New Roman"/>
          <w:sz w:val="13"/>
          <w:szCs w:val="13"/>
          <w:color w:val="auto"/>
        </w:rPr>
        <w:t>(10,051)</w:t>
      </w:r>
      <w:r>
        <w:rPr>
          <w:sz w:val="20"/>
          <w:szCs w:val="20"/>
          <w:color w:val="auto"/>
        </w:rPr>
        <w:tab/>
      </w:r>
      <w:r>
        <w:rPr>
          <w:rFonts w:ascii="Times New Roman" w:cs="Times New Roman" w:eastAsia="Times New Roman" w:hAnsi="Times New Roman"/>
          <w:sz w:val="13"/>
          <w:szCs w:val="13"/>
          <w:color w:val="auto"/>
        </w:rPr>
        <w:t>(53,642)</w:t>
      </w:r>
    </w:p>
    <w:p>
      <w:pPr>
        <w:spacing w:after="0" w:line="305" w:lineRule="exact"/>
        <w:rPr>
          <w:sz w:val="20"/>
          <w:szCs w:val="20"/>
          <w:color w:val="auto"/>
        </w:rPr>
      </w:pPr>
    </w:p>
    <w:p>
      <w:pPr>
        <w:ind w:left="1700" w:hanging="1029"/>
        <w:spacing w:after="0"/>
        <w:tabs>
          <w:tab w:leader="none" w:pos="170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1,763</w:t>
      </w:r>
    </w:p>
    <w:p>
      <w:pPr>
        <w:spacing w:after="0" w:line="317" w:lineRule="exact"/>
        <w:rPr>
          <w:sz w:val="20"/>
          <w:szCs w:val="20"/>
          <w:color w:val="auto"/>
        </w:rPr>
      </w:pPr>
    </w:p>
    <w:p>
      <w:pPr>
        <w:jc w:val="both"/>
        <w:ind w:left="540"/>
        <w:spacing w:after="0"/>
        <w:tabs>
          <w:tab w:leader="none" w:pos="1560" w:val="left"/>
        </w:tabs>
        <w:rPr>
          <w:sz w:val="20"/>
          <w:szCs w:val="20"/>
          <w:color w:val="auto"/>
        </w:rPr>
      </w:pPr>
      <w:r>
        <w:rPr>
          <w:rFonts w:ascii="Times New Roman" w:cs="Times New Roman" w:eastAsia="Times New Roman" w:hAnsi="Times New Roman"/>
          <w:sz w:val="13"/>
          <w:szCs w:val="13"/>
          <w:color w:val="auto"/>
        </w:rPr>
        <w:t>20,782</w:t>
      </w:r>
      <w:r>
        <w:rPr>
          <w:sz w:val="20"/>
          <w:szCs w:val="20"/>
          <w:color w:val="auto"/>
        </w:rPr>
        <w:tab/>
      </w:r>
      <w:r>
        <w:rPr>
          <w:rFonts w:ascii="Times New Roman" w:cs="Times New Roman" w:eastAsia="Times New Roman" w:hAnsi="Times New Roman"/>
          <w:sz w:val="13"/>
          <w:szCs w:val="13"/>
          <w:color w:val="auto"/>
        </w:rPr>
        <w:t>(18,617)</w:t>
      </w:r>
    </w:p>
    <w:p>
      <w:pPr>
        <w:spacing w:after="0" w:line="72" w:lineRule="exact"/>
        <w:rPr>
          <w:sz w:val="20"/>
          <w:szCs w:val="20"/>
          <w:color w:val="auto"/>
        </w:rPr>
      </w:pPr>
    </w:p>
    <w:p>
      <w:pPr>
        <w:ind w:left="480"/>
        <w:spacing w:after="0"/>
        <w:tabs>
          <w:tab w:leader="none" w:pos="1540" w:val="left"/>
        </w:tabs>
        <w:rPr>
          <w:sz w:val="20"/>
          <w:szCs w:val="20"/>
          <w:color w:val="auto"/>
        </w:rPr>
      </w:pPr>
      <w:r>
        <w:rPr>
          <w:rFonts w:ascii="Times New Roman" w:cs="Times New Roman" w:eastAsia="Times New Roman" w:hAnsi="Times New Roman"/>
          <w:sz w:val="13"/>
          <w:szCs w:val="13"/>
          <w:color w:val="auto"/>
        </w:rPr>
        <w:t>181,427</w:t>
      </w:r>
      <w:r>
        <w:rPr>
          <w:sz w:val="20"/>
          <w:szCs w:val="20"/>
          <w:color w:val="auto"/>
        </w:rPr>
        <w:tab/>
      </w:r>
      <w:r>
        <w:rPr>
          <w:rFonts w:ascii="Times New Roman" w:cs="Times New Roman" w:eastAsia="Times New Roman" w:hAnsi="Times New Roman"/>
          <w:sz w:val="13"/>
          <w:szCs w:val="13"/>
          <w:color w:val="auto"/>
        </w:rPr>
        <w:t>133,944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31750</wp:posOffset>
            </wp:positionV>
            <wp:extent cx="1310640" cy="69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310640" cy="69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20" w:space="720"/>
            <w:col w:w="4299"/>
          </w:cols>
          <w:pgMar w:left="220" w:top="504" w:right="1440" w:bottom="1440" w:gutter="0" w:footer="0" w:header="0"/>
        </w:sectPr>
      </w:pPr>
    </w:p>
    <w:p>
      <w:pPr>
        <w:spacing w:after="0" w:line="105" w:lineRule="exact"/>
        <w:rPr>
          <w:sz w:val="20"/>
          <w:szCs w:val="20"/>
          <w:color w:val="auto"/>
        </w:rPr>
      </w:pPr>
    </w:p>
    <w:p>
      <w:pPr>
        <w:ind w:left="40"/>
        <w:spacing w:after="0"/>
        <w:tabs>
          <w:tab w:leader="none" w:pos="5940" w:val="left"/>
          <w:tab w:leader="none" w:pos="6400" w:val="left"/>
          <w:tab w:leader="none" w:pos="7020" w:val="left"/>
          <w:tab w:leader="none" w:pos="7480" w:val="left"/>
        </w:tabs>
        <w:rPr>
          <w:sz w:val="20"/>
          <w:szCs w:val="20"/>
          <w:color w:val="auto"/>
        </w:rPr>
      </w:pPr>
      <w:r>
        <w:rPr>
          <w:rFonts w:ascii="Times New Roman" w:cs="Times New Roman" w:eastAsia="Times New Roman" w:hAnsi="Times New Roman"/>
          <w:sz w:val="13"/>
          <w:szCs w:val="13"/>
          <w:color w:val="auto"/>
        </w:rPr>
        <w:t>Cash and cash equivalents, end of period</w:t>
      </w:r>
      <w:r>
        <w:rPr>
          <w:sz w:val="20"/>
          <w:szCs w:val="20"/>
          <w:color w:val="auto"/>
        </w:rPr>
        <w:tab/>
      </w:r>
      <w:r>
        <w:rPr>
          <w:rFonts w:ascii="Times New Roman" w:cs="Times New Roman" w:eastAsia="Times New Roman" w:hAnsi="Times New Roman"/>
          <w:sz w:val="13"/>
          <w:szCs w:val="13"/>
          <w:color w:val="auto"/>
        </w:rPr>
        <w:t>$</w:t>
      </w:r>
      <w:r>
        <w:rPr>
          <w:sz w:val="20"/>
          <w:szCs w:val="20"/>
          <w:color w:val="auto"/>
        </w:rPr>
        <w:tab/>
      </w:r>
      <w:r>
        <w:rPr>
          <w:rFonts w:ascii="Times New Roman" w:cs="Times New Roman" w:eastAsia="Times New Roman" w:hAnsi="Times New Roman"/>
          <w:sz w:val="13"/>
          <w:szCs w:val="13"/>
          <w:color w:val="auto"/>
        </w:rPr>
        <w:t>202,209</w:t>
        <w:tab/>
        <w:t>$</w:t>
      </w:r>
      <w:r>
        <w:rPr>
          <w:sz w:val="20"/>
          <w:szCs w:val="20"/>
          <w:color w:val="auto"/>
        </w:rPr>
        <w:tab/>
      </w:r>
      <w:r>
        <w:rPr>
          <w:rFonts w:ascii="Times New Roman" w:cs="Times New Roman" w:eastAsia="Times New Roman" w:hAnsi="Times New Roman"/>
          <w:sz w:val="13"/>
          <w:szCs w:val="13"/>
          <w:color w:val="auto"/>
        </w:rPr>
        <w:t>115,327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45720</wp:posOffset>
            </wp:positionV>
            <wp:extent cx="1310640" cy="6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10640" cy="6985"/>
                    </a:xfrm>
                    <a:prstGeom prst="rect">
                      <a:avLst/>
                    </a:prstGeom>
                    <a:noFill/>
                  </pic:spPr>
                </pic:pic>
              </a:graphicData>
            </a:graphic>
          </wp:anchor>
        </w:drawing>
      </w:r>
    </w:p>
    <w:p>
      <w:pPr>
        <w:sectPr>
          <w:pgSz w:w="11900" w:h="16838" w:orient="portrait"/>
          <w:cols w:equalWidth="0" w:num="1">
            <w:col w:w="10239"/>
          </w:cols>
          <w:pgMar w:left="220" w:top="504" w:right="1440"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3"/>
          <w:szCs w:val="13"/>
          <w:b w:val="1"/>
          <w:bCs w:val="1"/>
          <w:color w:val="auto"/>
        </w:rPr>
        <w:t>BRADY CORPORATION AND SUBSIDIARIES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SEGMENT INFORMATION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(Unaudited; Dollars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40" w:type="dxa"/>
            <w:vAlign w:val="bottom"/>
            <w:gridSpan w:val="5"/>
          </w:tcPr>
          <w:p>
            <w:pPr>
              <w:ind w:left="80"/>
              <w:spacing w:after="0"/>
              <w:rPr>
                <w:sz w:val="20"/>
                <w:szCs w:val="20"/>
                <w:color w:val="auto"/>
              </w:rPr>
            </w:pPr>
            <w:r>
              <w:rPr>
                <w:rFonts w:ascii="Times New Roman" w:cs="Times New Roman" w:eastAsia="Times New Roman" w:hAnsi="Times New Roman"/>
                <w:sz w:val="13"/>
                <w:szCs w:val="13"/>
                <w:color w:val="auto"/>
              </w:rPr>
              <w:t>Three months ended January 31,</w:t>
            </w:r>
          </w:p>
        </w:tc>
        <w:tc>
          <w:tcPr>
            <w:tcW w:w="200" w:type="dxa"/>
            <w:vAlign w:val="bottom"/>
          </w:tcPr>
          <w:p>
            <w:pPr>
              <w:spacing w:after="0"/>
              <w:rPr>
                <w:sz w:val="15"/>
                <w:szCs w:val="15"/>
                <w:color w:val="auto"/>
              </w:rPr>
            </w:pPr>
          </w:p>
        </w:tc>
        <w:tc>
          <w:tcPr>
            <w:tcW w:w="2000" w:type="dxa"/>
            <w:vAlign w:val="bottom"/>
            <w:gridSpan w:val="4"/>
          </w:tcPr>
          <w:p>
            <w:pPr>
              <w:jc w:val="right"/>
              <w:ind w:right="233"/>
              <w:spacing w:after="0"/>
              <w:rPr>
                <w:sz w:val="20"/>
                <w:szCs w:val="20"/>
                <w:color w:val="auto"/>
              </w:rPr>
            </w:pPr>
            <w:r>
              <w:rPr>
                <w:rFonts w:ascii="Times New Roman" w:cs="Times New Roman" w:eastAsia="Times New Roman" w:hAnsi="Times New Roman"/>
                <w:sz w:val="13"/>
                <w:szCs w:val="13"/>
                <w:color w:val="auto"/>
              </w:rPr>
              <w:t>Six months ended January 31,</w:t>
            </w:r>
          </w:p>
        </w:tc>
      </w:tr>
      <w:tr>
        <w:trPr>
          <w:trHeight w:val="27"/>
        </w:trPr>
        <w:tc>
          <w:tcPr>
            <w:tcW w:w="34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86"/>
        </w:trPr>
        <w:tc>
          <w:tcPr>
            <w:tcW w:w="3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ind w:right="333"/>
              <w:spacing w:after="0"/>
              <w:rPr>
                <w:sz w:val="20"/>
                <w:szCs w:val="20"/>
                <w:color w:val="auto"/>
              </w:rPr>
            </w:pPr>
            <w:r>
              <w:rPr>
                <w:rFonts w:ascii="Times New Roman" w:cs="Times New Roman" w:eastAsia="Times New Roman" w:hAnsi="Times New Roman"/>
                <w:sz w:val="13"/>
                <w:szCs w:val="13"/>
                <w:color w:val="auto"/>
              </w:rPr>
              <w:t>2019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313"/>
              <w:spacing w:after="0"/>
              <w:rPr>
                <w:sz w:val="20"/>
                <w:szCs w:val="20"/>
                <w:color w:val="auto"/>
              </w:rPr>
            </w:pPr>
            <w:r>
              <w:rPr>
                <w:rFonts w:ascii="Times New Roman" w:cs="Times New Roman" w:eastAsia="Times New Roman" w:hAnsi="Times New Roman"/>
                <w:sz w:val="13"/>
                <w:szCs w:val="13"/>
                <w:color w:val="auto"/>
              </w:rPr>
              <w:t>2018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ind w:right="333"/>
              <w:spacing w:after="0"/>
              <w:rPr>
                <w:sz w:val="20"/>
                <w:szCs w:val="20"/>
                <w:color w:val="auto"/>
              </w:rPr>
            </w:pPr>
            <w:r>
              <w:rPr>
                <w:rFonts w:ascii="Times New Roman" w:cs="Times New Roman" w:eastAsia="Times New Roman" w:hAnsi="Times New Roman"/>
                <w:sz w:val="13"/>
                <w:szCs w:val="13"/>
                <w:color w:val="auto"/>
              </w:rPr>
              <w:t>2019</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333"/>
              <w:spacing w:after="0"/>
              <w:rPr>
                <w:sz w:val="20"/>
                <w:szCs w:val="20"/>
                <w:color w:val="auto"/>
              </w:rPr>
            </w:pPr>
            <w:r>
              <w:rPr>
                <w:rFonts w:ascii="Times New Roman" w:cs="Times New Roman" w:eastAsia="Times New Roman" w:hAnsi="Times New Roman"/>
                <w:sz w:val="13"/>
                <w:szCs w:val="13"/>
                <w:color w:val="auto"/>
              </w:rPr>
              <w:t>2018</w:t>
            </w:r>
          </w:p>
        </w:tc>
      </w:tr>
      <w:tr>
        <w:trPr>
          <w:trHeight w:val="27"/>
        </w:trPr>
        <w:tc>
          <w:tcPr>
            <w:tcW w:w="34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93"/>
        </w:trPr>
        <w:tc>
          <w:tcPr>
            <w:tcW w:w="3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3"/>
                <w:szCs w:val="13"/>
                <w:b w:val="1"/>
                <w:bCs w:val="1"/>
                <w:color w:val="auto"/>
              </w:rPr>
              <w:t>NET SALES</w:t>
            </w:r>
          </w:p>
        </w:tc>
        <w:tc>
          <w:tcPr>
            <w:tcW w:w="1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r>
      <w:tr>
        <w:trPr>
          <w:trHeight w:val="195"/>
        </w:trPr>
        <w:tc>
          <w:tcPr>
            <w:tcW w:w="346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ID Solutions</w:t>
            </w:r>
          </w:p>
        </w:tc>
        <w:tc>
          <w:tcPr>
            <w:tcW w:w="18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209,205</w:t>
            </w:r>
          </w:p>
        </w:tc>
        <w:tc>
          <w:tcPr>
            <w:tcW w:w="100" w:type="dxa"/>
            <w:vAlign w:val="bottom"/>
          </w:tcPr>
          <w:p>
            <w:pPr>
              <w:spacing w:after="0"/>
              <w:rPr>
                <w:sz w:val="16"/>
                <w:szCs w:val="16"/>
                <w:color w:val="auto"/>
              </w:rPr>
            </w:pPr>
          </w:p>
        </w:tc>
        <w:tc>
          <w:tcPr>
            <w:tcW w:w="24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206,432</w:t>
            </w:r>
          </w:p>
        </w:tc>
        <w:tc>
          <w:tcPr>
            <w:tcW w:w="100" w:type="dxa"/>
            <w:vAlign w:val="bottom"/>
          </w:tcPr>
          <w:p>
            <w:pPr>
              <w:spacing w:after="0"/>
              <w:rPr>
                <w:sz w:val="16"/>
                <w:szCs w:val="16"/>
                <w:color w:val="auto"/>
              </w:rPr>
            </w:pPr>
          </w:p>
        </w:tc>
        <w:tc>
          <w:tcPr>
            <w:tcW w:w="200" w:type="dxa"/>
            <w:vAlign w:val="bottom"/>
          </w:tcPr>
          <w:p>
            <w:pPr>
              <w:jc w:val="right"/>
              <w:ind w:right="53"/>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427,304</w:t>
            </w:r>
          </w:p>
        </w:tc>
        <w:tc>
          <w:tcPr>
            <w:tcW w:w="80" w:type="dxa"/>
            <w:vAlign w:val="bottom"/>
          </w:tcPr>
          <w:p>
            <w:pPr>
              <w:spacing w:after="0"/>
              <w:rPr>
                <w:sz w:val="16"/>
                <w:szCs w:val="16"/>
                <w:color w:val="auto"/>
              </w:rPr>
            </w:pPr>
          </w:p>
        </w:tc>
        <w:tc>
          <w:tcPr>
            <w:tcW w:w="24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416,137</w:t>
            </w:r>
          </w:p>
        </w:tc>
      </w:tr>
      <w:tr>
        <w:trPr>
          <w:trHeight w:val="27"/>
        </w:trPr>
        <w:tc>
          <w:tcPr>
            <w:tcW w:w="3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2"/>
        </w:trPr>
        <w:tc>
          <w:tcPr>
            <w:tcW w:w="34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Workplace Safety</w:t>
            </w: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73,221</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81,348</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148,318</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161,794</w:t>
            </w:r>
          </w:p>
        </w:tc>
      </w:tr>
      <w:tr>
        <w:trPr>
          <w:trHeight w:val="175"/>
        </w:trPr>
        <w:tc>
          <w:tcPr>
            <w:tcW w:w="346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Total</w:t>
            </w:r>
          </w:p>
        </w:tc>
        <w:tc>
          <w:tcPr>
            <w:tcW w:w="18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tcBorders>
          </w:tcPr>
          <w:p>
            <w:pPr>
              <w:jc w:val="right"/>
              <w:ind w:right="113"/>
              <w:spacing w:after="0"/>
              <w:rPr>
                <w:sz w:val="20"/>
                <w:szCs w:val="20"/>
                <w:color w:val="auto"/>
              </w:rPr>
            </w:pPr>
            <w:r>
              <w:rPr>
                <w:rFonts w:ascii="Times New Roman" w:cs="Times New Roman" w:eastAsia="Times New Roman" w:hAnsi="Times New Roman"/>
                <w:sz w:val="13"/>
                <w:szCs w:val="13"/>
                <w:color w:val="auto"/>
              </w:rPr>
              <w:t>282,426</w:t>
            </w:r>
          </w:p>
        </w:tc>
        <w:tc>
          <w:tcPr>
            <w:tcW w:w="100" w:type="dxa"/>
            <w:vAlign w:val="bottom"/>
          </w:tcPr>
          <w:p>
            <w:pPr>
              <w:spacing w:after="0"/>
              <w:rPr>
                <w:sz w:val="15"/>
                <w:szCs w:val="15"/>
                <w:color w:val="auto"/>
              </w:rPr>
            </w:pPr>
          </w:p>
        </w:tc>
        <w:tc>
          <w:tcPr>
            <w:tcW w:w="240" w:type="dxa"/>
            <w:vAlign w:val="bottom"/>
            <w:tcBorders>
              <w:top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color w:val="auto"/>
              </w:rPr>
              <w:t>287,780</w:t>
            </w:r>
          </w:p>
        </w:tc>
        <w:tc>
          <w:tcPr>
            <w:tcW w:w="100" w:type="dxa"/>
            <w:vAlign w:val="bottom"/>
          </w:tcPr>
          <w:p>
            <w:pPr>
              <w:spacing w:after="0"/>
              <w:rPr>
                <w:sz w:val="15"/>
                <w:szCs w:val="15"/>
                <w:color w:val="auto"/>
              </w:rPr>
            </w:pPr>
          </w:p>
        </w:tc>
        <w:tc>
          <w:tcPr>
            <w:tcW w:w="200" w:type="dxa"/>
            <w:vAlign w:val="bottom"/>
            <w:tcBorders>
              <w:top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tcBorders>
          </w:tcPr>
          <w:p>
            <w:pPr>
              <w:jc w:val="right"/>
              <w:ind w:right="113"/>
              <w:spacing w:after="0"/>
              <w:rPr>
                <w:sz w:val="20"/>
                <w:szCs w:val="20"/>
                <w:color w:val="auto"/>
              </w:rPr>
            </w:pPr>
            <w:r>
              <w:rPr>
                <w:rFonts w:ascii="Times New Roman" w:cs="Times New Roman" w:eastAsia="Times New Roman" w:hAnsi="Times New Roman"/>
                <w:sz w:val="13"/>
                <w:szCs w:val="13"/>
                <w:color w:val="auto"/>
              </w:rPr>
              <w:t>575,622</w:t>
            </w:r>
          </w:p>
        </w:tc>
        <w:tc>
          <w:tcPr>
            <w:tcW w:w="80" w:type="dxa"/>
            <w:vAlign w:val="bottom"/>
          </w:tcPr>
          <w:p>
            <w:pPr>
              <w:spacing w:after="0"/>
              <w:rPr>
                <w:sz w:val="15"/>
                <w:szCs w:val="15"/>
                <w:color w:val="auto"/>
              </w:rPr>
            </w:pPr>
          </w:p>
        </w:tc>
        <w:tc>
          <w:tcPr>
            <w:tcW w:w="240" w:type="dxa"/>
            <w:vAlign w:val="bottom"/>
            <w:tcBorders>
              <w:top w:val="single" w:sz="8" w:color="auto"/>
            </w:tcBorders>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top w:val="single" w:sz="8" w:color="auto"/>
            </w:tcBorders>
          </w:tcPr>
          <w:p>
            <w:pPr>
              <w:jc w:val="right"/>
              <w:ind w:right="113"/>
              <w:spacing w:after="0"/>
              <w:rPr>
                <w:sz w:val="20"/>
                <w:szCs w:val="20"/>
                <w:color w:val="auto"/>
              </w:rPr>
            </w:pPr>
            <w:r>
              <w:rPr>
                <w:rFonts w:ascii="Times New Roman" w:cs="Times New Roman" w:eastAsia="Times New Roman" w:hAnsi="Times New Roman"/>
                <w:sz w:val="13"/>
                <w:szCs w:val="13"/>
                <w:color w:val="auto"/>
              </w:rPr>
              <w:t>577,931</w:t>
            </w:r>
          </w:p>
        </w:tc>
      </w:tr>
      <w:tr>
        <w:trPr>
          <w:trHeight w:val="67"/>
        </w:trPr>
        <w:tc>
          <w:tcPr>
            <w:tcW w:w="346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r>
      <w:tr>
        <w:trPr>
          <w:trHeight w:val="206"/>
        </w:trPr>
        <w:tc>
          <w:tcPr>
            <w:tcW w:w="3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bl>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34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SALES INFORMATION</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40" w:type="dxa"/>
            <w:vAlign w:val="bottom"/>
            <w:tcBorders>
              <w:bottom w:val="single" w:sz="8" w:color="CCEEFF"/>
            </w:tcBorders>
            <w:shd w:val="clear" w:color="auto" w:fill="CCEEFF"/>
          </w:tcPr>
          <w:p>
            <w:pPr>
              <w:spacing w:after="0"/>
              <w:rPr>
                <w:sz w:val="17"/>
                <w:szCs w:val="17"/>
                <w:color w:val="auto"/>
              </w:rPr>
            </w:pPr>
          </w:p>
        </w:tc>
        <w:tc>
          <w:tcPr>
            <w:tcW w:w="34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3"/>
                <w:szCs w:val="13"/>
                <w:b w:val="1"/>
                <w:bCs w:val="1"/>
                <w:i w:val="1"/>
                <w:iCs w:val="1"/>
                <w:color w:val="auto"/>
                <w:shd w:val="clear" w:color="auto" w:fill="CCEEFF"/>
              </w:rPr>
              <w:t>ID Solutions</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3420" w:type="dxa"/>
            <w:vAlign w:val="bottom"/>
            <w:gridSpan w:val="3"/>
          </w:tcPr>
          <w:p>
            <w:pPr>
              <w:ind w:left="280"/>
              <w:spacing w:after="0"/>
              <w:rPr>
                <w:sz w:val="20"/>
                <w:szCs w:val="20"/>
                <w:color w:val="auto"/>
              </w:rPr>
            </w:pPr>
            <w:r>
              <w:rPr>
                <w:rFonts w:ascii="Times New Roman" w:cs="Times New Roman" w:eastAsia="Times New Roman" w:hAnsi="Times New Roman"/>
                <w:sz w:val="13"/>
                <w:szCs w:val="13"/>
                <w:color w:val="auto"/>
              </w:rPr>
              <w:t>Organic</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3.6 %</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4.7 %</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4.6 %</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3.8 %</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31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shd w:val="clear" w:color="auto" w:fill="CCEEFF"/>
              </w:rPr>
              <w:t>Currency</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3.4 %</w:t>
            </w: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2.3 %</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3420" w:type="dxa"/>
            <w:vAlign w:val="bottom"/>
            <w:gridSpan w:val="3"/>
          </w:tcPr>
          <w:p>
            <w:pPr>
              <w:ind w:left="280"/>
              <w:spacing w:after="0"/>
              <w:rPr>
                <w:sz w:val="20"/>
                <w:szCs w:val="20"/>
                <w:color w:val="auto"/>
              </w:rPr>
            </w:pPr>
            <w:r>
              <w:rPr>
                <w:rFonts w:ascii="Times New Roman" w:cs="Times New Roman" w:eastAsia="Times New Roman" w:hAnsi="Times New Roman"/>
                <w:sz w:val="13"/>
                <w:szCs w:val="13"/>
                <w:color w:val="auto"/>
              </w:rPr>
              <w:t>Total</w:t>
            </w:r>
          </w:p>
        </w:tc>
        <w:tc>
          <w:tcPr>
            <w:tcW w:w="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1.3 %</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8.1 %</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2.7 %</w:t>
            </w:r>
          </w:p>
        </w:tc>
        <w:tc>
          <w:tcPr>
            <w:tcW w:w="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6.1 %</w:t>
            </w: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280" w:type="dxa"/>
            <w:vAlign w:val="bottom"/>
            <w:tcBorders>
              <w:bottom w:val="single" w:sz="8" w:color="CCEEFF"/>
            </w:tcBorders>
          </w:tcPr>
          <w:p>
            <w:pPr>
              <w:spacing w:after="0"/>
              <w:rPr>
                <w:sz w:val="5"/>
                <w:szCs w:val="5"/>
                <w:color w:val="auto"/>
              </w:rPr>
            </w:pPr>
          </w:p>
        </w:tc>
        <w:tc>
          <w:tcPr>
            <w:tcW w:w="260" w:type="dxa"/>
            <w:vAlign w:val="bottom"/>
            <w:tcBorders>
              <w:bottom w:val="single" w:sz="8" w:color="CCEEFF"/>
            </w:tcBorders>
          </w:tcPr>
          <w:p>
            <w:pPr>
              <w:spacing w:after="0"/>
              <w:rPr>
                <w:sz w:val="5"/>
                <w:szCs w:val="5"/>
                <w:color w:val="auto"/>
              </w:rPr>
            </w:pPr>
          </w:p>
        </w:tc>
        <w:tc>
          <w:tcPr>
            <w:tcW w:w="2880" w:type="dxa"/>
            <w:vAlign w:val="bottom"/>
            <w:tcBorders>
              <w:bottom w:val="single" w:sz="8" w:color="CCEEFF"/>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40" w:type="dxa"/>
            <w:vAlign w:val="bottom"/>
            <w:tcBorders>
              <w:bottom w:val="single" w:sz="8" w:color="CCEEFF"/>
            </w:tcBorders>
          </w:tcPr>
          <w:p>
            <w:pPr>
              <w:spacing w:after="0"/>
              <w:rPr>
                <w:sz w:val="5"/>
                <w:szCs w:val="5"/>
                <w:color w:val="auto"/>
              </w:rPr>
            </w:pPr>
          </w:p>
        </w:tc>
        <w:tc>
          <w:tcPr>
            <w:tcW w:w="6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40" w:type="dxa"/>
            <w:vAlign w:val="bottom"/>
            <w:tcBorders>
              <w:bottom w:val="single" w:sz="8" w:color="CCEEFF"/>
            </w:tcBorders>
          </w:tcPr>
          <w:p>
            <w:pPr>
              <w:spacing w:after="0"/>
              <w:rPr>
                <w:sz w:val="5"/>
                <w:szCs w:val="5"/>
                <w:color w:val="auto"/>
              </w:rPr>
            </w:pPr>
          </w:p>
        </w:tc>
        <w:tc>
          <w:tcPr>
            <w:tcW w:w="6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9"/>
        </w:trPr>
        <w:tc>
          <w:tcPr>
            <w:tcW w:w="40" w:type="dxa"/>
            <w:vAlign w:val="bottom"/>
            <w:shd w:val="clear" w:color="auto" w:fill="CCEEFF"/>
          </w:tcPr>
          <w:p>
            <w:pPr>
              <w:spacing w:after="0"/>
              <w:rPr>
                <w:sz w:val="11"/>
                <w:szCs w:val="11"/>
                <w:color w:val="auto"/>
              </w:rPr>
            </w:pPr>
          </w:p>
        </w:tc>
        <w:tc>
          <w:tcPr>
            <w:tcW w:w="3420" w:type="dxa"/>
            <w:vAlign w:val="bottom"/>
            <w:gridSpan w:val="3"/>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i w:val="1"/>
                <w:iCs w:val="1"/>
                <w:color w:val="auto"/>
                <w:shd w:val="clear" w:color="auto" w:fill="CCEEFF"/>
              </w:rPr>
              <w:t>Workplace Safety</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4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28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3420" w:type="dxa"/>
            <w:vAlign w:val="bottom"/>
            <w:gridSpan w:val="3"/>
          </w:tcPr>
          <w:p>
            <w:pPr>
              <w:ind w:left="280"/>
              <w:spacing w:after="0"/>
              <w:rPr>
                <w:sz w:val="20"/>
                <w:szCs w:val="20"/>
                <w:color w:val="auto"/>
              </w:rPr>
            </w:pPr>
            <w:r>
              <w:rPr>
                <w:rFonts w:ascii="Times New Roman" w:cs="Times New Roman" w:eastAsia="Times New Roman" w:hAnsi="Times New Roman"/>
                <w:sz w:val="13"/>
                <w:szCs w:val="13"/>
                <w:color w:val="auto"/>
              </w:rPr>
              <w:t>Organic</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(0.9)%</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(0.5)%</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0.6 %</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31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shd w:val="clear" w:color="auto" w:fill="CCEEFF"/>
              </w:rPr>
              <w:t>Currency</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6.1 %</w:t>
            </w:r>
          </w:p>
        </w:tc>
        <w:tc>
          <w:tcPr>
            <w:tcW w:w="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4.7 %</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3420" w:type="dxa"/>
            <w:vAlign w:val="bottom"/>
            <w:gridSpan w:val="3"/>
          </w:tcPr>
          <w:p>
            <w:pPr>
              <w:ind w:left="280"/>
              <w:spacing w:after="0"/>
              <w:rPr>
                <w:sz w:val="20"/>
                <w:szCs w:val="20"/>
                <w:color w:val="auto"/>
              </w:rPr>
            </w:pPr>
            <w:r>
              <w:rPr>
                <w:rFonts w:ascii="Times New Roman" w:cs="Times New Roman" w:eastAsia="Times New Roman" w:hAnsi="Times New Roman"/>
                <w:sz w:val="13"/>
                <w:szCs w:val="13"/>
                <w:color w:val="auto"/>
              </w:rPr>
              <w:t>Divestitures</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gridSpan w:val="3"/>
          </w:tcPr>
          <w:p>
            <w:pPr>
              <w:ind w:left="480"/>
              <w:spacing w:after="0"/>
              <w:rPr>
                <w:sz w:val="20"/>
                <w:szCs w:val="20"/>
                <w:color w:val="auto"/>
              </w:rPr>
            </w:pPr>
            <w:r>
              <w:rPr>
                <w:rFonts w:ascii="Times New Roman" w:cs="Times New Roman" w:eastAsia="Times New Roman" w:hAnsi="Times New Roman"/>
                <w:sz w:val="13"/>
                <w:szCs w:val="13"/>
                <w:color w:val="auto"/>
              </w:rPr>
              <w:t>— %</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8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40" w:type="dxa"/>
            <w:vAlign w:val="bottom"/>
            <w:tcBorders>
              <w:bottom w:val="single" w:sz="8" w:color="CCEEFF"/>
            </w:tcBorders>
            <w:shd w:val="clear" w:color="auto" w:fill="CCEEFF"/>
          </w:tcPr>
          <w:p>
            <w:pPr>
              <w:spacing w:after="0"/>
              <w:rPr>
                <w:sz w:val="17"/>
                <w:szCs w:val="17"/>
                <w:color w:val="auto"/>
              </w:rPr>
            </w:pPr>
          </w:p>
        </w:tc>
        <w:tc>
          <w:tcPr>
            <w:tcW w:w="342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5.6 %</w:t>
            </w:r>
          </w:p>
        </w:tc>
        <w:tc>
          <w:tcPr>
            <w:tcW w:w="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w:t>
            </w: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3.7 %</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bottom w:val="single" w:sz="8" w:color="CCEEFF"/>
            </w:tcBorders>
            <w:vMerge w:val="restart"/>
          </w:tcPr>
          <w:p>
            <w:pPr>
              <w:spacing w:after="0" w:line="20" w:lineRule="exact"/>
              <w:rPr>
                <w:sz w:val="1"/>
                <w:szCs w:val="1"/>
                <w:color w:val="auto"/>
              </w:rPr>
            </w:pPr>
          </w:p>
        </w:tc>
        <w:tc>
          <w:tcPr>
            <w:tcW w:w="342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3"/>
                <w:szCs w:val="13"/>
                <w:b w:val="1"/>
                <w:bCs w:val="1"/>
                <w:i w:val="1"/>
                <w:iCs w:val="1"/>
                <w:color w:val="auto"/>
              </w:rPr>
              <w:t>Total Company</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40" w:type="dxa"/>
            <w:vAlign w:val="bottom"/>
            <w:vMerge w:val="continue"/>
          </w:tcPr>
          <w:p>
            <w:pPr>
              <w:spacing w:after="0"/>
              <w:rPr>
                <w:sz w:val="11"/>
                <w:szCs w:val="11"/>
                <w:color w:val="auto"/>
              </w:rPr>
            </w:pPr>
          </w:p>
        </w:tc>
        <w:tc>
          <w:tcPr>
            <w:tcW w:w="342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40" w:type="dxa"/>
            <w:vAlign w:val="bottom"/>
            <w:tcBorders>
              <w:bottom w:val="single" w:sz="8" w:color="CCEEFF"/>
            </w:tcBorders>
            <w:shd w:val="clear" w:color="auto" w:fill="CCEEFF"/>
          </w:tcPr>
          <w:p>
            <w:pPr>
              <w:spacing w:after="0"/>
              <w:rPr>
                <w:sz w:val="17"/>
                <w:szCs w:val="17"/>
                <w:color w:val="auto"/>
              </w:rPr>
            </w:pPr>
          </w:p>
        </w:tc>
        <w:tc>
          <w:tcPr>
            <w:tcW w:w="342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Organic</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2.3 %</w:t>
            </w:r>
          </w:p>
        </w:tc>
        <w:tc>
          <w:tcPr>
            <w:tcW w:w="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3.2 %</w:t>
            </w:r>
          </w:p>
        </w:tc>
        <w:tc>
          <w:tcPr>
            <w:tcW w:w="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3.5 %</w:t>
            </w: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2.4 %</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3420" w:type="dxa"/>
            <w:vAlign w:val="bottom"/>
            <w:gridSpan w:val="3"/>
          </w:tcPr>
          <w:p>
            <w:pPr>
              <w:ind w:left="280"/>
              <w:spacing w:after="0"/>
              <w:rPr>
                <w:sz w:val="20"/>
                <w:szCs w:val="20"/>
                <w:color w:val="auto"/>
              </w:rPr>
            </w:pPr>
            <w:r>
              <w:rPr>
                <w:rFonts w:ascii="Times New Roman" w:cs="Times New Roman" w:eastAsia="Times New Roman" w:hAnsi="Times New Roman"/>
                <w:sz w:val="13"/>
                <w:szCs w:val="13"/>
                <w:color w:val="auto"/>
              </w:rPr>
              <w:t>Currency</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4.2 %</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3.0 %</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40" w:type="dxa"/>
            <w:vAlign w:val="bottom"/>
            <w:tcBorders>
              <w:bottom w:val="single" w:sz="8" w:color="CCEEFF"/>
            </w:tcBorders>
            <w:shd w:val="clear" w:color="auto" w:fill="CCEEFF"/>
          </w:tcPr>
          <w:p>
            <w:pPr>
              <w:spacing w:after="0"/>
              <w:rPr>
                <w:sz w:val="19"/>
                <w:szCs w:val="19"/>
                <w:color w:val="auto"/>
              </w:rPr>
            </w:pPr>
          </w:p>
        </w:tc>
        <w:tc>
          <w:tcPr>
            <w:tcW w:w="342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Divestitures</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3"/>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 %</w:t>
            </w: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3420" w:type="dxa"/>
            <w:vAlign w:val="bottom"/>
            <w:gridSpan w:val="3"/>
          </w:tcPr>
          <w:p>
            <w:pPr>
              <w:ind w:left="280"/>
              <w:spacing w:after="0"/>
              <w:rPr>
                <w:sz w:val="20"/>
                <w:szCs w:val="20"/>
                <w:color w:val="auto"/>
              </w:rPr>
            </w:pPr>
            <w:r>
              <w:rPr>
                <w:rFonts w:ascii="Times New Roman" w:cs="Times New Roman" w:eastAsia="Times New Roman" w:hAnsi="Times New Roman"/>
                <w:sz w:val="13"/>
                <w:szCs w:val="13"/>
                <w:color w:val="auto"/>
              </w:rPr>
              <w:t>Total</w:t>
            </w:r>
          </w:p>
        </w:tc>
        <w:tc>
          <w:tcPr>
            <w:tcW w:w="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7.4 %</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(0.4)%</w:t>
            </w:r>
          </w:p>
        </w:tc>
        <w:tc>
          <w:tcPr>
            <w:tcW w:w="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5.4 %</w:t>
            </w: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280" w:type="dxa"/>
            <w:vAlign w:val="bottom"/>
            <w:tcBorders>
              <w:bottom w:val="single" w:sz="8" w:color="CCEEFF"/>
            </w:tcBorders>
          </w:tcPr>
          <w:p>
            <w:pPr>
              <w:spacing w:after="0"/>
              <w:rPr>
                <w:sz w:val="5"/>
                <w:szCs w:val="5"/>
                <w:color w:val="auto"/>
              </w:rPr>
            </w:pPr>
          </w:p>
        </w:tc>
        <w:tc>
          <w:tcPr>
            <w:tcW w:w="260" w:type="dxa"/>
            <w:vAlign w:val="bottom"/>
            <w:tcBorders>
              <w:bottom w:val="single" w:sz="8" w:color="CCEEFF"/>
            </w:tcBorders>
          </w:tcPr>
          <w:p>
            <w:pPr>
              <w:spacing w:after="0"/>
              <w:rPr>
                <w:sz w:val="5"/>
                <w:szCs w:val="5"/>
                <w:color w:val="auto"/>
              </w:rPr>
            </w:pPr>
          </w:p>
        </w:tc>
        <w:tc>
          <w:tcPr>
            <w:tcW w:w="2880" w:type="dxa"/>
            <w:vAlign w:val="bottom"/>
            <w:tcBorders>
              <w:bottom w:val="single" w:sz="8" w:color="CCEEFF"/>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40" w:type="dxa"/>
            <w:vAlign w:val="bottom"/>
            <w:tcBorders>
              <w:bottom w:val="single" w:sz="8" w:color="CCEEFF"/>
            </w:tcBorders>
          </w:tcPr>
          <w:p>
            <w:pPr>
              <w:spacing w:after="0"/>
              <w:rPr>
                <w:sz w:val="5"/>
                <w:szCs w:val="5"/>
                <w:color w:val="auto"/>
              </w:rPr>
            </w:pPr>
          </w:p>
        </w:tc>
        <w:tc>
          <w:tcPr>
            <w:tcW w:w="6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40" w:type="dxa"/>
            <w:vAlign w:val="bottom"/>
            <w:tcBorders>
              <w:bottom w:val="single" w:sz="8" w:color="CCEEFF"/>
            </w:tcBorders>
          </w:tcPr>
          <w:p>
            <w:pPr>
              <w:spacing w:after="0"/>
              <w:rPr>
                <w:sz w:val="5"/>
                <w:szCs w:val="5"/>
                <w:color w:val="auto"/>
              </w:rPr>
            </w:pPr>
          </w:p>
        </w:tc>
        <w:tc>
          <w:tcPr>
            <w:tcW w:w="6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6"/>
        </w:trPr>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34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SEGMENT PROFIT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31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shd w:val="clear" w:color="auto" w:fill="CCEEFF"/>
              </w:rPr>
              <w:t>ID Solutions</w:t>
            </w:r>
          </w:p>
        </w:tc>
        <w:tc>
          <w:tcPr>
            <w:tcW w:w="240" w:type="dxa"/>
            <w:vAlign w:val="bottom"/>
            <w:tcBorders>
              <w:bottom w:val="single" w:sz="8" w:color="CCEEFF"/>
            </w:tcBorders>
            <w:gridSpan w:val="2"/>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37,857</w:t>
            </w:r>
          </w:p>
        </w:tc>
        <w:tc>
          <w:tcPr>
            <w:tcW w:w="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gridSpan w:val="2"/>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34,088</w:t>
            </w:r>
          </w:p>
        </w:tc>
        <w:tc>
          <w:tcPr>
            <w:tcW w:w="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gridSpan w:val="2"/>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79,419</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gridSpan w:val="2"/>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69,925</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3420" w:type="dxa"/>
            <w:vAlign w:val="bottom"/>
            <w:gridSpan w:val="3"/>
          </w:tcPr>
          <w:p>
            <w:pPr>
              <w:ind w:left="280"/>
              <w:spacing w:after="0"/>
              <w:rPr>
                <w:sz w:val="20"/>
                <w:szCs w:val="20"/>
                <w:color w:val="auto"/>
              </w:rPr>
            </w:pPr>
            <w:r>
              <w:rPr>
                <w:rFonts w:ascii="Times New Roman" w:cs="Times New Roman" w:eastAsia="Times New Roman" w:hAnsi="Times New Roman"/>
                <w:sz w:val="13"/>
                <w:szCs w:val="13"/>
                <w:color w:val="auto"/>
              </w:rPr>
              <w:t>Workplace Safety</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4,661</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7,055</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10,202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113"/>
              <w:spacing w:after="0"/>
              <w:rPr>
                <w:sz w:val="20"/>
                <w:szCs w:val="20"/>
                <w:color w:val="auto"/>
              </w:rPr>
            </w:pPr>
            <w:r>
              <w:rPr>
                <w:rFonts w:ascii="Times New Roman" w:cs="Times New Roman" w:eastAsia="Times New Roman" w:hAnsi="Times New Roman"/>
                <w:sz w:val="13"/>
                <w:szCs w:val="13"/>
                <w:color w:val="auto"/>
              </w:rPr>
              <w:t>13,500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8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w w:val="87"/>
                <w:shd w:val="clear" w:color="auto" w:fill="CCEEFF"/>
              </w:rPr>
              <w:t>Total</w:t>
            </w:r>
          </w:p>
        </w:tc>
        <w:tc>
          <w:tcPr>
            <w:tcW w:w="28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gridSpan w:val="2"/>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42,518</w:t>
            </w:r>
          </w:p>
        </w:tc>
        <w:tc>
          <w:tcPr>
            <w:tcW w:w="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gridSpan w:val="2"/>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41,143</w:t>
            </w:r>
          </w:p>
        </w:tc>
        <w:tc>
          <w:tcPr>
            <w:tcW w:w="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gridSpan w:val="2"/>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89,621</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gridSpan w:val="2"/>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color w:val="auto"/>
              </w:rPr>
              <w:t>83,425</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0" w:type="dxa"/>
            <w:vAlign w:val="bottom"/>
            <w:tcBorders>
              <w:bottom w:val="single" w:sz="8" w:color="CCEEFF"/>
            </w:tcBorders>
            <w:shd w:val="clear" w:color="auto" w:fill="CCEEFF"/>
          </w:tcPr>
          <w:p>
            <w:pPr>
              <w:spacing w:after="0"/>
              <w:rPr>
                <w:sz w:val="17"/>
                <w:szCs w:val="17"/>
                <w:color w:val="auto"/>
              </w:rPr>
            </w:pPr>
          </w:p>
        </w:tc>
        <w:tc>
          <w:tcPr>
            <w:tcW w:w="34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SEGMENT PROFIT AS A PERCENT OF NET SALES</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3420" w:type="dxa"/>
            <w:vAlign w:val="bottom"/>
            <w:gridSpan w:val="3"/>
          </w:tcPr>
          <w:p>
            <w:pPr>
              <w:ind w:left="280"/>
              <w:spacing w:after="0"/>
              <w:rPr>
                <w:sz w:val="20"/>
                <w:szCs w:val="20"/>
                <w:color w:val="auto"/>
              </w:rPr>
            </w:pPr>
            <w:r>
              <w:rPr>
                <w:rFonts w:ascii="Times New Roman" w:cs="Times New Roman" w:eastAsia="Times New Roman" w:hAnsi="Times New Roman"/>
                <w:sz w:val="13"/>
                <w:szCs w:val="13"/>
                <w:color w:val="auto"/>
              </w:rPr>
              <w:t>ID Solutions</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18.1 %</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16.5 %</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18.6 %</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16.8 %</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40" w:type="dxa"/>
            <w:vAlign w:val="bottom"/>
            <w:tcBorders>
              <w:bottom w:val="single" w:sz="8" w:color="CCEEFF"/>
            </w:tcBorders>
            <w:shd w:val="clear" w:color="auto" w:fill="CCEEFF"/>
          </w:tcPr>
          <w:p>
            <w:pPr>
              <w:spacing w:after="0"/>
              <w:rPr>
                <w:sz w:val="19"/>
                <w:szCs w:val="19"/>
                <w:color w:val="auto"/>
              </w:rPr>
            </w:pPr>
          </w:p>
        </w:tc>
        <w:tc>
          <w:tcPr>
            <w:tcW w:w="342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Workplace Safety</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6.4 %</w:t>
            </w: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8.7 %</w:t>
            </w: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6.9 %</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8.3 %</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3420" w:type="dxa"/>
            <w:vAlign w:val="bottom"/>
            <w:gridSpan w:val="3"/>
          </w:tcPr>
          <w:p>
            <w:pPr>
              <w:ind w:left="280"/>
              <w:spacing w:after="0"/>
              <w:rPr>
                <w:sz w:val="20"/>
                <w:szCs w:val="20"/>
                <w:color w:val="auto"/>
              </w:rPr>
            </w:pPr>
            <w:r>
              <w:rPr>
                <w:rFonts w:ascii="Times New Roman" w:cs="Times New Roman" w:eastAsia="Times New Roman" w:hAnsi="Times New Roman"/>
                <w:sz w:val="13"/>
                <w:szCs w:val="13"/>
                <w:color w:val="auto"/>
              </w:rPr>
              <w:t>Total</w:t>
            </w:r>
          </w:p>
        </w:tc>
        <w:tc>
          <w:tcPr>
            <w:tcW w:w="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15.1 %</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14.3 %</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15.6 %</w:t>
            </w:r>
          </w:p>
        </w:tc>
        <w:tc>
          <w:tcPr>
            <w:tcW w:w="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14.4 %</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7"/>
        </w:trPr>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80" w:type="dxa"/>
            <w:vAlign w:val="bottom"/>
            <w:gridSpan w:val="8"/>
          </w:tcPr>
          <w:p>
            <w:pPr>
              <w:ind w:left="60"/>
              <w:spacing w:after="0"/>
              <w:rPr>
                <w:sz w:val="20"/>
                <w:szCs w:val="20"/>
                <w:color w:val="auto"/>
              </w:rPr>
            </w:pPr>
            <w:r>
              <w:rPr>
                <w:rFonts w:ascii="Times New Roman" w:cs="Times New Roman" w:eastAsia="Times New Roman" w:hAnsi="Times New Roman"/>
                <w:sz w:val="13"/>
                <w:szCs w:val="13"/>
                <w:color w:val="auto"/>
              </w:rPr>
              <w:t>Three months ended January 31,</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80" w:type="dxa"/>
            <w:vAlign w:val="bottom"/>
            <w:gridSpan w:val="5"/>
          </w:tcPr>
          <w:p>
            <w:pPr>
              <w:jc w:val="right"/>
              <w:ind w:right="213"/>
              <w:spacing w:after="0"/>
              <w:rPr>
                <w:sz w:val="20"/>
                <w:szCs w:val="20"/>
                <w:color w:val="auto"/>
              </w:rPr>
            </w:pPr>
            <w:r>
              <w:rPr>
                <w:rFonts w:ascii="Times New Roman" w:cs="Times New Roman" w:eastAsia="Times New Roman" w:hAnsi="Times New Roman"/>
                <w:sz w:val="13"/>
                <w:szCs w:val="13"/>
                <w:color w:val="auto"/>
              </w:rPr>
              <w:t>Six months ended January 31,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ind w:right="273"/>
              <w:spacing w:after="0"/>
              <w:rPr>
                <w:sz w:val="20"/>
                <w:szCs w:val="20"/>
                <w:color w:val="auto"/>
              </w:rPr>
            </w:pPr>
            <w:r>
              <w:rPr>
                <w:rFonts w:ascii="Times New Roman" w:cs="Times New Roman" w:eastAsia="Times New Roman" w:hAnsi="Times New Roman"/>
                <w:sz w:val="13"/>
                <w:szCs w:val="13"/>
                <w:color w:val="auto"/>
              </w:rPr>
              <w:t>2019</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293"/>
              <w:spacing w:after="0"/>
              <w:rPr>
                <w:sz w:val="20"/>
                <w:szCs w:val="20"/>
                <w:color w:val="auto"/>
              </w:rPr>
            </w:pPr>
            <w:r>
              <w:rPr>
                <w:rFonts w:ascii="Times New Roman" w:cs="Times New Roman" w:eastAsia="Times New Roman" w:hAnsi="Times New Roman"/>
                <w:sz w:val="13"/>
                <w:szCs w:val="13"/>
                <w:color w:val="auto"/>
              </w:rPr>
              <w:t>2018</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ind w:right="313"/>
              <w:spacing w:after="0"/>
              <w:rPr>
                <w:sz w:val="20"/>
                <w:szCs w:val="20"/>
                <w:color w:val="auto"/>
              </w:rPr>
            </w:pPr>
            <w:r>
              <w:rPr>
                <w:rFonts w:ascii="Times New Roman" w:cs="Times New Roman" w:eastAsia="Times New Roman" w:hAnsi="Times New Roman"/>
                <w:sz w:val="13"/>
                <w:szCs w:val="13"/>
                <w:color w:val="auto"/>
              </w:rPr>
              <w:t>2019</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313"/>
              <w:spacing w:after="0"/>
              <w:rPr>
                <w:sz w:val="20"/>
                <w:szCs w:val="20"/>
                <w:color w:val="auto"/>
              </w:rPr>
            </w:pPr>
            <w:r>
              <w:rPr>
                <w:rFonts w:ascii="Times New Roman" w:cs="Times New Roman" w:eastAsia="Times New Roman" w:hAnsi="Times New Roman"/>
                <w:sz w:val="13"/>
                <w:szCs w:val="13"/>
                <w:color w:val="auto"/>
              </w:rPr>
              <w:t>2018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8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40" w:type="dxa"/>
            <w:vAlign w:val="bottom"/>
            <w:tcBorders>
              <w:bottom w:val="single" w:sz="8" w:color="CCEEFF"/>
            </w:tcBorders>
            <w:shd w:val="clear" w:color="auto" w:fill="CCEEFF"/>
          </w:tcPr>
          <w:p>
            <w:pPr>
              <w:spacing w:after="0"/>
              <w:rPr>
                <w:sz w:val="15"/>
                <w:szCs w:val="15"/>
                <w:color w:val="auto"/>
              </w:rPr>
            </w:pPr>
          </w:p>
        </w:tc>
        <w:tc>
          <w:tcPr>
            <w:tcW w:w="34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segment profit</w:t>
            </w:r>
          </w:p>
        </w:tc>
        <w:tc>
          <w:tcPr>
            <w:tcW w:w="240" w:type="dxa"/>
            <w:vAlign w:val="bottom"/>
            <w:tcBorders>
              <w:bottom w:val="single" w:sz="8" w:color="CCEEFF"/>
            </w:tcBorders>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42,518</w:t>
            </w:r>
          </w:p>
        </w:tc>
        <w:tc>
          <w:tcPr>
            <w:tcW w:w="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gridSpan w:val="2"/>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41,143</w:t>
            </w:r>
          </w:p>
        </w:tc>
        <w:tc>
          <w:tcPr>
            <w:tcW w:w="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gridSpan w:val="2"/>
            <w:shd w:val="clear" w:color="auto" w:fill="CCEEFF"/>
          </w:tcPr>
          <w:p>
            <w:pPr>
              <w:jc w:val="right"/>
              <w:ind w:right="53"/>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89,621</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gridSpan w:val="2"/>
            <w:shd w:val="clear" w:color="auto" w:fill="CCEEFF"/>
          </w:tcPr>
          <w:p>
            <w:pPr>
              <w:jc w:val="right"/>
              <w:ind w:right="93"/>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83,425</w:t>
            </w: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34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Unallocated amounts:</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40" w:type="dxa"/>
            <w:vAlign w:val="bottom"/>
            <w:tcBorders>
              <w:bottom w:val="single" w:sz="8" w:color="CCEEFF"/>
            </w:tcBorders>
            <w:shd w:val="clear" w:color="auto" w:fill="CCEEFF"/>
          </w:tcPr>
          <w:p>
            <w:pPr>
              <w:spacing w:after="0"/>
              <w:rPr>
                <w:sz w:val="17"/>
                <w:szCs w:val="17"/>
                <w:color w:val="auto"/>
              </w:rPr>
            </w:pPr>
          </w:p>
        </w:tc>
        <w:tc>
          <w:tcPr>
            <w:tcW w:w="342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Administrative costs</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(6,488)</w:t>
            </w: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(6,347)</w:t>
            </w:r>
          </w:p>
        </w:tc>
        <w:tc>
          <w:tcPr>
            <w:tcW w:w="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(12,969)</w:t>
            </w: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(13,218)</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3420" w:type="dxa"/>
            <w:vAlign w:val="bottom"/>
            <w:gridSpan w:val="3"/>
          </w:tcPr>
          <w:p>
            <w:pPr>
              <w:ind w:left="280"/>
              <w:spacing w:after="0"/>
              <w:rPr>
                <w:sz w:val="20"/>
                <w:szCs w:val="20"/>
                <w:color w:val="auto"/>
              </w:rPr>
            </w:pPr>
            <w:r>
              <w:rPr>
                <w:rFonts w:ascii="Times New Roman" w:cs="Times New Roman" w:eastAsia="Times New Roman" w:hAnsi="Times New Roman"/>
                <w:sz w:val="13"/>
                <w:szCs w:val="13"/>
                <w:color w:val="auto"/>
              </w:rPr>
              <w:t>Investment and other income</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1,377</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1,056</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1,360</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31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shd w:val="clear" w:color="auto" w:fill="CCEEFF"/>
              </w:rPr>
              <w:t>Interest expense</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(717)</w:t>
            </w: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(829)</w:t>
            </w: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(1,429)</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(1,692)</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34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Earnings before income taxes</w:t>
            </w:r>
          </w:p>
        </w:tc>
        <w:tc>
          <w:tcPr>
            <w:tcW w:w="80" w:type="dxa"/>
            <w:vAlign w:val="bottom"/>
          </w:tcPr>
          <w:p>
            <w:pPr>
              <w:spacing w:after="0"/>
              <w:rPr>
                <w:sz w:val="15"/>
                <w:szCs w:val="15"/>
                <w:color w:val="auto"/>
              </w:rPr>
            </w:pPr>
          </w:p>
        </w:tc>
        <w:tc>
          <w:tcPr>
            <w:tcW w:w="16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36,690</w:t>
            </w:r>
          </w:p>
        </w:tc>
        <w:tc>
          <w:tcPr>
            <w:tcW w:w="4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Borders>
              <w:top w:val="single" w:sz="8" w:color="auto"/>
            </w:tcBorders>
          </w:tcPr>
          <w:p>
            <w:pPr>
              <w:jc w:val="right"/>
              <w:ind w:right="73"/>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35,023</w:t>
            </w:r>
          </w:p>
        </w:tc>
        <w:tc>
          <w:tcPr>
            <w:tcW w:w="4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top w:val="single" w:sz="8" w:color="auto"/>
            </w:tcBorders>
          </w:tcPr>
          <w:p>
            <w:pPr>
              <w:jc w:val="right"/>
              <w:ind w:right="53"/>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76,583</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Borders>
              <w:top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69,787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239"/>
          </w:cols>
          <w:pgMar w:left="220" w:top="504" w:right="1440" w:bottom="1440"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314325</wp:posOffset>
            </wp:positionV>
            <wp:extent cx="7212330" cy="55479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233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55549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2330" cy="5554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55479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233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55479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233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55479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233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55479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233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55479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233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55479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233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55479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233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55479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233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55479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233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55479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233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55479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233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55479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233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441325</wp:posOffset>
            </wp:positionV>
            <wp:extent cx="7212330" cy="55479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233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decimal"/>
      <w:start w:val="592"/>
    </w:lvl>
  </w:abstractNum>
  <w:abstractNum w:abstractNumId="3">
    <w:nsid w:val="238E1F29"/>
    <w:multiLevelType w:val="hybridMultilevel"/>
    <w:lvl w:ilvl="0">
      <w:lvlJc w:val="left"/>
      <w:lvlText w:val="(%1)"/>
      <w:numFmt w:val="decimal"/>
      <w:start w:val="452"/>
    </w:lvl>
  </w:abstractNum>
  <w:abstractNum w:abstractNumId="4">
    <w:nsid w:val="46E87CCD"/>
    <w:multiLevelType w:val="hybridMultilevel"/>
    <w:lvl w:ilvl="0">
      <w:lvlJc w:val="left"/>
      <w:lvlText w:val="(%1)"/>
      <w:numFmt w:val="decimal"/>
      <w:start w:val="776"/>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2019-12-28T16:17:56Z</dcterms:created>
  <dcterms:modified xsi:type="dcterms:W3CDTF">2019-12-28T16:17:56Z</dcterms:modified>
</cp:coreProperties>
</file>