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16,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5.02 DEPARTURE OF DIRECTORS OR CERTAIN OFFICERS; ELECTION OF DIRECTORS;</w:t>
        </w:r>
      </w:hyperlink>
    </w:p>
    <w:p>
      <w:pPr>
        <w:spacing w:after="0" w:line="2" w:lineRule="exact"/>
        <w:rPr>
          <w:sz w:val="20"/>
          <w:szCs w:val="20"/>
          <w:color w:val="auto"/>
        </w:rPr>
      </w:pPr>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APPOINTMENT OF CERTAIN OFFICERS; COMPENSATORY ARRANGEMENTS OF CERTAIN</w:t>
        </w:r>
      </w:hyperlink>
    </w:p>
    <w:p>
      <w:pPr>
        <w:ind w:left="320"/>
        <w:spacing w:after="0" w:line="232"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OFFICERS</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Press Release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40"/>
          </w:cols>
          <w:pgMar w:left="820" w:top="105" w:right="1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jc w:val="both"/>
        <w:ind w:right="300" w:firstLine="500"/>
        <w:spacing w:after="0"/>
        <w:rPr>
          <w:sz w:val="20"/>
          <w:szCs w:val="20"/>
          <w:color w:val="auto"/>
        </w:rPr>
      </w:pPr>
      <w:r>
        <w:rPr>
          <w:rFonts w:ascii="Arial" w:cs="Arial" w:eastAsia="Arial" w:hAnsi="Arial"/>
          <w:sz w:val="18"/>
          <w:szCs w:val="18"/>
          <w:color w:val="auto"/>
        </w:rPr>
        <w:t>On November 20, 2007, Brady Corporation (the “Corporation”) issued a press release announcing its fiscal 2008 first quarter financial results. A copy of the press release is being furnished to the Securities and Exchange Commission as Exhibit 99.1 attached herewith and is incorporated herein by reference.</w:t>
      </w:r>
    </w:p>
    <w:p>
      <w:pPr>
        <w:spacing w:after="0" w:line="20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89" w:lineRule="exact"/>
        <w:rPr>
          <w:sz w:val="20"/>
          <w:szCs w:val="20"/>
          <w:color w:val="auto"/>
        </w:rPr>
      </w:pPr>
    </w:p>
    <w:p>
      <w:pPr>
        <w:ind w:right="240" w:firstLine="8"/>
        <w:spacing w:after="0" w:line="246"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November 16, 2007, Directors Mary K. Bush, Peter J. Lettenberger, and Roger D. Peirce retired from the Corporation’s Board of Directors.</w:t>
      </w:r>
    </w:p>
    <w:p>
      <w:pPr>
        <w:spacing w:after="0" w:line="89" w:lineRule="exact"/>
        <w:rPr>
          <w:sz w:val="20"/>
          <w:szCs w:val="20"/>
          <w:color w:val="auto"/>
        </w:rPr>
      </w:pPr>
    </w:p>
    <w:p>
      <w:pPr>
        <w:ind w:right="580" w:firstLine="8"/>
        <w:spacing w:after="0" w:line="234"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November 16, 2007, at the Corporation’s Annual Shareholders’ Meeting, the holders of the Corporation’s Class B Common Stock elected Bradley C. Richardson to the Corporation’s Board of Directors. There was no arrangement or understanding pursuant to which</w:t>
      </w:r>
    </w:p>
    <w:p>
      <w:pPr>
        <w:spacing w:after="0" w:line="1" w:lineRule="exact"/>
        <w:rPr>
          <w:rFonts w:ascii="Arial" w:cs="Arial" w:eastAsia="Arial" w:hAnsi="Arial"/>
          <w:sz w:val="18"/>
          <w:szCs w:val="18"/>
          <w:color w:val="auto"/>
        </w:rPr>
      </w:pPr>
    </w:p>
    <w:p>
      <w:pPr>
        <w:ind w:right="80"/>
        <w:spacing w:after="0" w:line="238" w:lineRule="auto"/>
        <w:rPr>
          <w:rFonts w:ascii="Arial" w:cs="Arial" w:eastAsia="Arial" w:hAnsi="Arial"/>
          <w:sz w:val="18"/>
          <w:szCs w:val="18"/>
          <w:color w:val="auto"/>
        </w:rPr>
      </w:pPr>
      <w:r>
        <w:rPr>
          <w:rFonts w:ascii="Arial" w:cs="Arial" w:eastAsia="Arial" w:hAnsi="Arial"/>
          <w:sz w:val="18"/>
          <w:szCs w:val="18"/>
          <w:color w:val="auto"/>
        </w:rPr>
        <w:t>Mr. Richardson was elected director, and no related party transactions exist between the Corporation and Mr. Richardson. Mr. Richardson has been appointed to the Audit and Finance Committees of the Corporation’s Board of Directors. He is eligible to participate in the Corporation’s equity incentive and other benefit plans on a basis similar to other non-employee directors and, as such, will receive an award of 10,000 stock options on December 4, 2007. A copy of the press release relating to the election of Mr. Richardson to the Board of Directors is being provided to the Securities and Exchange Commission as Exhibit 99.2 attached herewith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14"/>
                <w:szCs w:val="14"/>
                <w:color w:val="auto"/>
              </w:rPr>
            </w:pPr>
          </w:p>
        </w:tc>
        <w:tc>
          <w:tcPr>
            <w:tcW w:w="10040" w:type="dxa"/>
            <w:vAlign w:val="bottom"/>
            <w:tcBorders>
              <w:bottom w:val="single" w:sz="8" w:color="auto"/>
            </w:tcBorders>
          </w:tcPr>
          <w:p>
            <w:pPr>
              <w:ind w:left="4340"/>
              <w:spacing w:after="0"/>
              <w:rPr>
                <w:sz w:val="20"/>
                <w:szCs w:val="20"/>
                <w:color w:val="auto"/>
              </w:rPr>
            </w:pPr>
            <w:r>
              <w:rPr>
                <w:rFonts w:ascii="Arial" w:cs="Arial" w:eastAsia="Arial" w:hAnsi="Arial"/>
                <w:sz w:val="14"/>
                <w:szCs w:val="14"/>
                <w:color w:val="auto"/>
              </w:rPr>
              <w:t>Description of Exhibit</w:t>
            </w:r>
          </w:p>
        </w:tc>
      </w:tr>
      <w:tr>
        <w:trPr>
          <w:trHeight w:val="398"/>
        </w:trPr>
        <w:tc>
          <w:tcPr>
            <w:tcW w:w="820" w:type="dxa"/>
            <w:vAlign w:val="bottom"/>
          </w:tcPr>
          <w:p>
            <w:pPr>
              <w:jc w:val="right"/>
              <w:ind w:right="376"/>
              <w:spacing w:after="0"/>
              <w:rPr>
                <w:sz w:val="20"/>
                <w:szCs w:val="20"/>
                <w:color w:val="auto"/>
              </w:rPr>
            </w:pPr>
            <w:r>
              <w:rPr>
                <w:rFonts w:ascii="Arial" w:cs="Arial" w:eastAsia="Arial" w:hAnsi="Arial"/>
                <w:sz w:val="18"/>
                <w:szCs w:val="18"/>
                <w:color w:val="auto"/>
                <w:w w:val="96"/>
              </w:rPr>
              <w:t>99.1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Brady Corporation, dated November 20, 2007, relating to the Corporation’s fiscal 2008 first quarter financial</w:t>
            </w:r>
          </w:p>
        </w:tc>
      </w:tr>
      <w:tr>
        <w:trPr>
          <w:trHeight w:val="217"/>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results.</w:t>
            </w:r>
          </w:p>
        </w:tc>
      </w:tr>
      <w:tr>
        <w:trPr>
          <w:trHeight w:val="391"/>
        </w:trPr>
        <w:tc>
          <w:tcPr>
            <w:tcW w:w="820" w:type="dxa"/>
            <w:vAlign w:val="bottom"/>
          </w:tcPr>
          <w:p>
            <w:pPr>
              <w:jc w:val="right"/>
              <w:ind w:right="376"/>
              <w:spacing w:after="0"/>
              <w:rPr>
                <w:sz w:val="20"/>
                <w:szCs w:val="20"/>
                <w:color w:val="auto"/>
              </w:rPr>
            </w:pPr>
            <w:r>
              <w:rPr>
                <w:rFonts w:ascii="Arial" w:cs="Arial" w:eastAsia="Arial" w:hAnsi="Arial"/>
                <w:sz w:val="18"/>
                <w:szCs w:val="18"/>
                <w:color w:val="auto"/>
                <w:w w:val="96"/>
              </w:rPr>
              <w:t>99.2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Brady Corporation, dated November 16, 2007, relating to the election of Bradley C. Richardson to the</w:t>
            </w:r>
          </w:p>
        </w:tc>
      </w:tr>
      <w:tr>
        <w:trPr>
          <w:trHeight w:val="217"/>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Corporation’s Board of Directors.</w:t>
            </w:r>
          </w:p>
        </w:tc>
      </w:tr>
      <w:tr>
        <w:trPr>
          <w:trHeight w:val="605"/>
        </w:trPr>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21, 2007</w:t>
      </w:r>
      <w:r>
        <w:rPr>
          <w:sz w:val="20"/>
          <w:szCs w:val="20"/>
          <w:color w:val="auto"/>
        </w:rPr>
        <w:tab/>
      </w:r>
      <w:r>
        <w:rPr>
          <w:rFonts w:ascii="Arial" w:cs="Arial" w:eastAsia="Arial" w:hAnsi="Arial"/>
          <w:sz w:val="17"/>
          <w:szCs w:val="17"/>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David Mathieson</w:t>
      </w:r>
    </w:p>
    <w:p>
      <w:pPr>
        <w:ind w:left="5500"/>
        <w:spacing w:after="0" w:line="234" w:lineRule="auto"/>
        <w:rPr>
          <w:sz w:val="20"/>
          <w:szCs w:val="20"/>
          <w:color w:val="auto"/>
        </w:rPr>
      </w:pPr>
      <w:r>
        <w:rPr>
          <w:rFonts w:ascii="Arial" w:cs="Arial" w:eastAsia="Arial" w:hAnsi="Arial"/>
          <w:sz w:val="18"/>
          <w:szCs w:val="18"/>
          <w:color w:val="auto"/>
        </w:rPr>
        <w:t>Senior Vice President &amp;</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40" w:type="dxa"/>
            <w:vAlign w:val="bottom"/>
          </w:tcPr>
          <w:p>
            <w:pPr>
              <w:ind w:left="3680"/>
              <w:spacing w:after="0"/>
              <w:rPr>
                <w:sz w:val="20"/>
                <w:szCs w:val="20"/>
                <w:color w:val="auto"/>
              </w:rPr>
            </w:pPr>
            <w:r>
              <w:rPr>
                <w:rFonts w:ascii="Arial" w:cs="Arial" w:eastAsia="Arial" w:hAnsi="Arial"/>
                <w:sz w:val="18"/>
                <w:szCs w:val="18"/>
                <w:color w:val="auto"/>
              </w:rPr>
              <w:t>EXHIBIT INDEX</w:t>
            </w:r>
          </w:p>
        </w:tc>
      </w:tr>
      <w:tr>
        <w:trPr>
          <w:trHeight w:val="351"/>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24"/>
                <w:szCs w:val="24"/>
                <w:color w:val="auto"/>
              </w:rPr>
            </w:pPr>
          </w:p>
        </w:tc>
        <w:tc>
          <w:tcPr>
            <w:tcW w:w="10040" w:type="dxa"/>
            <w:vAlign w:val="bottom"/>
            <w:tcBorders>
              <w:bottom w:val="single" w:sz="8" w:color="auto"/>
            </w:tcBorders>
          </w:tcPr>
          <w:p>
            <w:pPr>
              <w:ind w:left="4340"/>
              <w:spacing w:after="0"/>
              <w:rPr>
                <w:sz w:val="20"/>
                <w:szCs w:val="20"/>
                <w:color w:val="auto"/>
              </w:rPr>
            </w:pPr>
            <w:r>
              <w:rPr>
                <w:rFonts w:ascii="Arial" w:cs="Arial" w:eastAsia="Arial" w:hAnsi="Arial"/>
                <w:sz w:val="14"/>
                <w:szCs w:val="14"/>
                <w:color w:val="auto"/>
              </w:rPr>
              <w:t>Description of Exhibit</w:t>
            </w:r>
          </w:p>
        </w:tc>
      </w:tr>
      <w:tr>
        <w:trPr>
          <w:trHeight w:val="398"/>
        </w:trPr>
        <w:tc>
          <w:tcPr>
            <w:tcW w:w="820" w:type="dxa"/>
            <w:vAlign w:val="bottom"/>
          </w:tcPr>
          <w:p>
            <w:pPr>
              <w:jc w:val="right"/>
              <w:ind w:right="376"/>
              <w:spacing w:after="0"/>
              <w:rPr>
                <w:sz w:val="20"/>
                <w:szCs w:val="20"/>
                <w:color w:val="auto"/>
              </w:rPr>
            </w:pPr>
            <w:r>
              <w:rPr>
                <w:rFonts w:ascii="Arial" w:cs="Arial" w:eastAsia="Arial" w:hAnsi="Arial"/>
                <w:sz w:val="18"/>
                <w:szCs w:val="18"/>
                <w:color w:val="auto"/>
                <w:w w:val="96"/>
              </w:rPr>
              <w:t>99.1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Brady Corporation, dated November 20, 2007, relating to the Corporation’s fiscal 2008 first quarter financial</w:t>
            </w:r>
          </w:p>
        </w:tc>
      </w:tr>
      <w:tr>
        <w:trPr>
          <w:trHeight w:val="217"/>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results.</w:t>
            </w:r>
          </w:p>
        </w:tc>
      </w:tr>
      <w:tr>
        <w:trPr>
          <w:trHeight w:val="391"/>
        </w:trPr>
        <w:tc>
          <w:tcPr>
            <w:tcW w:w="820" w:type="dxa"/>
            <w:vAlign w:val="bottom"/>
          </w:tcPr>
          <w:p>
            <w:pPr>
              <w:jc w:val="right"/>
              <w:ind w:right="376"/>
              <w:spacing w:after="0"/>
              <w:rPr>
                <w:sz w:val="20"/>
                <w:szCs w:val="20"/>
                <w:color w:val="auto"/>
              </w:rPr>
            </w:pPr>
            <w:r>
              <w:rPr>
                <w:rFonts w:ascii="Arial" w:cs="Arial" w:eastAsia="Arial" w:hAnsi="Arial"/>
                <w:sz w:val="18"/>
                <w:szCs w:val="18"/>
                <w:color w:val="auto"/>
                <w:w w:val="96"/>
              </w:rPr>
              <w:t>99.2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Brady Corporation, dated November 16, 2007, relating to the election of Bradley C. Richardson to the</w:t>
            </w:r>
          </w:p>
        </w:tc>
      </w:tr>
      <w:tr>
        <w:trPr>
          <w:trHeight w:val="217"/>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Corporation’s Board of Directors.</w:t>
            </w:r>
          </w:p>
        </w:tc>
      </w:tr>
    </w:tbl>
    <w:p>
      <w:pPr>
        <w:sectPr>
          <w:pgSz w:w="11900" w:h="16838" w:orient="portrait"/>
          <w:cols w:equalWidth="0" w:num="1">
            <w:col w:w="11420"/>
          </w:cols>
          <w:pgMar w:left="240" w:top="41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sales and earnings for fiscal 2008 first quarter</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MILWAUKEE (November 20, 2007)—Brady Corporation (NYSE:BRC) reports record sales and earnings for its fiscal 2008 first quarter ended October 31, 2007.</w:t>
      </w:r>
    </w:p>
    <w:p>
      <w:pPr>
        <w:spacing w:after="0" w:line="89" w:lineRule="exact"/>
        <w:rPr>
          <w:sz w:val="20"/>
          <w:szCs w:val="20"/>
          <w:color w:val="auto"/>
        </w:rPr>
      </w:pPr>
    </w:p>
    <w:p>
      <w:pPr>
        <w:ind w:right="160" w:firstLine="250"/>
        <w:spacing w:after="0" w:line="239" w:lineRule="auto"/>
        <w:rPr>
          <w:sz w:val="20"/>
          <w:szCs w:val="20"/>
          <w:color w:val="auto"/>
        </w:rPr>
      </w:pPr>
      <w:r>
        <w:rPr>
          <w:rFonts w:ascii="Arial" w:cs="Arial" w:eastAsia="Arial" w:hAnsi="Arial"/>
          <w:sz w:val="18"/>
          <w:szCs w:val="18"/>
          <w:color w:val="auto"/>
        </w:rPr>
        <w:t>Sales for the quarter rose 14.4 percent to $380.1 million compared to $332.3 million in the first quarter of fiscal 2007. Sales growth was comprised of 1.7 percent organic growth, 7.5 percent from acquisitions and 5.2 percent from currency exchange. By segment, sales were up 27.2 percent in Brady Americas, 8.3 percent in Direct Marketing &amp; People Identification Americas, 17.9 percent in Europe, and 3.7 percent in Asia/Pacific.</w:t>
      </w:r>
    </w:p>
    <w:p>
      <w:pPr>
        <w:spacing w:after="0" w:line="94" w:lineRule="exact"/>
        <w:rPr>
          <w:sz w:val="20"/>
          <w:szCs w:val="20"/>
          <w:color w:val="auto"/>
        </w:rPr>
      </w:pPr>
    </w:p>
    <w:p>
      <w:pPr>
        <w:ind w:right="100" w:firstLine="250"/>
        <w:spacing w:after="0"/>
        <w:rPr>
          <w:sz w:val="20"/>
          <w:szCs w:val="20"/>
          <w:color w:val="auto"/>
        </w:rPr>
      </w:pPr>
      <w:r>
        <w:rPr>
          <w:rFonts w:ascii="Arial" w:cs="Arial" w:eastAsia="Arial" w:hAnsi="Arial"/>
          <w:sz w:val="18"/>
          <w:szCs w:val="18"/>
          <w:color w:val="auto"/>
        </w:rPr>
        <w:t>Net income increased 5.6 percent in the fiscal 2008 first quarter to $36.4 million compared to $34.4 million in the same quarter last year. Earnings per diluted Class A Common share were $0.66 in the first quarter of fiscal 2008, up 4.8 percent compared to $0.63 per diluted share in the prior year’s quarter.</w:t>
      </w:r>
    </w:p>
    <w:p>
      <w:pPr>
        <w:spacing w:after="0" w:line="95"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“We are encouraged that the significant global cost-reduction activities taken in fiscal 2007 are now showing positive results. In addition, we have strengthened our position with the major players in the mobile-handset market as well as in the smaller hard-disk-drive and consumer-electronics markets,” said Frank M. Jaehnert, Brady’s president and chief executive officer. “While we are pleased with our first quarter results, we are cautious about the economy going forward. We also announced the acquisition of Transposafe last week with annual sales of $26 million.</w:t>
      </w:r>
    </w:p>
    <w:p>
      <w:pPr>
        <w:spacing w:after="0" w:line="95" w:lineRule="exact"/>
        <w:rPr>
          <w:sz w:val="20"/>
          <w:szCs w:val="20"/>
          <w:color w:val="auto"/>
        </w:rPr>
      </w:pPr>
    </w:p>
    <w:p>
      <w:pPr>
        <w:ind w:right="140" w:firstLine="250"/>
        <w:spacing w:after="0" w:line="246" w:lineRule="auto"/>
        <w:rPr>
          <w:sz w:val="20"/>
          <w:szCs w:val="20"/>
          <w:color w:val="auto"/>
        </w:rPr>
      </w:pPr>
      <w:r>
        <w:rPr>
          <w:rFonts w:ascii="Arial" w:cs="Arial" w:eastAsia="Arial" w:hAnsi="Arial"/>
          <w:sz w:val="18"/>
          <w:szCs w:val="18"/>
          <w:color w:val="auto"/>
        </w:rPr>
        <w:t>“Our guidance remains unchanged for the year, with sales from $1.430 to $1.460 billion, and net income and diluted earnings per share at between $129 and $135 million, and $2.31 and $2.42, respectively.”</w:t>
      </w:r>
    </w:p>
    <w:p>
      <w:pPr>
        <w:spacing w:after="0" w:line="89" w:lineRule="exact"/>
        <w:rPr>
          <w:sz w:val="20"/>
          <w:szCs w:val="20"/>
          <w:color w:val="auto"/>
        </w:rPr>
      </w:pPr>
    </w:p>
    <w:p>
      <w:pPr>
        <w:ind w:right="80" w:firstLine="250"/>
        <w:spacing w:after="0"/>
        <w:rPr>
          <w:sz w:val="20"/>
          <w:szCs w:val="20"/>
          <w:color w:val="auto"/>
        </w:rPr>
      </w:pPr>
      <w:r>
        <w:rPr>
          <w:rFonts w:ascii="Arial" w:cs="Arial" w:eastAsia="Arial" w:hAnsi="Arial"/>
          <w:sz w:val="18"/>
          <w:szCs w:val="18"/>
          <w:color w:val="auto"/>
        </w:rPr>
        <w:t>“Beginning with this quarter, we are changing our segment reporting from three to four segments to better reflect our current operational structure in the Americas by splitting results into Brady Americas and Direct Marketing &amp; People Identification Americas. Reporting for Europe and Asia Pacific remains unchanged,” said David Mathieson, Brady’s senior vice president and chief financial officer.</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web cast regarding fiscal 2008 first quarter results will be available at www.investor.bradycorp.com.</w:t>
      </w:r>
    </w:p>
    <w:p>
      <w:pPr>
        <w:spacing w:after="0" w:line="104" w:lineRule="exact"/>
        <w:rPr>
          <w:sz w:val="20"/>
          <w:szCs w:val="20"/>
          <w:color w:val="auto"/>
        </w:rPr>
      </w:pPr>
    </w:p>
    <w:p>
      <w:pPr>
        <w:ind w:right="300" w:firstLine="250"/>
        <w:spacing w:after="0" w:line="239"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5" w:right="319" w:bottom="1440" w:gutter="0" w:footer="0" w:header="0"/>
        </w:sectPr>
      </w:pPr>
    </w:p>
    <w:bookmarkStart w:id="7" w:name="page8"/>
    <w:bookmarkEnd w:id="7"/>
    <w:p>
      <w:pPr>
        <w:ind w:right="100"/>
        <w:spacing w:after="0"/>
        <w:rPr>
          <w:sz w:val="20"/>
          <w:szCs w:val="20"/>
          <w:color w:val="auto"/>
        </w:rPr>
      </w:pPr>
      <w:r>
        <w:rPr>
          <w:rFonts w:ascii="Arial" w:cs="Arial" w:eastAsia="Arial" w:hAnsi="Arial"/>
          <w:sz w:val="18"/>
          <w:szCs w:val="18"/>
          <w:color w:val="auto"/>
        </w:rPr>
        <w:t>electronics, telecommunications, manufacturing, electrical, construction, education, medical and a variety of other industries. Brady is headquartered in Milwaukee and employs more than 8,600 people at operations in the Americas, Europe and Asia/Pacific. Brady’s fiscal 2007 sales were approximately $1.363 billion.</w:t>
      </w:r>
    </w:p>
    <w:p>
      <w:pPr>
        <w:spacing w:after="0" w:line="95" w:lineRule="exact"/>
        <w:rPr>
          <w:sz w:val="20"/>
          <w:szCs w:val="20"/>
          <w:color w:val="auto"/>
        </w:rPr>
      </w:pPr>
    </w:p>
    <w:p>
      <w:pPr>
        <w:ind w:right="1520"/>
        <w:spacing w:after="0" w:line="246" w:lineRule="auto"/>
        <w:rPr>
          <w:sz w:val="20"/>
          <w:szCs w:val="20"/>
          <w:color w:val="auto"/>
        </w:rPr>
      </w:pPr>
      <w:r>
        <w:rPr>
          <w:rFonts w:ascii="Arial" w:cs="Arial" w:eastAsia="Arial" w:hAnsi="Arial"/>
          <w:sz w:val="18"/>
          <w:szCs w:val="18"/>
          <w:color w:val="auto"/>
        </w:rPr>
        <w:t>Brady stock trades on the New York Stock Exchange under the symbol BRC. More information is available on the Internet at www.bradycorp.com, which includes an on-line version of the 2007 Annual Report to Shareholders.</w:t>
      </w:r>
    </w:p>
    <w:p>
      <w:pPr>
        <w:spacing w:after="0" w:line="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2007. These uncertainties may cause Brady’s actual future results to be materially different than those expressed in its forward-looking statements. Brady does not undertake to update its forward-looking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Information by regional segment for the three months ended October 31, 2007 and 2006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color w:val="auto"/>
                <w:w w:val="98"/>
              </w:rPr>
              <w:t>Direct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rPr>
              <w:t>Marketing &amp;</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color w:val="auto"/>
              </w:rPr>
              <w:t>Corporate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rPr>
              <w:t>People ID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color w:val="auto"/>
              </w:rPr>
              <w:t>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00" w:type="dxa"/>
            <w:vAlign w:val="bottom"/>
          </w:tcPr>
          <w:p>
            <w:pPr>
              <w:ind w:left="680"/>
              <w:spacing w:after="0" w:line="157" w:lineRule="exact"/>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3"/>
                <w:szCs w:val="13"/>
                <w:color w:val="auto"/>
              </w:rPr>
            </w:pPr>
          </w:p>
        </w:tc>
        <w:tc>
          <w:tcPr>
            <w:tcW w:w="1580" w:type="dxa"/>
            <w:vAlign w:val="bottom"/>
            <w:gridSpan w:val="4"/>
          </w:tcPr>
          <w:p>
            <w:pPr>
              <w:ind w:left="60"/>
              <w:spacing w:after="0" w:line="157" w:lineRule="exact"/>
              <w:rPr>
                <w:sz w:val="20"/>
                <w:szCs w:val="20"/>
                <w:color w:val="auto"/>
              </w:rPr>
            </w:pPr>
            <w:r>
              <w:rPr>
                <w:rFonts w:ascii="Arial" w:cs="Arial" w:eastAsia="Arial" w:hAnsi="Arial"/>
                <w:sz w:val="14"/>
                <w:szCs w:val="14"/>
                <w:color w:val="auto"/>
              </w:rPr>
              <w:t>Brady Americas</w:t>
            </w:r>
          </w:p>
        </w:tc>
        <w:tc>
          <w:tcPr>
            <w:tcW w:w="1100" w:type="dxa"/>
            <w:vAlign w:val="bottom"/>
            <w:gridSpan w:val="3"/>
          </w:tcPr>
          <w:p>
            <w:pPr>
              <w:jc w:val="center"/>
              <w:ind w:right="340"/>
              <w:spacing w:after="0" w:line="157" w:lineRule="exact"/>
              <w:rPr>
                <w:sz w:val="20"/>
                <w:szCs w:val="20"/>
                <w:color w:val="auto"/>
              </w:rPr>
            </w:pPr>
            <w:r>
              <w:rPr>
                <w:rFonts w:ascii="Arial" w:cs="Arial" w:eastAsia="Arial" w:hAnsi="Arial"/>
                <w:sz w:val="14"/>
                <w:szCs w:val="14"/>
                <w:color w:val="auto"/>
              </w:rPr>
              <w:t>Americas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500"/>
              <w:spacing w:after="0" w:line="157" w:lineRule="exact"/>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3"/>
                <w:szCs w:val="13"/>
                <w:color w:val="auto"/>
              </w:rPr>
            </w:pPr>
          </w:p>
        </w:tc>
        <w:tc>
          <w:tcPr>
            <w:tcW w:w="1180" w:type="dxa"/>
            <w:vAlign w:val="bottom"/>
            <w:gridSpan w:val="2"/>
          </w:tcPr>
          <w:p>
            <w:pPr>
              <w:jc w:val="right"/>
              <w:ind w:right="700"/>
              <w:spacing w:after="0" w:line="157" w:lineRule="exact"/>
              <w:rPr>
                <w:sz w:val="20"/>
                <w:szCs w:val="20"/>
                <w:color w:val="auto"/>
              </w:rPr>
            </w:pPr>
            <w:r>
              <w:rPr>
                <w:rFonts w:ascii="Arial" w:cs="Arial" w:eastAsia="Arial" w:hAnsi="Arial"/>
                <w:sz w:val="14"/>
                <w:szCs w:val="14"/>
                <w:color w:val="auto"/>
              </w:rPr>
              <w:t>Asia</w:t>
            </w:r>
          </w:p>
        </w:tc>
        <w:tc>
          <w:tcPr>
            <w:tcW w:w="1080" w:type="dxa"/>
            <w:vAlign w:val="bottom"/>
            <w:gridSpan w:val="3"/>
          </w:tcPr>
          <w:p>
            <w:pPr>
              <w:jc w:val="right"/>
              <w:ind w:right="400"/>
              <w:spacing w:after="0" w:line="157" w:lineRule="exact"/>
              <w:rPr>
                <w:sz w:val="20"/>
                <w:szCs w:val="20"/>
                <w:color w:val="auto"/>
              </w:rPr>
            </w:pPr>
            <w:r>
              <w:rPr>
                <w:rFonts w:ascii="Arial" w:cs="Arial" w:eastAsia="Arial" w:hAnsi="Arial"/>
                <w:sz w:val="14"/>
                <w:szCs w:val="14"/>
                <w:color w:val="auto"/>
              </w:rPr>
              <w:t>Subtotals</w:t>
            </w:r>
          </w:p>
        </w:tc>
        <w:tc>
          <w:tcPr>
            <w:tcW w:w="200" w:type="dxa"/>
            <w:vAlign w:val="bottom"/>
          </w:tcPr>
          <w:p>
            <w:pPr>
              <w:spacing w:after="0"/>
              <w:rPr>
                <w:sz w:val="13"/>
                <w:szCs w:val="13"/>
                <w:color w:val="auto"/>
              </w:rPr>
            </w:pPr>
          </w:p>
        </w:tc>
        <w:tc>
          <w:tcPr>
            <w:tcW w:w="1120" w:type="dxa"/>
            <w:vAlign w:val="bottom"/>
            <w:gridSpan w:val="3"/>
          </w:tcPr>
          <w:p>
            <w:pPr>
              <w:jc w:val="center"/>
              <w:ind w:right="340"/>
              <w:spacing w:after="0" w:line="157" w:lineRule="exact"/>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0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SALES TO EXTERNAL</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2007</w:t>
            </w:r>
          </w:p>
        </w:tc>
        <w:tc>
          <w:tcPr>
            <w:tcW w:w="3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105,235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69,540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108,914</w:t>
            </w:r>
          </w:p>
        </w:tc>
        <w:tc>
          <w:tcPr>
            <w:tcW w:w="13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$ 96,445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380,134</w:t>
            </w:r>
          </w:p>
        </w:tc>
        <w:tc>
          <w:tcPr>
            <w:tcW w:w="200" w:type="dxa"/>
            <w:vAlign w:val="bottom"/>
            <w:tcBorders>
              <w:right w:val="single" w:sz="8" w:color="CCEEFF"/>
            </w:tcBorders>
            <w:shd w:val="clear" w:color="auto" w:fill="CCEEFF"/>
          </w:tcPr>
          <w:p>
            <w:pPr>
              <w:spacing w:after="0"/>
              <w:rPr>
                <w:sz w:val="17"/>
                <w:szCs w:val="17"/>
                <w:color w:val="auto"/>
              </w:rPr>
            </w:pPr>
          </w:p>
        </w:tc>
        <w:tc>
          <w:tcPr>
            <w:tcW w:w="1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$380,134</w:t>
            </w: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October 31, 2006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82,759</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64,184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92,365</w:t>
            </w: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92,951</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332,259</w:t>
            </w:r>
          </w:p>
        </w:tc>
        <w:tc>
          <w:tcPr>
            <w:tcW w:w="2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332,259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8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SALES GROWTH</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INFORMATION</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October 31, 2007: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0.3%</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w:t>
            </w:r>
          </w:p>
        </w:tc>
        <w:tc>
          <w:tcPr>
            <w:tcW w:w="200" w:type="dxa"/>
            <w:vAlign w:val="bottom"/>
            <w:tcBorders>
              <w:right w:val="single" w:sz="8" w:color="CCEEFF"/>
            </w:tcBorders>
            <w:shd w:val="clear" w:color="auto" w:fill="CCEEFF"/>
          </w:tcPr>
          <w:p>
            <w:pPr>
              <w:spacing w:after="0"/>
              <w:rPr>
                <w:sz w:val="17"/>
                <w:szCs w:val="17"/>
                <w:color w:val="auto"/>
              </w:rPr>
            </w:pPr>
          </w:p>
        </w:tc>
        <w:tc>
          <w:tcPr>
            <w:tcW w:w="1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Currency</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9.6%</w:t>
            </w:r>
          </w:p>
        </w:tc>
        <w:tc>
          <w:tcPr>
            <w:tcW w:w="13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11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8.0%</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w:t>
            </w:r>
          </w:p>
        </w:tc>
        <w:tc>
          <w:tcPr>
            <w:tcW w:w="200" w:type="dxa"/>
            <w:vAlign w:val="bottom"/>
            <w:tcBorders>
              <w:right w:val="single" w:sz="8" w:color="CCEEFF"/>
            </w:tcBorders>
            <w:shd w:val="clear" w:color="auto" w:fill="CCEEFF"/>
          </w:tcPr>
          <w:p>
            <w:pPr>
              <w:spacing w:after="0"/>
              <w:rPr>
                <w:sz w:val="17"/>
                <w:szCs w:val="17"/>
                <w:color w:val="auto"/>
              </w:rPr>
            </w:pPr>
          </w:p>
        </w:tc>
        <w:tc>
          <w:tcPr>
            <w:tcW w:w="1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SEGMENT PROFIT (LOSS)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2007</w:t>
            </w:r>
          </w:p>
        </w:tc>
        <w:tc>
          <w:tcPr>
            <w:tcW w:w="3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24,459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19,648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29,900</w:t>
            </w:r>
          </w:p>
        </w:tc>
        <w:tc>
          <w:tcPr>
            <w:tcW w:w="13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$ 19,390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93,397</w:t>
            </w:r>
          </w:p>
        </w:tc>
        <w:tc>
          <w:tcPr>
            <w:tcW w:w="132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($2,237)</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$ 91,160</w:t>
            </w: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October 31, 2006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20,715</w:t>
            </w:r>
          </w:p>
        </w:tc>
        <w:tc>
          <w:tcPr>
            <w:tcW w:w="14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16,803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23,005</w:t>
            </w:r>
          </w:p>
        </w:tc>
        <w:tc>
          <w:tcPr>
            <w:tcW w:w="13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22,137</w:t>
            </w:r>
          </w:p>
        </w:tc>
        <w:tc>
          <w:tcPr>
            <w:tcW w:w="12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82,660</w:t>
            </w:r>
          </w:p>
        </w:tc>
        <w:tc>
          <w:tcPr>
            <w:tcW w:w="132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rPr>
              <w:t>(2,810)</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79,850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580" w:type="dxa"/>
            <w:vAlign w:val="bottom"/>
            <w:gridSpan w:val="2"/>
            <w:shd w:val="clear" w:color="auto" w:fill="CCEEFF"/>
          </w:tcPr>
          <w:p>
            <w:pPr>
              <w:ind w:left="400"/>
              <w:spacing w:after="0" w:line="184" w:lineRule="exact"/>
              <w:rPr>
                <w:sz w:val="20"/>
                <w:szCs w:val="20"/>
                <w:color w:val="auto"/>
              </w:rPr>
            </w:pPr>
            <w:r>
              <w:rPr>
                <w:rFonts w:ascii="Arial" w:cs="Arial" w:eastAsia="Arial" w:hAnsi="Arial"/>
                <w:sz w:val="18"/>
                <w:szCs w:val="18"/>
                <w:i w:val="1"/>
                <w:iCs w:val="1"/>
                <w:color w:val="auto"/>
              </w:rPr>
              <w:t>Percentage increase</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635"/>
        </w:trPr>
        <w:tc>
          <w:tcPr>
            <w:tcW w:w="418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4"/>
                <w:szCs w:val="14"/>
                <w:color w:val="auto"/>
              </w:rPr>
              <w:t>October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ind w:right="137"/>
              <w:spacing w:after="0" w:line="157" w:lineRule="exact"/>
              <w:rPr>
                <w:sz w:val="20"/>
                <w:szCs w:val="20"/>
                <w:color w:val="auto"/>
              </w:rPr>
            </w:pPr>
            <w:r>
              <w:rPr>
                <w:rFonts w:ascii="Arial" w:cs="Arial" w:eastAsia="Arial" w:hAnsi="Arial"/>
                <w:sz w:val="14"/>
                <w:szCs w:val="14"/>
                <w:color w:val="auto"/>
              </w:rPr>
              <w:t>2007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7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2006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Total profit for reportable segments</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$ 93,397</w:t>
            </w:r>
          </w:p>
        </w:tc>
        <w:tc>
          <w:tcPr>
            <w:tcW w:w="34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$ 82,660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eliminations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(2,237)</w:t>
            </w:r>
          </w:p>
        </w:tc>
        <w:tc>
          <w:tcPr>
            <w:tcW w:w="340" w:type="dxa"/>
            <w:vAlign w:val="bottom"/>
          </w:tcPr>
          <w:p>
            <w:pPr>
              <w:spacing w:after="0"/>
              <w:rPr>
                <w:sz w:val="17"/>
                <w:szCs w:val="17"/>
                <w:color w:val="auto"/>
              </w:rPr>
            </w:pP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(32,822)</w:t>
            </w:r>
          </w:p>
        </w:tc>
        <w:tc>
          <w:tcPr>
            <w:tcW w:w="340" w:type="dxa"/>
            <w:vAlign w:val="bottom"/>
          </w:tcPr>
          <w:p>
            <w:pPr>
              <w:spacing w:after="0"/>
              <w:rPr>
                <w:sz w:val="17"/>
                <w:szCs w:val="17"/>
                <w:color w:val="auto"/>
              </w:rPr>
            </w:pP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(27,909)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(6,720)</w:t>
            </w:r>
          </w:p>
        </w:tc>
        <w:tc>
          <w:tcPr>
            <w:tcW w:w="340" w:type="dxa"/>
            <w:vAlign w:val="bottom"/>
          </w:tcPr>
          <w:p>
            <w:pPr>
              <w:spacing w:after="0"/>
              <w:rPr>
                <w:sz w:val="17"/>
                <w:szCs w:val="17"/>
                <w:color w:val="auto"/>
              </w:rPr>
            </w:pP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51,736</w:t>
            </w:r>
          </w:p>
        </w:tc>
        <w:tc>
          <w:tcPr>
            <w:tcW w:w="34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(15,366)</w:t>
            </w:r>
          </w:p>
        </w:tc>
        <w:tc>
          <w:tcPr>
            <w:tcW w:w="340" w:type="dxa"/>
            <w:vAlign w:val="bottom"/>
          </w:tcPr>
          <w:p>
            <w:pPr>
              <w:spacing w:after="0"/>
              <w:rPr>
                <w:sz w:val="17"/>
                <w:szCs w:val="17"/>
                <w:color w:val="auto"/>
              </w:rPr>
            </w:pP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$ 36,370</w:t>
            </w:r>
          </w:p>
        </w:tc>
        <w:tc>
          <w:tcPr>
            <w:tcW w:w="34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$ 34,448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BRADY CORPORATION AND SUBSIDIARIES</w:t>
      </w:r>
    </w:p>
    <w:p>
      <w:pPr>
        <w:spacing w:after="0"/>
        <w:rPr>
          <w:sz w:val="20"/>
          <w:szCs w:val="20"/>
          <w:color w:val="auto"/>
        </w:rPr>
      </w:pPr>
      <w:r>
        <w:rPr>
          <w:rFonts w:ascii="Arial" w:cs="Arial" w:eastAsia="Arial" w:hAnsi="Arial"/>
          <w:sz w:val="18"/>
          <w:szCs w:val="18"/>
          <w:color w:val="auto"/>
        </w:rPr>
        <w:t>CONDENSED CONSOLIDATED STATEMENTS OF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(Unaudited)</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00" w:type="dxa"/>
            <w:vAlign w:val="bottom"/>
            <w:gridSpan w:val="7"/>
          </w:tcPr>
          <w:p>
            <w:pPr>
              <w:jc w:val="right"/>
              <w:ind w:right="720"/>
              <w:spacing w:after="0" w:line="155" w:lineRule="exact"/>
              <w:rPr>
                <w:sz w:val="20"/>
                <w:szCs w:val="20"/>
                <w:color w:val="auto"/>
              </w:rPr>
            </w:pPr>
            <w:r>
              <w:rPr>
                <w:rFonts w:ascii="Arial" w:cs="Arial" w:eastAsia="Arial" w:hAnsi="Arial"/>
                <w:sz w:val="14"/>
                <w:szCs w:val="14"/>
                <w:color w:val="auto"/>
              </w:rPr>
              <w:t>Three Months Ended October 31,</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2007</w:t>
            </w:r>
          </w:p>
        </w:tc>
        <w:tc>
          <w:tcPr>
            <w:tcW w:w="3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2006</w:t>
            </w:r>
          </w:p>
        </w:tc>
        <w:tc>
          <w:tcPr>
            <w:tcW w:w="660" w:type="dxa"/>
            <w:vAlign w:val="bottom"/>
          </w:tcPr>
          <w:p>
            <w:pPr>
              <w:spacing w:after="0"/>
              <w:rPr>
                <w:sz w:val="13"/>
                <w:szCs w:val="13"/>
                <w:color w:val="auto"/>
              </w:rPr>
            </w:pPr>
          </w:p>
        </w:tc>
        <w:tc>
          <w:tcPr>
            <w:tcW w:w="84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380,134</w:t>
            </w:r>
          </w:p>
        </w:tc>
        <w:tc>
          <w:tcPr>
            <w:tcW w:w="3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w w:val="98"/>
              </w:rPr>
              <w:t>332,259</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192,467</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w w:val="98"/>
              </w:rPr>
              <w:t>168,131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187,667</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8"/>
              </w:rPr>
              <w:t>164,128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405"/>
        </w:trPr>
        <w:tc>
          <w:tcPr>
            <w:tcW w:w="6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8,978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8,532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120,351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w w:val="98"/>
              </w:rPr>
              <w:t>103,655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129,329</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8"/>
              </w:rPr>
              <w:t>112,187</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419"/>
        </w:trPr>
        <w:tc>
          <w:tcPr>
            <w:tcW w:w="63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58,338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51,941</w:t>
            </w: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and (expense):</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638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(6,720)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(4,735)</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51,736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47,844</w:t>
            </w: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15,366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13,396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36,370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34,448</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A Nonvoting Common Share:</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0.67</w:t>
            </w:r>
          </w:p>
        </w:tc>
        <w:tc>
          <w:tcPr>
            <w:tcW w:w="380" w:type="dxa"/>
            <w:vAlign w:val="bottom"/>
          </w:tcPr>
          <w:p>
            <w:pPr>
              <w:spacing w:after="0"/>
              <w:rPr>
                <w:sz w:val="17"/>
                <w:szCs w:val="17"/>
                <w:color w:val="auto"/>
              </w:rPr>
            </w:pPr>
          </w:p>
        </w:tc>
        <w:tc>
          <w:tcPr>
            <w:tcW w:w="44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0.64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0.66</w:t>
            </w:r>
          </w:p>
        </w:tc>
        <w:tc>
          <w:tcPr>
            <w:tcW w:w="3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0.63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38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0.14</w:t>
            </w: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B Voting Common Share:</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0.65</w:t>
            </w:r>
          </w:p>
        </w:tc>
        <w:tc>
          <w:tcPr>
            <w:tcW w:w="380" w:type="dxa"/>
            <w:vAlign w:val="bottom"/>
          </w:tcPr>
          <w:p>
            <w:pPr>
              <w:spacing w:after="0"/>
              <w:rPr>
                <w:sz w:val="17"/>
                <w:szCs w:val="17"/>
                <w:color w:val="auto"/>
              </w:rPr>
            </w:pPr>
          </w:p>
        </w:tc>
        <w:tc>
          <w:tcPr>
            <w:tcW w:w="44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0.63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3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0.62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38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0.12</w:t>
            </w: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(in thousands):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400"/>
              <w:spacing w:after="0" w:line="202" w:lineRule="exact"/>
              <w:rPr>
                <w:sz w:val="20"/>
                <w:szCs w:val="20"/>
                <w:color w:val="auto"/>
              </w:rPr>
            </w:pPr>
            <w:r>
              <w:rPr>
                <w:rFonts w:ascii="Arial" w:cs="Arial" w:eastAsia="Arial" w:hAnsi="Arial"/>
                <w:sz w:val="18"/>
                <w:szCs w:val="18"/>
                <w:color w:val="auto"/>
              </w:rPr>
              <w:t>Basic</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54,350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53,734</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Diluted</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55,121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54,605</w:t>
            </w: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63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(Unaudited)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October 31, 2007</w:t>
            </w:r>
          </w:p>
        </w:tc>
        <w:tc>
          <w:tcPr>
            <w:tcW w:w="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31, 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4380"/>
              <w:spacing w:after="0" w:line="196" w:lineRule="exact"/>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170,599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142,846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Short term investments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16,490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19,200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 less allowance for losses ($9,583 and $9,109, respectively)</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256,558</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239,569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Finished products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78,793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80,486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600"/>
              <w:spacing w:after="0" w:line="202" w:lineRule="exact"/>
              <w:rPr>
                <w:sz w:val="20"/>
                <w:szCs w:val="20"/>
                <w:color w:val="auto"/>
              </w:rPr>
            </w:pPr>
            <w:r>
              <w:rPr>
                <w:rFonts w:ascii="Arial" w:cs="Arial" w:eastAsia="Arial" w:hAnsi="Arial"/>
                <w:sz w:val="18"/>
                <w:szCs w:val="18"/>
                <w:color w:val="auto"/>
              </w:rPr>
              <w:t>Work-in-process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22,710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Raw materials and supplies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39,853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37,983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1000"/>
              <w:spacing w:after="0"/>
              <w:rPr>
                <w:sz w:val="20"/>
                <w:szCs w:val="20"/>
                <w:color w:val="auto"/>
              </w:rPr>
            </w:pPr>
            <w:r>
              <w:rPr>
                <w:rFonts w:ascii="Arial" w:cs="Arial" w:eastAsia="Arial" w:hAnsi="Arial"/>
                <w:sz w:val="18"/>
                <w:szCs w:val="18"/>
                <w:color w:val="auto"/>
              </w:rPr>
              <w:t>Total inventories</w:t>
            </w:r>
          </w:p>
        </w:tc>
        <w:tc>
          <w:tcPr>
            <w:tcW w:w="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141,356</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44,289</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680" w:type="dxa"/>
            <w:vAlign w:val="bottom"/>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629,292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583,413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753,908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737,450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146,439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149,761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30,379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32,508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23,156</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680" w:type="dxa"/>
            <w:vAlign w:val="bottom"/>
          </w:tcPr>
          <w:p>
            <w:pPr>
              <w:ind w:left="600"/>
              <w:spacing w:after="0"/>
              <w:rPr>
                <w:sz w:val="20"/>
                <w:szCs w:val="20"/>
                <w:color w:val="auto"/>
              </w:rPr>
            </w:pPr>
            <w:r>
              <w:rPr>
                <w:rFonts w:ascii="Arial" w:cs="Arial" w:eastAsia="Arial" w:hAnsi="Arial"/>
                <w:sz w:val="18"/>
                <w:szCs w:val="18"/>
                <w:b w:val="1"/>
                <w:bCs w:val="1"/>
                <w:color w:val="auto"/>
              </w:rPr>
              <w:t>Total other assets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953,882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940,830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Land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6,388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600"/>
              <w:spacing w:after="0" w:line="202" w:lineRule="exact"/>
              <w:rPr>
                <w:sz w:val="20"/>
                <w:szCs w:val="20"/>
                <w:color w:val="auto"/>
              </w:rPr>
            </w:pPr>
            <w:r>
              <w:rPr>
                <w:rFonts w:ascii="Arial" w:cs="Arial" w:eastAsia="Arial" w:hAnsi="Arial"/>
                <w:sz w:val="18"/>
                <w:szCs w:val="18"/>
                <w:color w:val="auto"/>
              </w:rPr>
              <w:t>Buildings and improvements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92,735</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90,688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Machinery and equipment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254,703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248,356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600"/>
              <w:spacing w:after="0" w:line="202" w:lineRule="exact"/>
              <w:rPr>
                <w:sz w:val="20"/>
                <w:szCs w:val="20"/>
                <w:color w:val="auto"/>
              </w:rPr>
            </w:pPr>
            <w:r>
              <w:rPr>
                <w:rFonts w:ascii="Arial" w:cs="Arial" w:eastAsia="Arial" w:hAnsi="Arial"/>
                <w:sz w:val="18"/>
                <w:szCs w:val="18"/>
                <w:color w:val="auto"/>
              </w:rPr>
              <w:t>Construction in progress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18,585</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372,411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363,483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197,073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188,869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9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175,338</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174,614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1,758,512</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shd w:val="clear" w:color="auto" w:fill="CCEEFF"/>
          </w:tcPr>
          <w:p>
            <w:pPr>
              <w:ind w:left="2500"/>
              <w:spacing w:after="0" w:line="196" w:lineRule="exact"/>
              <w:rPr>
                <w:sz w:val="20"/>
                <w:szCs w:val="20"/>
                <w:color w:val="auto"/>
              </w:rPr>
            </w:pPr>
            <w:r>
              <w:rPr>
                <w:rFonts w:ascii="Arial" w:cs="Arial" w:eastAsia="Arial" w:hAnsi="Arial"/>
                <w:sz w:val="18"/>
                <w:szCs w:val="18"/>
                <w:b w:val="1"/>
                <w:bCs w:val="1"/>
                <w:color w:val="auto"/>
              </w:rPr>
              <w:t>LIABILITIES AND STOCKHOLDERS’ INVESTMENT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14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97,171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91,596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55,073</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73,622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9,592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18,513</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62,156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60,254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Short-term borrowings and current maturities on long-term debt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21,440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263,945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280,054</w:t>
            </w:r>
          </w:p>
        </w:tc>
        <w:tc>
          <w:tcPr>
            <w:tcW w:w="0" w:type="dxa"/>
            <w:vAlign w:val="bottom"/>
          </w:tcPr>
          <w:p>
            <w:pPr>
              <w:spacing w:after="0"/>
              <w:rPr>
                <w:sz w:val="1"/>
                <w:szCs w:val="1"/>
                <w:color w:val="auto"/>
              </w:rPr>
            </w:pPr>
          </w:p>
        </w:tc>
      </w:tr>
      <w:tr>
        <w:trPr>
          <w:trHeight w:val="419"/>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478,573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478,575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9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62,850</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49,216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68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805,368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807,845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investment: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A Nonvoting common stock — Issued and outstanding 50,847,654 and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508</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50,586,524 shares, respectively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B Voting common stock — Issued and outstanding, 3,538,628 shares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276,304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266,203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Earnings retained in the business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567,605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540,238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108,050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83,376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642</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680" w:type="dxa"/>
            <w:vAlign w:val="bottom"/>
          </w:tcPr>
          <w:p>
            <w:pPr>
              <w:ind w:left="1000"/>
              <w:spacing w:after="0"/>
              <w:rPr>
                <w:sz w:val="20"/>
                <w:szCs w:val="20"/>
                <w:color w:val="auto"/>
              </w:rPr>
            </w:pPr>
            <w:r>
              <w:rPr>
                <w:rFonts w:ascii="Arial" w:cs="Arial" w:eastAsia="Arial" w:hAnsi="Arial"/>
                <w:sz w:val="18"/>
                <w:szCs w:val="18"/>
                <w:b w:val="1"/>
                <w:bCs w:val="1"/>
                <w:color w:val="auto"/>
              </w:rPr>
              <w:t>Total stockholders’ investment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953,144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891,012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1,758,512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27" w:right="239" w:bottom="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left="452"/>
              <w:spacing w:after="0"/>
              <w:rPr>
                <w:sz w:val="20"/>
                <w:szCs w:val="20"/>
                <w:color w:val="auto"/>
              </w:rPr>
            </w:pPr>
            <w:r>
              <w:rPr>
                <w:rFonts w:ascii="Arial" w:cs="Arial" w:eastAsia="Arial" w:hAnsi="Arial"/>
                <w:sz w:val="14"/>
                <w:szCs w:val="14"/>
                <w:color w:val="auto"/>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2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left="452"/>
              <w:spacing w:after="0" w:line="144" w:lineRule="exact"/>
              <w:rPr>
                <w:sz w:val="20"/>
                <w:szCs w:val="20"/>
                <w:color w:val="auto"/>
              </w:rPr>
            </w:pPr>
            <w:r>
              <w:rPr>
                <w:rFonts w:ascii="Arial" w:cs="Arial" w:eastAsia="Arial" w:hAnsi="Arial"/>
                <w:sz w:val="14"/>
                <w:szCs w:val="14"/>
                <w:color w:val="auto"/>
              </w:rPr>
              <w:t>October 31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36,370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14,168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b w:val="1"/>
                <w:bCs w:val="1"/>
                <w:color w:val="auto"/>
              </w:rPr>
              <w:t>(666)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Loss on disposal of property, plant &amp; equipment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712</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3,257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b w:val="1"/>
                <w:bCs w:val="1"/>
                <w:color w:val="auto"/>
              </w:rPr>
              <w:t>(10,880)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1,337</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b w:val="1"/>
                <w:bCs w:val="1"/>
                <w:color w:val="auto"/>
              </w:rPr>
              <w:t>(4,417)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b w:val="1"/>
                <w:bCs w:val="1"/>
                <w:color w:val="auto"/>
              </w:rPr>
              <w:t>(13,278)</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6,086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1,201</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33,890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Payments of contingent consideration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b w:val="1"/>
                <w:bCs w:val="1"/>
                <w:color w:val="auto"/>
              </w:rPr>
              <w:t>(1,200)</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b w:val="1"/>
                <w:bCs w:val="1"/>
                <w:color w:val="auto"/>
              </w:rPr>
              <w:t>(5,150)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7,860</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b w:val="1"/>
                <w:bCs w:val="1"/>
                <w:color w:val="auto"/>
              </w:rPr>
              <w:t>(7,395)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b w:val="1"/>
                <w:bCs w:val="1"/>
                <w:color w:val="auto"/>
              </w:rPr>
              <w:t>(1,375)</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b w:val="1"/>
                <w:bCs w:val="1"/>
                <w:color w:val="auto"/>
              </w:rPr>
              <w:t>(7,260)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(56,256)</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b w:val="1"/>
                <w:bCs w:val="1"/>
                <w:color w:val="auto"/>
              </w:rPr>
              <w:t>(8,100)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4,134</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debt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 and deferred compensation distributions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2,712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(1,259)</w:t>
            </w: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2,382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27,753</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w w:val="98"/>
              </w:rPr>
              <w:t>142,846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113,008</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8"/>
              </w:rPr>
              <w:t>170,599</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9,298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3,275</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00"/>
              <w:spacing w:after="0" w:line="202" w:lineRule="exact"/>
              <w:rPr>
                <w:sz w:val="20"/>
                <w:szCs w:val="20"/>
                <w:color w:val="auto"/>
              </w:rPr>
            </w:pPr>
            <w:r>
              <w:rPr>
                <w:rFonts w:ascii="Arial" w:cs="Arial" w:eastAsia="Arial" w:hAnsi="Arial"/>
                <w:sz w:val="18"/>
                <w:szCs w:val="18"/>
                <w:color w:val="auto"/>
              </w:rPr>
              <w:t>Fair value of asset acquired, net of cash</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Liabilities assumed</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00"/>
              <w:spacing w:after="0" w:line="202" w:lineRule="exact"/>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Net cash paid for acquisitions</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 w:name="page14"/>
    <w:bookmarkEnd w:id="13"/>
    <w:p>
      <w:pPr>
        <w:ind w:right="5540"/>
        <w:spacing w:after="0" w:line="271"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Fiscal 2007</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8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color w:val="auto"/>
              </w:rPr>
              <w:t>Q1</w:t>
            </w:r>
          </w:p>
        </w:tc>
        <w:tc>
          <w:tcPr>
            <w:tcW w:w="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Q2</w:t>
            </w:r>
          </w:p>
        </w:tc>
        <w:tc>
          <w:tcPr>
            <w:tcW w:w="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Q3</w:t>
            </w:r>
          </w:p>
        </w:tc>
        <w:tc>
          <w:tcPr>
            <w:tcW w:w="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Q4</w:t>
            </w:r>
          </w:p>
        </w:tc>
        <w:tc>
          <w:tcPr>
            <w:tcW w:w="580" w:type="dxa"/>
            <w:vAlign w:val="bottom"/>
          </w:tcPr>
          <w:p>
            <w:pPr>
              <w:spacing w:after="0"/>
              <w:rPr>
                <w:sz w:val="13"/>
                <w:szCs w:val="13"/>
                <w:color w:val="auto"/>
              </w:rPr>
            </w:pPr>
          </w:p>
        </w:tc>
        <w:tc>
          <w:tcPr>
            <w:tcW w:w="7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516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w w:val="96"/>
              </w:rPr>
              <w:t>$ 34,448</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$34,448</w:t>
            </w:r>
          </w:p>
        </w:tc>
      </w:tr>
      <w:tr>
        <w:trPr>
          <w:trHeight w:val="203"/>
        </w:trPr>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4,735</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4,735</w:t>
            </w:r>
          </w:p>
        </w:tc>
      </w:tr>
      <w:tr>
        <w:trPr>
          <w:trHeight w:val="203"/>
        </w:trPr>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13,396</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13,396</w:t>
            </w:r>
          </w:p>
        </w:tc>
      </w:tr>
      <w:tr>
        <w:trPr>
          <w:trHeight w:val="203"/>
        </w:trPr>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12,927</w:t>
            </w:r>
          </w:p>
        </w:tc>
        <w:tc>
          <w:tcPr>
            <w:tcW w:w="5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12,927</w:t>
            </w:r>
          </w:p>
        </w:tc>
      </w:tr>
      <w:tr>
        <w:trPr>
          <w:trHeight w:val="426"/>
        </w:trPr>
        <w:tc>
          <w:tcPr>
            <w:tcW w:w="516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96"/>
              </w:rPr>
              <w:t>$ 65,506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$ 65,506</w:t>
            </w:r>
          </w:p>
        </w:tc>
      </w:tr>
      <w:tr>
        <w:trPr>
          <w:trHeight w:val="351"/>
        </w:trPr>
        <w:tc>
          <w:tcPr>
            <w:tcW w:w="5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Fiscal 2008</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56"/>
        </w:trPr>
        <w:tc>
          <w:tcPr>
            <w:tcW w:w="5160" w:type="dxa"/>
            <w:vAlign w:val="bottom"/>
          </w:tcPr>
          <w:p>
            <w:pPr>
              <w:spacing w:after="0"/>
              <w:rPr>
                <w:sz w:val="13"/>
                <w:szCs w:val="13"/>
                <w:color w:val="auto"/>
              </w:rPr>
            </w:pPr>
          </w:p>
        </w:tc>
        <w:tc>
          <w:tcPr>
            <w:tcW w:w="8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color w:val="auto"/>
              </w:rPr>
              <w:t>Q1</w:t>
            </w:r>
          </w:p>
        </w:tc>
        <w:tc>
          <w:tcPr>
            <w:tcW w:w="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Q2</w:t>
            </w:r>
          </w:p>
        </w:tc>
        <w:tc>
          <w:tcPr>
            <w:tcW w:w="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Q3</w:t>
            </w:r>
          </w:p>
        </w:tc>
        <w:tc>
          <w:tcPr>
            <w:tcW w:w="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Q4</w:t>
            </w:r>
          </w:p>
        </w:tc>
        <w:tc>
          <w:tcPr>
            <w:tcW w:w="580" w:type="dxa"/>
            <w:vAlign w:val="bottom"/>
          </w:tcPr>
          <w:p>
            <w:pPr>
              <w:spacing w:after="0"/>
              <w:rPr>
                <w:sz w:val="13"/>
                <w:szCs w:val="13"/>
                <w:color w:val="auto"/>
              </w:rPr>
            </w:pPr>
          </w:p>
        </w:tc>
        <w:tc>
          <w:tcPr>
            <w:tcW w:w="7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516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w w:val="96"/>
              </w:rPr>
              <w:t>$ 36,370</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$36,370</w:t>
            </w:r>
          </w:p>
        </w:tc>
      </w:tr>
      <w:tr>
        <w:trPr>
          <w:trHeight w:val="203"/>
        </w:trPr>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6,720</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6,720</w:t>
            </w:r>
          </w:p>
        </w:tc>
      </w:tr>
      <w:tr>
        <w:trPr>
          <w:trHeight w:val="203"/>
        </w:trPr>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15,366</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15,366</w:t>
            </w:r>
          </w:p>
        </w:tc>
      </w:tr>
      <w:tr>
        <w:trPr>
          <w:trHeight w:val="203"/>
        </w:trPr>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14,168</w:t>
            </w:r>
          </w:p>
        </w:tc>
        <w:tc>
          <w:tcPr>
            <w:tcW w:w="5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14,168</w:t>
            </w:r>
          </w:p>
        </w:tc>
      </w:tr>
      <w:tr>
        <w:trPr>
          <w:trHeight w:val="426"/>
        </w:trPr>
        <w:tc>
          <w:tcPr>
            <w:tcW w:w="516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96"/>
              </w:rPr>
              <w:t>$ 72,624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$72,624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3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ectPr>
          <w:pgSz w:w="11900" w:h="16838" w:orient="portrait"/>
          <w:cols w:equalWidth="0" w:num="1">
            <w:col w:w="11420"/>
          </w:cols>
          <w:pgMar w:left="240" w:top="927"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99.2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rPr>
          <w:sz w:val="20"/>
          <w:szCs w:val="20"/>
          <w:color w:val="auto"/>
        </w:rPr>
      </w:pPr>
      <w:r>
        <w:rPr>
          <w:rFonts w:ascii="Arial" w:cs="Arial" w:eastAsia="Arial" w:hAnsi="Arial"/>
          <w:sz w:val="18"/>
          <w:szCs w:val="18"/>
          <w:color w:val="auto"/>
        </w:rPr>
        <w:t>Carole Herbstreit (414) 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the election of Bradley C. Richardson to its Board of Directors.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MILWAUKEE (November 16, 2007) — Bradley C. Richardson, Executive Vice President and Chief Financial Officer of Modine Manufacturing Company (NYSE:MOD) in Racine, Wis. was elected today to the Brady Corporation (NYSE:BRC) Board of Directors at its annual shareholders’ meeting.</w:t>
      </w:r>
    </w:p>
    <w:p>
      <w:pPr>
        <w:spacing w:after="0" w:line="95" w:lineRule="exact"/>
        <w:rPr>
          <w:sz w:val="20"/>
          <w:szCs w:val="20"/>
          <w:color w:val="auto"/>
        </w:rPr>
      </w:pPr>
    </w:p>
    <w:p>
      <w:pPr>
        <w:ind w:right="120" w:firstLine="250"/>
        <w:spacing w:after="0" w:line="238" w:lineRule="auto"/>
        <w:rPr>
          <w:sz w:val="20"/>
          <w:szCs w:val="20"/>
          <w:color w:val="auto"/>
        </w:rPr>
      </w:pPr>
      <w:r>
        <w:rPr>
          <w:rFonts w:ascii="Arial" w:cs="Arial" w:eastAsia="Arial" w:hAnsi="Arial"/>
          <w:sz w:val="18"/>
          <w:szCs w:val="18"/>
          <w:color w:val="auto"/>
        </w:rPr>
        <w:t>Richardson, 49, joined Modine as Vice President, Finance and CFO in 2003. Prior to Modine, he spent more than twenty years in a variety of financial and operational positions at BP Amoco including chief financial officer and vice president of performance management and control for their Worldwide Exploration and Production division based in London, president of their businesses in Venezuela, and chief financial officer for Amoco Energy Group North America. A graduate of Miami University in Oxford, Ohio (undergraduate) and Indiana University in Bloomington, Indiana (MBA), Richardson also serves on the board of Tronox, Inc.</w:t>
      </w:r>
    </w:p>
    <w:p>
      <w:pPr>
        <w:spacing w:after="0" w:line="95"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“We are very pleased to welcome Bradley Richardson to our board,” said Robert Buchanan, chair of Brady’s corporate governance committee. “As a current CFO of an international, publicly traded manufacturing company, he brings a strong understanding of the complexities of both the opportunities and challenges that Brady will face as it grows to the next level. In addition, his leadership experience in global business performance will be an asset to our board.”</w:t>
      </w:r>
    </w:p>
    <w:p>
      <w:pPr>
        <w:spacing w:after="0" w:line="94" w:lineRule="exact"/>
        <w:rPr>
          <w:sz w:val="20"/>
          <w:szCs w:val="20"/>
          <w:color w:val="auto"/>
        </w:rPr>
      </w:pPr>
    </w:p>
    <w:p>
      <w:pPr>
        <w:ind w:right="140" w:firstLine="250"/>
        <w:spacing w:after="0" w:line="237" w:lineRule="auto"/>
        <w:rPr>
          <w:sz w:val="20"/>
          <w:szCs w:val="20"/>
          <w:color w:val="auto"/>
        </w:rPr>
      </w:pPr>
      <w:r>
        <w:rPr>
          <w:rFonts w:ascii="Arial" w:cs="Arial" w:eastAsia="Arial" w:hAnsi="Arial"/>
          <w:sz w:val="18"/>
          <w:szCs w:val="18"/>
          <w:color w:val="auto"/>
        </w:rPr>
        <w:t>Richardson joins Brady Board of Directors members Richard Bemis, co-chairman of the board of directors of Bemis Manufacturing; Robert Buchanan, retired chairman of Fox Valley Corporation; Frank Harris, distinguished professor and director of the Maurice Morton Institute of Polymer Science and Biomedical Engineering at the University of Akron; consultant Frank Jarc; Gary Nei, chairman of Nei-Turner Media; Elizabeth Pungello, developmental psychologist at the Frank Porter Graham Child Development Institute at the University of North Carolina at Chapel Hill; Chan Galbato, former president of the controls division of Invensys plc; Patrick Allender, retired executive vice president and chief financial officer of Danaher Corporation; Conrad Goodkind, partner in the law firm of Quarles and Brady, LLP; and Brady President and Chief Executive Officer Frank Jaehnert; who were re-elected to a one-year term at today’s meeting.</w:t>
      </w:r>
    </w:p>
    <w:p>
      <w:pPr>
        <w:spacing w:after="0" w:line="95" w:lineRule="exact"/>
        <w:rPr>
          <w:sz w:val="20"/>
          <w:szCs w:val="20"/>
          <w:color w:val="auto"/>
        </w:rPr>
      </w:pPr>
    </w:p>
    <w:p>
      <w:pPr>
        <w:ind w:right="380" w:firstLine="250"/>
        <w:spacing w:after="0" w:line="239"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electronics, telecommunications, manufacturing, electrical, construction, education, medical and a variety of other industries. Brady is headquartered in Milwaukee and employs more than 8,600 people at operations in the Americas, Europe and Asia/Pacific. Brady’s fiscal 2007 sales were approximately $1.363 billion.</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sectPr>
      <w:pgSz w:w="11900" w:h="16838" w:orient="portrait"/>
      <w:cols w:equalWidth="0" w:num="1">
        <w:col w:w="11300"/>
      </w:cols>
      <w:pgMar w:left="240" w:top="9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14"/>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2019-12-13T14:13:13Z</dcterms:created>
  <dcterms:modified xsi:type="dcterms:W3CDTF">2019-12-13T14:13:13Z</dcterms:modified>
</cp:coreProperties>
</file>