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46990</wp:posOffset>
            </wp:positionV>
            <wp:extent cx="1499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41275</wp:posOffset>
            </wp:positionV>
            <wp:extent cx="1499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3" w:lineRule="exact"/>
        <w:rPr>
          <w:sz w:val="24"/>
          <w:szCs w:val="24"/>
          <w:color w:val="auto"/>
        </w:rPr>
      </w:pPr>
    </w:p>
    <w:p>
      <w:pPr>
        <w:ind w:left="640" w:right="40" w:hanging="614"/>
        <w:spacing w:after="0" w:line="231" w:lineRule="auto"/>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April 30,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640" w:right="6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68580</wp:posOffset>
            </wp:positionV>
            <wp:extent cx="1499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800" w:type="dxa"/>
            <w:vAlign w:val="bottom"/>
          </w:tcPr>
          <w:p>
            <w:pPr>
              <w:jc w:val="center"/>
              <w:ind w:left="1464"/>
              <w:spacing w:after="0"/>
              <w:rPr>
                <w:sz w:val="20"/>
                <w:szCs w:val="20"/>
                <w:color w:val="auto"/>
              </w:rPr>
            </w:pPr>
            <w:r>
              <w:rPr>
                <w:rFonts w:ascii="Arial" w:cs="Arial" w:eastAsia="Arial" w:hAnsi="Arial"/>
                <w:sz w:val="18"/>
                <w:szCs w:val="18"/>
                <w:b w:val="1"/>
                <w:bCs w:val="1"/>
                <w:color w:val="auto"/>
                <w:w w:val="86"/>
              </w:rPr>
              <w:t>Wisconsin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00" w:type="dxa"/>
            <w:vAlign w:val="bottom"/>
            <w:gridSpan w:val="2"/>
          </w:tcPr>
          <w:p>
            <w:pPr>
              <w:jc w:val="right"/>
              <w:ind w:right="2188"/>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6"/>
        </w:trPr>
        <w:tc>
          <w:tcPr>
            <w:tcW w:w="6760" w:type="dxa"/>
            <w:vAlign w:val="bottom"/>
            <w:gridSpan w:val="4"/>
          </w:tcPr>
          <w:p>
            <w:pPr>
              <w:jc w:val="center"/>
              <w:ind w:right="13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6"/>
                <w:szCs w:val="16"/>
                <w:color w:val="auto"/>
              </w:rPr>
            </w:pPr>
          </w:p>
        </w:tc>
        <w:tc>
          <w:tcPr>
            <w:tcW w:w="4460" w:type="dxa"/>
            <w:vAlign w:val="bottom"/>
          </w:tcPr>
          <w:p>
            <w:pPr>
              <w:jc w:val="center"/>
              <w:ind w:right="8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Milwaukee, Wisconsin 53233</w:t>
            </w: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28"/>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0" w:type="dxa"/>
            <w:vAlign w:val="bottom"/>
          </w:tcPr>
          <w:p>
            <w:pPr>
              <w:spacing w:after="0"/>
              <w:rPr>
                <w:sz w:val="1"/>
                <w:szCs w:val="1"/>
                <w:color w:val="auto"/>
              </w:rPr>
            </w:pPr>
          </w:p>
        </w:tc>
      </w:tr>
      <w:tr>
        <w:trPr>
          <w:trHeight w:val="354"/>
        </w:trPr>
        <w:tc>
          <w:tcPr>
            <w:tcW w:w="3800" w:type="dxa"/>
            <w:vAlign w:val="bottom"/>
          </w:tcPr>
          <w:p>
            <w:pPr>
              <w:spacing w:after="0"/>
              <w:rPr>
                <w:sz w:val="24"/>
                <w:szCs w:val="24"/>
                <w:color w:val="auto"/>
              </w:rPr>
            </w:pPr>
          </w:p>
        </w:tc>
        <w:tc>
          <w:tcPr>
            <w:tcW w:w="2960" w:type="dxa"/>
            <w:vAlign w:val="bottom"/>
            <w:gridSpan w:val="3"/>
          </w:tcPr>
          <w:p>
            <w:pPr>
              <w:jc w:val="center"/>
              <w:ind w:left="602"/>
              <w:spacing w:after="0"/>
              <w:rPr>
                <w:sz w:val="20"/>
                <w:szCs w:val="20"/>
                <w:color w:val="auto"/>
              </w:rPr>
            </w:pPr>
            <w:r>
              <w:rPr>
                <w:rFonts w:ascii="Arial" w:cs="Arial" w:eastAsia="Arial" w:hAnsi="Arial"/>
                <w:sz w:val="18"/>
                <w:szCs w:val="18"/>
                <w:b w:val="1"/>
                <w:bCs w:val="1"/>
                <w:color w:val="auto"/>
                <w:w w:val="90"/>
              </w:rPr>
              <w:t>(414) 358-6600</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80"/>
        </w:trPr>
        <w:tc>
          <w:tcPr>
            <w:tcW w:w="38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3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7"/>
              </w:rPr>
              <w:t>Class A Nonvoting Common Stock, par value $0.01 per share</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60" w:lineRule="exact"/>
        <w:rPr>
          <w:sz w:val="24"/>
          <w:szCs w:val="24"/>
          <w:color w:val="auto"/>
        </w:rPr>
      </w:pPr>
    </w:p>
    <w:p>
      <w:pPr>
        <w:ind w:left="20" w:right="42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8"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9" w:right="319" w:bottom="1440" w:gutter="0" w:footer="0" w:header="0"/>
          <w:type w:val="continuous"/>
        </w:sectPr>
      </w:pPr>
    </w:p>
    <w:p>
      <w:pPr>
        <w:ind w:right="2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88"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May 18, 2021, there were 48,524,455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4"/>
          </w:tcPr>
          <w:p>
            <w:pPr>
              <w:jc w:val="center"/>
              <w:ind w:right="2840"/>
              <w:spacing w:after="0"/>
              <w:rPr>
                <w:sz w:val="20"/>
                <w:szCs w:val="20"/>
                <w:color w:val="auto"/>
              </w:rPr>
            </w:pPr>
            <w:r>
              <w:rPr>
                <w:rFonts w:ascii="Arial" w:cs="Arial" w:eastAsia="Arial" w:hAnsi="Arial"/>
                <w:sz w:val="18"/>
                <w:szCs w:val="18"/>
                <w:color w:val="auto"/>
                <w:w w:val="96"/>
              </w:rPr>
              <w:t>BRADY CORPORATION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60" w:type="dxa"/>
            <w:vAlign w:val="bottom"/>
            <w:gridSpan w:val="9"/>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80" w:type="dxa"/>
            <w:vAlign w:val="bottom"/>
            <w:gridSpan w:val="9"/>
            <w:vMerge w:val="restart"/>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bottom w:val="single" w:sz="8" w:color="0000FF"/>
            </w:tcBorders>
            <w:gridSpan w:val="9"/>
            <w:vMerge w:val="continue"/>
          </w:tcPr>
          <w:p>
            <w:pPr>
              <w:spacing w:after="0"/>
              <w:rPr>
                <w:sz w:val="15"/>
                <w:szCs w:val="15"/>
                <w:color w:val="auto"/>
              </w:rPr>
            </w:pPr>
          </w:p>
        </w:tc>
        <w:tc>
          <w:tcPr>
            <w:tcW w:w="7280" w:type="dxa"/>
            <w:vAlign w:val="bottom"/>
            <w:gridSpan w:val="9"/>
            <w:vMerge w:val="continue"/>
          </w:tcPr>
          <w:p>
            <w:pPr>
              <w:spacing w:after="0"/>
              <w:rPr>
                <w:sz w:val="15"/>
                <w:szCs w:val="15"/>
                <w:color w:val="auto"/>
              </w:rPr>
            </w:pPr>
          </w:p>
        </w:tc>
        <w:tc>
          <w:tcPr>
            <w:tcW w:w="13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10"/>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w:t>
              </w:r>
            </w:hyperlink>
          </w:p>
        </w:tc>
        <w:tc>
          <w:tcPr>
            <w:tcW w:w="6000" w:type="dxa"/>
            <w:vAlign w:val="bottom"/>
            <w:gridSpan w:val="6"/>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482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15">
              <w:r>
                <w:rPr>
                  <w:rFonts w:ascii="Arial" w:cs="Arial" w:eastAsia="Arial" w:hAnsi="Arial"/>
                  <w:sz w:val="18"/>
                  <w:szCs w:val="18"/>
                  <w:color w:val="0000FF"/>
                  <w:w w:val="94"/>
                </w:rPr>
                <w:t>Item 2.</w:t>
              </w:r>
            </w:hyperlink>
          </w:p>
        </w:tc>
        <w:tc>
          <w:tcPr>
            <w:tcW w:w="6480" w:type="dxa"/>
            <w:vAlign w:val="bottom"/>
            <w:gridSpan w:val="14"/>
          </w:tcPr>
          <w:p>
            <w:pPr>
              <w:ind w:left="20"/>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Results of Operations and Financial Condition</w:t>
              </w:r>
            </w:hyperlink>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Item 3.</w:t>
              </w:r>
            </w:hyperlink>
          </w:p>
        </w:tc>
        <w:tc>
          <w:tcPr>
            <w:tcW w:w="4380" w:type="dxa"/>
            <w:vAlign w:val="bottom"/>
            <w:gridSpan w:val="13"/>
          </w:tcPr>
          <w:p>
            <w:pPr>
              <w:ind w:left="20"/>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Quantitative and Qualitative Disclosures About Market Risk</w:t>
              </w:r>
            </w:hyperlink>
          </w:p>
        </w:tc>
        <w:tc>
          <w:tcPr>
            <w:tcW w:w="2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Item 4.</w:t>
              </w:r>
            </w:hyperlink>
          </w:p>
        </w:tc>
        <w:tc>
          <w:tcPr>
            <w:tcW w:w="1800" w:type="dxa"/>
            <w:vAlign w:val="bottom"/>
            <w:gridSpan w:val="6"/>
          </w:tcPr>
          <w:p>
            <w:pPr>
              <w:ind w:left="20"/>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18"/>
                <w:szCs w:val="18"/>
                <w:color w:val="auto"/>
              </w:rPr>
            </w:pPr>
          </w:p>
        </w:tc>
        <w:tc>
          <w:tcPr>
            <w:tcW w:w="4700" w:type="dxa"/>
            <w:vAlign w:val="bottom"/>
            <w:gridSpan w:val="2"/>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PART II. Other Information</w:t>
              </w:r>
            </w:hyperlink>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1A. Risk Factors</w:t>
              </w:r>
            </w:hyperlink>
          </w:p>
        </w:tc>
        <w:tc>
          <w:tcPr>
            <w:tcW w:w="280" w:type="dxa"/>
            <w:vAlign w:val="bottom"/>
          </w:tcPr>
          <w:p>
            <w:pPr>
              <w:spacing w:after="0"/>
              <w:rPr>
                <w:sz w:val="18"/>
                <w:szCs w:val="18"/>
                <w:color w:val="auto"/>
              </w:rPr>
            </w:pPr>
          </w:p>
        </w:tc>
        <w:tc>
          <w:tcPr>
            <w:tcW w:w="7740" w:type="dxa"/>
            <w:vAlign w:val="bottom"/>
            <w:gridSpan w:val="11"/>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4">
              <w:r>
                <w:rPr>
                  <w:rFonts w:ascii="Arial" w:cs="Arial" w:eastAsia="Arial" w:hAnsi="Arial"/>
                  <w:sz w:val="18"/>
                  <w:szCs w:val="18"/>
                  <w:color w:val="0000FF"/>
                  <w:w w:val="94"/>
                </w:rPr>
                <w:t>Item 6.</w:t>
              </w:r>
            </w:hyperlink>
          </w:p>
        </w:tc>
        <w:tc>
          <w:tcPr>
            <w:tcW w:w="1060" w:type="dxa"/>
            <w:vAlign w:val="bottom"/>
            <w:gridSpan w:val="3"/>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8020" w:type="dxa"/>
            <w:vAlign w:val="bottom"/>
            <w:gridSpan w:val="12"/>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6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8460" w:type="dxa"/>
            <w:vAlign w:val="bottom"/>
            <w:gridSpan w:val="1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center"/>
              <w:ind w:left="3090"/>
              <w:spacing w:after="0"/>
              <w:rPr>
                <w:sz w:val="20"/>
                <w:szCs w:val="20"/>
                <w:color w:val="auto"/>
              </w:rPr>
            </w:pPr>
            <w:r>
              <w:rPr>
                <w:rFonts w:ascii="Arial" w:cs="Arial" w:eastAsia="Arial" w:hAnsi="Arial"/>
                <w:sz w:val="18"/>
                <w:szCs w:val="18"/>
                <w:color w:val="auto"/>
                <w:w w:val="79"/>
              </w:rPr>
              <w:t>2</w:t>
            </w: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30, 2021</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July 31, 2020</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Accounts receivable, net of allowances for credit losses of $7,551 and $7,157,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146,181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509,448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115,068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41,899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1,260,177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41,546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49,782</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61,524</w:t>
            </w:r>
          </w:p>
        </w:tc>
        <w:tc>
          <w:tcPr>
            <w:tcW w:w="0" w:type="dxa"/>
            <w:vAlign w:val="bottom"/>
          </w:tcPr>
          <w:p>
            <w:pPr>
              <w:spacing w:after="0"/>
              <w:rPr>
                <w:sz w:val="1"/>
                <w:szCs w:val="1"/>
                <w:color w:val="auto"/>
              </w:rPr>
            </w:pPr>
          </w:p>
        </w:tc>
      </w:tr>
      <w:tr>
        <w:trPr>
          <w:trHeight w:val="206"/>
        </w:trPr>
        <w:tc>
          <w:tcPr>
            <w:tcW w:w="814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308,551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279,394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40" w:type="dxa"/>
            <w:vAlign w:val="bottom"/>
          </w:tcPr>
          <w:p>
            <w:pPr>
              <w:ind w:left="360"/>
              <w:spacing w:after="0" w:line="166" w:lineRule="exact"/>
              <w:rPr>
                <w:sz w:val="20"/>
                <w:szCs w:val="20"/>
                <w:color w:val="auto"/>
              </w:rPr>
            </w:pPr>
            <w:r>
              <w:rPr>
                <w:rFonts w:ascii="Arial" w:cs="Arial" w:eastAsia="Arial" w:hAnsi="Arial"/>
                <w:sz w:val="16"/>
                <w:szCs w:val="16"/>
                <w:color w:val="auto"/>
                <w:w w:val="95"/>
              </w:rPr>
              <w:t>Class A nonvoting common stock—Issued 51,261,487 shares, and outstanding 48,524,455 and 48,456,954 shares,</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09"/>
        </w:trPr>
        <w:tc>
          <w:tcPr>
            <w:tcW w:w="81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336,957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331,761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Treasury stock—2,737,032 and 2,804,533 shares, respectively, of Class A nonvoting common stock, at cost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(107,216)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951,626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1,260,177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1,142,466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829,555</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419,496</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410,059</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31,298</w:t>
            </w:r>
          </w:p>
        </w:tc>
        <w:tc>
          <w:tcPr>
            <w:tcW w:w="0" w:type="dxa"/>
            <w:vAlign w:val="bottom"/>
          </w:tcPr>
          <w:p>
            <w:pPr>
              <w:spacing w:after="0"/>
              <w:rPr>
                <w:sz w:val="1"/>
                <w:szCs w:val="1"/>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260,136</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charges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0" w:type="dxa"/>
            <w:vAlign w:val="bottom"/>
          </w:tcPr>
          <w:p>
            <w:pPr>
              <w:spacing w:after="0"/>
              <w:rPr>
                <w:sz w:val="1"/>
                <w:szCs w:val="1"/>
                <w:color w:val="auto"/>
              </w:rPr>
            </w:pPr>
          </w:p>
        </w:tc>
      </w:tr>
      <w:tr>
        <w:trPr>
          <w:trHeight w:val="20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102,122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106,858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287,472</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305,255</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106,080</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21,396</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53,023</w:t>
            </w:r>
          </w:p>
        </w:tc>
        <w:tc>
          <w:tcPr>
            <w:tcW w:w="0" w:type="dxa"/>
            <w:vAlign w:val="bottom"/>
          </w:tcPr>
          <w:p>
            <w:pPr>
              <w:spacing w:after="0"/>
              <w:rPr>
                <w:sz w:val="1"/>
                <w:szCs w:val="1"/>
                <w:color w:val="auto"/>
              </w:rPr>
            </w:pPr>
          </w:p>
        </w:tc>
      </w:tr>
      <w:tr>
        <w:trPr>
          <w:trHeight w:val="210"/>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53,512</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84,684</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w:t>
            </w: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Arial" w:cs="Arial" w:eastAsia="Arial" w:hAnsi="Arial"/>
                <w:sz w:val="16"/>
                <w:szCs w:val="16"/>
                <w:color w:val="auto"/>
              </w:rPr>
              <w:t>Net gain (loss) recognized in other comprehensive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216"/>
        </w:trPr>
        <w:tc>
          <w:tcPr>
            <w:tcW w:w="5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(1,971)</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income (loss)</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5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(20,978)</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Income tax benefit (expense)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(20,988)</w:t>
            </w:r>
          </w:p>
        </w:tc>
      </w:tr>
      <w:tr>
        <w:trPr>
          <w:trHeight w:val="23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9,019</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(26,609)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154,908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95,913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Payment of dividends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(34,447)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(101,047)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279,072</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321,801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238,880</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2021 and July 31, 2020, its results of operations and comprehensive income for the three and nine months ended April 30, 2021 and 2020, and cash flows for the nine months ended April 30, 2021 and 2020. The condensed consolidated balance sheet as of July 31, 2020,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2020.</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changes the impairment model for most financial instruments. Prior guidance required the recognition of credit losses based on an incurred loss impairment methodology that reflected losses once the losses were probable. Under ASU 2016-13, the Company is required to use a current expected credit loss model ("CECL") that immediately recognizes an estimate of credit losses that are expected to occur over the life of the financial instruments that are in the scope of this update, including trade receivables. The Company adopted ASU 2016-13 effective August 1, 2020, which did not have a material impact on its consolidated financial statements.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"Goodwill and Other, Simplifying the Test for Goodwill Impairment." The new guidance removes Step 2 of the goodwill impairment test, which required a hypothetical purchase price allocation. A goodwill impairment is now the amount by which a reporting unit’s carrying value exceeds its fair value, not to exceed the carrying amount of goodwill. All other goodwill impairment guidance remains largely unchanged. The Company adopted ASC 2017-04 effective August 1, 2020. This guidance only impacts the Company's consolidated financial statements if there is a future impairment of goodwill.</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(Topic 740)."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Early adoption is permitted. The Company is currently evaluating the impact that the adoption of this ASU will have on the consolidated financial statements and related disclosures.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phase out of the London Inter-bank Offered Rate ("LIBOR") by the end of 2021. This guidance was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does not expect a material impact to the financial statements or disclosures.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April 30, 2021, and July 31, 2020,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 2021</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78,484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85,547</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24,044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26,071</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135,662</w:t>
            </w: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$274,961 and $276,248 as of April 30, 2021, and July 31, 2020,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April 30, 2021 and July 31, 2020,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7"/>
              </w:rPr>
              <w:t>April 30,</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Definite-lived other intangible assets:</w:t>
            </w: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Customer relationships and tradenames</w:t>
            </w:r>
          </w:p>
        </w:tc>
        <w:tc>
          <w:tcPr>
            <w:tcW w:w="112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45,497</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(36,783)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8,714</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45,385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(32,670)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12,715</w:t>
            </w: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Indefinite-lived other intangible assets: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9,814</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9,619</w:t>
            </w:r>
          </w:p>
        </w:tc>
        <w:tc>
          <w:tcPr>
            <w:tcW w:w="0" w:type="dxa"/>
            <w:vAlign w:val="bottom"/>
          </w:tcPr>
          <w:p>
            <w:pPr>
              <w:spacing w:after="0"/>
              <w:rPr>
                <w:sz w:val="1"/>
                <w:szCs w:val="1"/>
                <w:color w:val="auto"/>
              </w:rPr>
            </w:pPr>
          </w:p>
        </w:tc>
      </w:tr>
      <w:tr>
        <w:trPr>
          <w:trHeight w:val="20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April 30, 2021 compared to July 31, 2020 was due to the effect of currency fluctuations during the nine-month period.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of intangible assets was $1,352 and $1,290 for the three months ended April 30, 2021 and 2020, respectively, and $4,056 and $3,872 for the nine months ended April 30, 2021 and 2020, respectively. Amortization expense over each of the next three fiscal years is projected to be $5,408, $5,121, and $2,241 for the fiscal years ending July 31, 2021, 2022, and 2023. No amortization expense for intangible assets is projected after July 31, 2023.</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ten years. As of April 30, 2021, the Company did not have any finance leases.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lease expense was $4,714 and $4,219 for the three months ended April 30, 2021 and 2020, respectively, and $12,956 and $13,897 for the nine months ended April 30, 2021 and 2020, respectively. Operating lease expense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nine months ended April 30, 2021 and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Supplemental cash flow information related to the Company's operating leases for the nine months ended April 30, 2021 and 2020,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w w:val="92"/>
              </w:rPr>
              <w:t>Nine months ended April 30,</w:t>
            </w:r>
          </w:p>
        </w:tc>
        <w:tc>
          <w:tcPr>
            <w:tcW w:w="56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5"/>
              </w:rPr>
              <w:t>2021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13,965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12,469</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5,832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10,637</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37,291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$0.2200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$0.2200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101,632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$0.6600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(32,013)</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$0.6434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93"/>
              </w:rPr>
              <w:t>(72,490)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13,633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3"/>
              </w:rPr>
              <w:t>(19,752)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(19,752)</w:t>
            </w:r>
          </w:p>
        </w:tc>
        <w:tc>
          <w:tcPr>
            <w:tcW w:w="0" w:type="dxa"/>
            <w:vAlign w:val="bottom"/>
          </w:tcPr>
          <w:p>
            <w:pPr>
              <w:spacing w:after="0"/>
              <w:rPr>
                <w:sz w:val="1"/>
                <w:szCs w:val="1"/>
                <w:color w:val="auto"/>
              </w:rPr>
            </w:pPr>
          </w:p>
        </w:tc>
      </w:tr>
      <w:tr>
        <w:trPr>
          <w:trHeight w:val="166"/>
        </w:trPr>
        <w:tc>
          <w:tcPr>
            <w:tcW w:w="398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(64,113)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Arial" w:cs="Arial" w:eastAsia="Arial" w:hAnsi="Arial"/>
                <w:sz w:val="16"/>
                <w:szCs w:val="16"/>
                <w:color w:val="auto"/>
              </w:rPr>
              <w:t>Class A — $0.2175 per share</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(10,542)</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$0.2175 per share</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Arial" w:cs="Arial" w:eastAsia="Arial" w:hAnsi="Arial"/>
                <w:sz w:val="16"/>
                <w:szCs w:val="16"/>
                <w:color w:val="auto"/>
              </w:rPr>
              <w:t>Balances at April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330,968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688,079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(106,751)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w w:val="93"/>
              </w:rPr>
              <w:t>(92,242)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820,602</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6"/>
                <w:szCs w:val="16"/>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34"/>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850,774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84,684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(20,988)</w:t>
            </w:r>
          </w:p>
        </w:tc>
        <w:tc>
          <w:tcPr>
            <w:tcW w:w="0" w:type="dxa"/>
            <w:vAlign w:val="bottom"/>
          </w:tcPr>
          <w:p>
            <w:pPr>
              <w:spacing w:after="0"/>
              <w:rPr>
                <w:sz w:val="1"/>
                <w:szCs w:val="1"/>
                <w:color w:val="auto"/>
              </w:rPr>
            </w:pPr>
          </w:p>
        </w:tc>
      </w:tr>
      <w:tr>
        <w:trPr>
          <w:trHeight w:val="166"/>
        </w:trPr>
        <w:tc>
          <w:tcPr>
            <w:tcW w:w="3820" w:type="dxa"/>
            <w:vAlign w:val="bottom"/>
          </w:tcPr>
          <w:p>
            <w:pPr>
              <w:ind w:left="20"/>
              <w:spacing w:after="0" w:line="166" w:lineRule="exact"/>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(6,314)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(64,113)</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$0.6525 per share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(32,197)</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Arial" w:cs="Arial" w:eastAsia="Arial" w:hAnsi="Arial"/>
                <w:sz w:val="16"/>
                <w:szCs w:val="16"/>
                <w:color w:val="auto"/>
              </w:rPr>
              <w:t>Class B — $0.6359 per share</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35"/>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gain on cash flow</w:t>
            </w: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18,014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April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(51,610)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(48,548)</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accumulated other comprehensive loss as of April 30, 2021 compared to July 31, 2020, was primarily due to the depreciation of the U.S. dollar against certain other currencies during the nine-month period.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(loss) on cash flow</w:t>
            </w: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before reclassification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(20,089)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April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(93,271)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(92,242)</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April 30, 2020, compared to July 31, 2019, was primarily due to the appreciation of the U.S. dollar against certain other currencies during the nine-month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nine months ended April 30, 2021 and 2020, unrealized gains on cash flow hedges were reclassified to "Cost of goods sold" and net unamortized gains on post-retirement plans were reclassified into "Investment and other income" on the condensed consolidated statements of income.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income (loss) for the three and nine months ended April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Income tax benefit (expense) related to items of other comprehensive income</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Income tax benefit (expense) related to items of other comprehensive income</w:t>
            </w:r>
          </w:p>
        </w:tc>
        <w:tc>
          <w:tcPr>
            <w:tcW w:w="980" w:type="dxa"/>
            <w:vAlign w:val="bottom"/>
            <w:vMerge w:val="restart"/>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(179)</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$2,567 and $2,559 as of April 30, 2021 and July 31, 2020, respectively. The current portion and non-current portion of contract liabilities are included in “Other current liabilities” and “Other liabilities," respectively, on the condensed consolidated balance sheets. The Company recognized revenue of $291 and $317 during the three months ended April 30, 2021 and 2020, respectively, and $882 and $948 during the nine months ended April 30, 2021 and 2020, respectively, that was included in the contract liability balance at the beginning of the respective period from the amortization of extended service warranties. Of the contract liability balance outstanding at April 30, 2021, the Company expects to recognize 11% by the end of fiscal 2021, an additional 38% by the end of fiscal 2022, and the remaining balance thereafter.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net sales by segment and geographic region for the three and nine months ended April 30, 2021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418,440</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50,416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129,884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65,194</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218,065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193,169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613,518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21,425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65,656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69,395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110,594</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36,048</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487,835</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92,907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240,478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101,242</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295,503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829,555</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and nine months ended April 30,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47,539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126,818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119,499</w:t>
            </w: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14,991</w:t>
            </w: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53,195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134,490</w:t>
            </w:r>
          </w:p>
        </w:tc>
      </w:tr>
      <w:tr>
        <w:trPr>
          <w:trHeight w:val="24"/>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income before income taxes and losses of unconsolidated affiliate for the three and nine months ended April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53,195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(15,865)</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Impairment charges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(13,821)</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r>
      <w:tr>
        <w:trPr>
          <w:trHeight w:val="21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47,775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106,080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computation of basic and diluted net income per share for the Company’s Class A and Class B common stock: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200" w:type="dxa"/>
            <w:vAlign w:val="bottom"/>
          </w:tcPr>
          <w:p>
            <w:pPr>
              <w:ind w:left="360"/>
              <w:spacing w:after="0" w:line="166" w:lineRule="exact"/>
              <w:rPr>
                <w:sz w:val="20"/>
                <w:szCs w:val="20"/>
                <w:color w:val="auto"/>
              </w:rPr>
            </w:pPr>
            <w:r>
              <w:rPr>
                <w:rFonts w:ascii="Arial" w:cs="Arial" w:eastAsia="Arial" w:hAnsi="Arial"/>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89"/>
              </w:rPr>
              <w:t>37,291</w:t>
            </w:r>
          </w:p>
        </w:tc>
        <w:tc>
          <w:tcPr>
            <w:tcW w:w="12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6"/>
                <w:szCs w:val="16"/>
                <w:color w:val="auto"/>
              </w:rPr>
              <w:t>Nonvoting Common Share)</w:t>
            </w:r>
          </w:p>
        </w:tc>
        <w:tc>
          <w:tcPr>
            <w:tcW w:w="8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46"/>
        </w:trPr>
        <w:tc>
          <w:tcPr>
            <w:tcW w:w="5200" w:type="dxa"/>
            <w:vAlign w:val="bottom"/>
          </w:tcPr>
          <w:p>
            <w:pPr>
              <w:ind w:left="360"/>
              <w:spacing w:after="0" w:line="146" w:lineRule="exact"/>
              <w:rPr>
                <w:sz w:val="20"/>
                <w:szCs w:val="20"/>
                <w:color w:val="auto"/>
              </w:rPr>
            </w:pPr>
            <w:r>
              <w:rPr>
                <w:rFonts w:ascii="Arial" w:cs="Arial" w:eastAsia="Arial" w:hAnsi="Arial"/>
                <w:sz w:val="16"/>
                <w:szCs w:val="16"/>
                <w:color w:val="auto"/>
                <w:w w:val="99"/>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37,291</w:t>
            </w:r>
          </w:p>
        </w:tc>
        <w:tc>
          <w:tcPr>
            <w:tcW w:w="12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100,820</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83,846</w:t>
            </w:r>
          </w:p>
        </w:tc>
        <w:tc>
          <w:tcPr>
            <w:tcW w:w="0" w:type="dxa"/>
            <w:vAlign w:val="bottom"/>
          </w:tcPr>
          <w:p>
            <w:pPr>
              <w:spacing w:after="0"/>
              <w:rPr>
                <w:sz w:val="1"/>
                <w:szCs w:val="1"/>
                <w:color w:val="auto"/>
              </w:rPr>
            </w:pPr>
          </w:p>
        </w:tc>
      </w:tr>
      <w:tr>
        <w:trPr>
          <w:trHeight w:val="190"/>
        </w:trPr>
        <w:tc>
          <w:tcPr>
            <w:tcW w:w="5200" w:type="dxa"/>
            <w:vAlign w:val="bottom"/>
          </w:tcPr>
          <w:p>
            <w:pPr>
              <w:ind w:left="360"/>
              <w:spacing w:after="0"/>
              <w:rPr>
                <w:sz w:val="20"/>
                <w:szCs w:val="20"/>
                <w:color w:val="auto"/>
              </w:rPr>
            </w:pPr>
            <w:r>
              <w:rPr>
                <w:rFonts w:ascii="Arial" w:cs="Arial" w:eastAsia="Arial" w:hAnsi="Arial"/>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w w:val="97"/>
              </w:rPr>
              <w:t>Denominator for basic income per share for both Class A and Class B</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52,050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53,023</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Arial" w:cs="Arial" w:eastAsia="Arial" w:hAnsi="Arial"/>
                <w:sz w:val="16"/>
                <w:szCs w:val="16"/>
                <w:color w:val="auto"/>
                <w:w w:val="95"/>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52,449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53,512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5200" w:type="dxa"/>
            <w:vAlign w:val="bottom"/>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Potentially dilutive securities attributable to outstanding stock options and restricted stock units were excluded from the calculation of diluted net income per share where the combined exercise price and average unamortized fair value were greater than the average market price of Brady's Class A Nonvoting Common Stock because the effect would have been anti-dilutive. The amount of anti-dilutive shares was 239,707 and 488,932 for the three months ended April 30, 2021 and 2020, respectively, and 603,356 and 353,752 for the nine months ended April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at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July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2021</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2020</w:t>
            </w:r>
          </w:p>
        </w:tc>
        <w:tc>
          <w:tcPr>
            <w:tcW w:w="1680" w:type="dxa"/>
            <w:vAlign w:val="bottom"/>
          </w:tcPr>
          <w:p>
            <w:pPr>
              <w:ind w:left="100"/>
              <w:spacing w:after="0"/>
              <w:rPr>
                <w:sz w:val="20"/>
                <w:szCs w:val="20"/>
                <w:color w:val="auto"/>
              </w:rPr>
            </w:pPr>
            <w:r>
              <w:rPr>
                <w:rFonts w:ascii="Arial" w:cs="Arial" w:eastAsia="Arial" w:hAnsi="Arial"/>
                <w:sz w:val="16"/>
                <w:szCs w:val="16"/>
                <w:b w:val="1"/>
                <w:bCs w:val="1"/>
                <w:color w:val="auto"/>
              </w:rPr>
              <w:t>Fair Value Hierarchy</w:t>
            </w:r>
          </w:p>
        </w:tc>
      </w:tr>
      <w:tr>
        <w:trPr>
          <w:trHeight w:val="19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6000" w:type="dxa"/>
            <w:vAlign w:val="bottom"/>
          </w:tcPr>
          <w:p>
            <w:pPr>
              <w:ind w:left="220"/>
              <w:spacing w:after="0"/>
              <w:rPr>
                <w:sz w:val="20"/>
                <w:szCs w:val="20"/>
                <w:color w:val="auto"/>
              </w:rPr>
            </w:pPr>
            <w:r>
              <w:rPr>
                <w:rFonts w:ascii="Arial" w:cs="Arial" w:eastAsia="Arial" w:hAnsi="Arial"/>
                <w:sz w:val="16"/>
                <w:szCs w:val="16"/>
                <w:color w:val="auto"/>
              </w:rPr>
              <w:t>Trading securities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20,169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18,606</w:t>
            </w:r>
          </w:p>
        </w:tc>
        <w:tc>
          <w:tcPr>
            <w:tcW w:w="100" w:type="dxa"/>
            <w:vAlign w:val="bottom"/>
          </w:tcPr>
          <w:p>
            <w:pPr>
              <w:spacing w:after="0"/>
              <w:rPr>
                <w:sz w:val="18"/>
                <w:szCs w:val="18"/>
                <w:color w:val="auto"/>
              </w:rPr>
            </w:pPr>
          </w:p>
        </w:tc>
        <w:tc>
          <w:tcPr>
            <w:tcW w:w="1680" w:type="dxa"/>
            <w:vAlign w:val="bottom"/>
          </w:tcPr>
          <w:p>
            <w:pPr>
              <w:ind w:left="1180"/>
              <w:spacing w:after="0"/>
              <w:rPr>
                <w:sz w:val="20"/>
                <w:szCs w:val="20"/>
                <w:color w:val="auto"/>
              </w:rPr>
            </w:pPr>
            <w:r>
              <w:rPr>
                <w:rFonts w:ascii="Arial" w:cs="Arial" w:eastAsia="Arial" w:hAnsi="Arial"/>
                <w:sz w:val="16"/>
                <w:szCs w:val="16"/>
                <w:color w:val="auto"/>
                <w:w w:val="92"/>
              </w:rPr>
              <w:t>Level 1</w:t>
            </w: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2"/>
              </w:rPr>
              <w:t>Level 2</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2"/>
              </w:rPr>
              <w:t>Level 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30, 2021</w:t>
            </w:r>
          </w:p>
        </w:tc>
        <w:tc>
          <w:tcPr>
            <w:tcW w:w="240" w:type="dxa"/>
            <w:vAlign w:val="bottom"/>
          </w:tcPr>
          <w:p>
            <w:pPr>
              <w:spacing w:after="0"/>
              <w:rPr>
                <w:sz w:val="18"/>
                <w:szCs w:val="18"/>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31, 2020</w:t>
            </w:r>
          </w:p>
        </w:tc>
      </w:tr>
      <w:tr>
        <w:trPr>
          <w:trHeight w:val="21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24,600</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38"/>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2021 and July 31, 2020, unrealized gains of $860 and losses of $385 have been included in OCI,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recognized in OCI</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Gains reclassified from OCI into cost of goods sold</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779</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left="20" w:right="1200"/>
        <w:spacing w:after="0" w:line="322" w:lineRule="auto"/>
        <w:rPr>
          <w:sz w:val="20"/>
          <w:szCs w:val="20"/>
          <w:color w:val="auto"/>
        </w:rPr>
      </w:pPr>
      <w:r>
        <w:rPr>
          <w:rFonts w:ascii="Arial" w:cs="Arial" w:eastAsia="Arial" w:hAnsi="Arial"/>
          <w:sz w:val="14"/>
          <w:szCs w:val="14"/>
          <w:b w:val="1"/>
          <w:bCs w:val="1"/>
          <w:color w:val="auto"/>
        </w:rPr>
        <w:t xml:space="preserve">Derivatives designated as hedging instruments: </w:t>
      </w:r>
      <w:r>
        <w:rPr>
          <w:rFonts w:ascii="Arial" w:cs="Arial" w:eastAsia="Arial" w:hAnsi="Arial"/>
          <w:sz w:val="14"/>
          <w:szCs w:val="14"/>
          <w:color w:val="auto"/>
        </w:rPr>
        <w:t>Foreign exchange contracts (cash flow hedges)</w:t>
      </w:r>
    </w:p>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exchange contracts (non-designated hedges)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April 30, 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Other current</w:t>
            </w:r>
          </w:p>
        </w:tc>
        <w:tc>
          <w:tcPr>
            <w:tcW w:w="100" w:type="dxa"/>
            <w:vAlign w:val="bottom"/>
          </w:tcPr>
          <w:p>
            <w:pPr>
              <w:spacing w:after="0"/>
              <w:rPr>
                <w:sz w:val="13"/>
                <w:szCs w:val="13"/>
                <w:color w:val="auto"/>
              </w:rPr>
            </w:pPr>
          </w:p>
        </w:tc>
        <w:tc>
          <w:tcPr>
            <w:tcW w:w="14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8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15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liabilities</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409"/>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435"/>
        </w:trPr>
        <w:tc>
          <w:tcPr>
            <w:tcW w:w="12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-728345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-453390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2" w:right="33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effective income tax rate for the three and nine months ended April 30, 2021, was 21.4% and 20.9%, respectively. The Company expects its annual effective income tax rate to approximate 20% over the long-term based on its current global business mix and based on current tax laws and statutory tax rates in effect. However, quarterly tax rates could vary substantially based on the respective facts and circumstances at that point in time.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income tax rate for the three and nine months ended April 30, 2020, was 38.5% and 20.2%, respectively. The effective income tax rate for the three months ended April 30, 2020 was higher than the expected income tax rate due to an increase in the valuation allowance against foreign tax credit carryforwards resulting from a decrease in the Company's expectations of future foreign source income.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19, 2021, the Board of Directors declared a quarterly cash dividend to shareholders of the Company’s Class A and Class B Common Stock of $0.22 per share payable on July 30, 2021, to shareholders of record at the close of business on July 9, 2021.</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19, 2021, the results of the Company’s cash tender offer for all of the outstanding, publicly-held shares of Nordic ID Oyj (“Nordic ID”) were finalized. According to the final results of the cash tender offer, the shares of Nordic ID that were validly tendered represent 92.9% of all outstanding shares and votes of Nordic ID. The Company intends to complete the cash tender offer on or about May 21, 2021, following which the Company intends to acquire all of the remaining outstanding shares of Nordic ID and cause Nordic ID to apply for delisting of its shares from Nasdaq First North Growth Market Finland. The cash consideration offered for each Nordic ID Share validly tendered in the Tender Offer is EUR 3.30 per share, which equates to a total equity purchase of EUR 8.1 million (USD 9.9 million), plus the assumption of debt of approximately USD 3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provides workplace safety, identification and compliance products, approximately half of which are internally manufactured and half of which are externally sourced.</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2021:</w:t>
      </w:r>
    </w:p>
    <w:p>
      <w:pPr>
        <w:spacing w:after="0" w:line="144" w:lineRule="exact"/>
        <w:rPr>
          <w:sz w:val="20"/>
          <w:szCs w:val="20"/>
          <w:color w:val="auto"/>
        </w:rPr>
      </w:pPr>
    </w:p>
    <w:p>
      <w:pPr>
        <w:ind w:left="660" w:right="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on our culture of diversity and inclusion to increase employee engagement and enhance recruitment and retention practices.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is deemed an essential business under the majority of local government orders. Our products support first responders, healthcare workers, food processing companies, and many other critical industries. During the three and nine months ended April 30, 2021, our facilities were operating globally with enhanced safety protocols designed to protect the health and safety of our employees.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taken actions throughout our business to reduce controllable costs, including actions to reduce labor costs, eliminate non-essential travel, and reduce discretionary spend. We believe we have the financial strength to continue to invest in organic sales growth opportunities, inorganic sales opportunities, and research and development ("R&amp;D"), while continuing to drive sustainable efficiencies and automation in our operations and selling, general and administrative ("SG&amp;A") functions. At April 30, 2021, we had cash of $321.8 million, an undrawn credit facility of $200 million, which can be increased up to $400 million at the Company's option and subject to certain conditions, and outstanding letters of credit of $3.6 million, for total available liquidity of approximately $718 million.</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financial resources, liquidity levels and debt-free status are sufficient to manage the impact of the COVID-19 pandemic, which may result in reduced sales, reduced net income, and reduced cash provided by operating activities. Refer to Risk Factors, included in Part I, Item 1A of our Annual Report on Form 10-K for the year ended July 31, 2020, along with Risks Factors, included in Part II, Item IA of this Quarterly Report on Form 10-Q for the period ended April 30, 2021, for further discussion of the possible impact of the COVID-19 pandemic on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nine months ended April 30, 2021 and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4"/>
              </w:rPr>
              <w:t>Three months ended April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6"/>
              </w:rPr>
              <w:t>Nine months ended April 30,</w:t>
            </w:r>
          </w:p>
        </w:tc>
        <w:tc>
          <w:tcPr>
            <w:tcW w:w="840" w:type="dxa"/>
            <w:vAlign w:val="bottom"/>
            <w:tcBorders>
              <w:bottom w:val="single" w:sz="8" w:color="auto"/>
            </w:tcBorders>
          </w:tcPr>
          <w:p>
            <w:pPr>
              <w:spacing w:after="0"/>
              <w:rPr>
                <w:sz w:val="18"/>
                <w:szCs w:val="18"/>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295,503</w:t>
            </w: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265,943</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838,568</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829,555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148,847</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129,527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413,797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410,059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49.4 %</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11,305</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9,814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31,384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31,298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90,817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1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Impairment charges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12"/>
        </w:trPr>
        <w:tc>
          <w:tcPr>
            <w:tcW w:w="3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102,122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106,858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287,472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305,255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36.8 %</w:t>
            </w:r>
          </w:p>
        </w:tc>
      </w:tr>
      <w:tr>
        <w:trPr>
          <w:trHeight w:val="207"/>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46,725</w:t>
            </w:r>
          </w:p>
        </w:tc>
        <w:tc>
          <w:tcPr>
            <w:tcW w:w="1320" w:type="dxa"/>
            <w:vAlign w:val="bottom"/>
            <w:gridSpan w:val="5"/>
          </w:tcPr>
          <w:p>
            <w:pPr>
              <w:jc w:val="right"/>
              <w:ind w:right="100"/>
              <w:spacing w:after="0"/>
              <w:rPr>
                <w:sz w:val="20"/>
                <w:szCs w:val="20"/>
                <w:color w:val="auto"/>
              </w:rPr>
            </w:pPr>
            <w:r>
              <w:rPr>
                <w:rFonts w:ascii="Arial" w:cs="Arial" w:eastAsia="Arial" w:hAnsi="Arial"/>
                <w:sz w:val="16"/>
                <w:szCs w:val="16"/>
                <w:color w:val="auto"/>
              </w:rPr>
              <w:t>15.8 %  $</w:t>
            </w:r>
          </w:p>
        </w:tc>
        <w:tc>
          <w:tcPr>
            <w:tcW w:w="740" w:type="dxa"/>
            <w:vAlign w:val="bottom"/>
          </w:tcPr>
          <w:p>
            <w:pPr>
              <w:jc w:val="right"/>
              <w:spacing w:after="0"/>
              <w:rPr>
                <w:sz w:val="20"/>
                <w:szCs w:val="20"/>
                <w:color w:val="auto"/>
              </w:rPr>
            </w:pPr>
            <w:r>
              <w:rPr>
                <w:rFonts w:ascii="Arial" w:cs="Arial" w:eastAsia="Arial" w:hAnsi="Arial"/>
                <w:sz w:val="16"/>
                <w:szCs w:val="16"/>
                <w:color w:val="auto"/>
              </w:rPr>
              <w:t>22,669</w:t>
            </w:r>
          </w:p>
        </w:tc>
        <w:tc>
          <w:tcPr>
            <w:tcW w:w="10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color w:val="auto"/>
              </w:rPr>
              <w:t>8.5 %  $</w:t>
            </w:r>
          </w:p>
        </w:tc>
        <w:tc>
          <w:tcPr>
            <w:tcW w:w="740" w:type="dxa"/>
            <w:vAlign w:val="bottom"/>
          </w:tcPr>
          <w:p>
            <w:pPr>
              <w:jc w:val="right"/>
              <w:spacing w:after="0"/>
              <w:rPr>
                <w:sz w:val="20"/>
                <w:szCs w:val="20"/>
                <w:color w:val="auto"/>
              </w:rPr>
            </w:pPr>
            <w:r>
              <w:rPr>
                <w:rFonts w:ascii="Arial" w:cs="Arial" w:eastAsia="Arial" w:hAnsi="Arial"/>
                <w:sz w:val="16"/>
                <w:szCs w:val="16"/>
                <w:color w:val="auto"/>
              </w:rPr>
              <w:t>126,325</w:t>
            </w:r>
          </w:p>
        </w:tc>
        <w:tc>
          <w:tcPr>
            <w:tcW w:w="1260" w:type="dxa"/>
            <w:vAlign w:val="bottom"/>
            <w:gridSpan w:val="4"/>
          </w:tcPr>
          <w:p>
            <w:pPr>
              <w:jc w:val="right"/>
              <w:ind w:right="120"/>
              <w:spacing w:after="0"/>
              <w:rPr>
                <w:sz w:val="20"/>
                <w:szCs w:val="20"/>
                <w:color w:val="auto"/>
              </w:rPr>
            </w:pPr>
            <w:r>
              <w:rPr>
                <w:rFonts w:ascii="Arial" w:cs="Arial" w:eastAsia="Arial" w:hAnsi="Arial"/>
                <w:sz w:val="16"/>
                <w:szCs w:val="16"/>
                <w:color w:val="auto"/>
              </w:rPr>
              <w:t>15.1 %  $</w:t>
            </w:r>
          </w:p>
        </w:tc>
        <w:tc>
          <w:tcPr>
            <w:tcW w:w="740" w:type="dxa"/>
            <w:vAlign w:val="bottom"/>
          </w:tcPr>
          <w:p>
            <w:pPr>
              <w:jc w:val="right"/>
              <w:spacing w:after="0"/>
              <w:rPr>
                <w:sz w:val="20"/>
                <w:szCs w:val="20"/>
                <w:color w:val="auto"/>
              </w:rPr>
            </w:pPr>
            <w:r>
              <w:rPr>
                <w:rFonts w:ascii="Arial" w:cs="Arial" w:eastAsia="Arial" w:hAnsi="Arial"/>
                <w:sz w:val="16"/>
                <w:szCs w:val="16"/>
                <w:color w:val="auto"/>
              </w:rPr>
              <w:t>104,804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3"/>
        </w:trPr>
        <w:tc>
          <w:tcPr>
            <w:tcW w:w="33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April 30, 2021, increased 11.1% to $295.5 million, compared to $265.9 million in the same period of the prior year. The increase consisted of an organic sales growth of 6.5% and a positive currency impact of 4.6% due to the weakening of the U.S. Dollar against certain other currencies as compared to the same period in the prior year. Organic sales grew 9.8% in the IDS segment and declined 2.2% in the WPS segment during the three months ended April 30, 2021, compared to the same period in the prior year.</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most significant impact on organic sales due to the COVID-19 pandemic started in the second half of fiscal 2020 when varied government responses to the pandemic impacted a large demographic of our customers and the overall global economy. The IDS segment realized reduced demand across all major product lines beginning in the third quarter fiscal 2020, while the WPS segment realized essentially flat organic sales in the third quarter in fiscal 2020 primarily due to increased sales of personal protective equipment and other pandemic-related products which offset decreased demand in other core products. For the three months ended April 30, 2021, the COVID-19 pandemic continued to affect sales in the IDS and WPS segments, although to a much lesser extent compared to the same period in the prior year.</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sales for the nine months ended April 30, 2021, increased 1.1% to $838.6 million, compared to $829.6 million in the same period of the prior year. The increase consisted of an organic sales decline of 1.7% and a positive currency impact of 2.8%. Organic sales declined 2.1% in the IDS segment and declined 0.5% in the WPS segment during the nine months ended April 30, 2021, compared to the same period in the prior year. The COVID-19 pandemic had a significant impact on organic sales during the nine months ended April 30, 2021, with the impact varying between the IDS and WPS segments.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Gross margin increased 14.9% to $148.8 million in the three months ended April 30, 2021, compared to $129.5 million in the same period in the prior year. As a percentage of net sales, gross margin increased to 50.4% compared to 48.7% in the same period in the prior year. The increase was due to the increase in sales volumes in our IDS business, which was partially offset by a decrease in gross margin in our WPS business due to product mix. Gross margin increased 0.9% to $413.8 million for the nine months ended April 30, 2021, compared to $410.1 million in the same period in the prior year. As a percentage of net sales, gross margin decreased to 49.3% compared to 49.4% in the same period in the prior year. The decrease in gross margin during the nine-month period was due to reduced sales volumes in both IDS and WPS as well as product mix in our WPS business.</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R&amp;D expenses increased 15.2% to $11.3 million and increased 0.3% to $31.4 million for the three and nine months ended April 30, 2021, respectively, compared to $9.8 million and $31.3 million in the same periods in the prior year. As a percentage of sales, R&amp;D expenses remained essentially flat for both the three and nine months ended April 30, 2021, compared to the same periods of the prior year. The increase in R&amp;D spending for both the three and nine-month periods was primarily due to an increase in incentive-based compensation, which was partially offset by a decrease in headcount, improved efficiency, and the timing of expenditures related to ongoing new product development costs compared to the same periods in the prior year. The Company remains committed to investing in new product development to increase sales within our IDS and WPS businesses. Investments in new printers and materials continue to be the primary focus of R&amp;D expenditures.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SG&amp;A expenses include selling and administration costs directly attributed to the IDS and WPS segments, as well as certain other corporate administrative expenses including finance, information technology, human resources, and other administrative expenses. SG&amp;A expenses increased 9.1% to $90.8 million in the three months ended April 30, 2021, compared to $83.2 million in the same period in the prior year. As a percentage of net sales, SG&amp;A decreased to 30.7% compared to 31.3% in the same period in the prior year. The increase in SG&amp;A expenses was primarily due to increased incentive compensation compared to the lower than normal incentive compensation in the prior year, and foreign currency translation. The decrease as a percentage of net sales was due to a reduction in the SG&amp;A cost structure and a reduction in discretionary spend including a decrease in travel for our sales people when compared to the same period in the prior year.</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decreased 1.6% to $256.1 million for the nine months ended April 30, 2021, compared to $260.1 million in the same period in the prior year. As a percentage of net sales, SG&amp;A decreased to 30.5% from 31.4% in the same period in the prior year. The decrease in SG&amp;A was due to a reduction in the SG&amp;A cost structure and a reduction in discretionary spend including a decrease in travel for our sales people when compared to the same period in the prior year, which was partially offset by an increase in incentive compensation and foreign currency translation.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global economic slowdown that began during the three months ended April 30, 2020 due to the COVID-19 pandemic, management evaluated whether indicators of impairment of intangible assets and other long-lived assets existed. Management concluded that the COVID-19 pandemic resulted in indicators of impairment in certain businesses within the WPS and IDS segments, and performed an interim impairment analysis. As a result of the analysis, impairment charges of $13.8 million related to other intangible and long-lived assets, primarily in the WPS segment, were recorded during the three months ended April 30, 2020.</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106.1% to $46.7 million and increased 20.5% to $126.3 million for the three and nine months ended April 30, 2021, respectively, compared to $22.7 million and $104.8 million in the same periods in the prior year. The increase in operating income in both the three and nine-month periods was primarily due to the increase in segment profit in the IDS segment and the impairment charge recognized during the period ended April 30,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w w:val="94"/>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1"/>
              </w:rPr>
              <w:t>Nine months ended April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Income before income tax and losses of</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22,153</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129,409</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106,080</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unconsolidated affiliate</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before losses of unconsolidated affiliate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84,684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$1.2 million and $0.1 million for the three months ended April 30, 2021 and 2020, respectively. The increase in the three-month period was primarily due to an increase in the market value of securities held in deferred compensation plans, which was partially offset by a decrease in interest income due to the decline in interest rates. Investment and other income was consistent at $3.4 million and $3.3 million for the nine months ended April 30, 2021 and 2020, respectively.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decreased to $0.1 million and $0.3 million for the three and nine months ended April 30, 2021, respectively, compared to $0.6 million and $2.0 million in the same periods in the prior year. The decrease in interest expense for both the three and nine-month periods was due to the repayment of the Company's principal balance under its private placement debt agreement during the fourth quarter of fiscal 2020.</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income tax rate was 21.4% and 38.5% for the three months ended April 30, 2021 and 2020, and the income tax rate was 20.9% and 20.2% for the nine months ended April 30, 2021 and 2020, respectively. Refer to Note M, "Income Taxes" for additional information on the Company's income tax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Equity in losses of unconsolidated affiliate of $0.3 million and $0.8 million for the three and nine months ended April 30, 2021, respectively, represented the Company's proportionate share of the loss in its equity interest in React Mobile, Inc., an employee safety software and hardware company based in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equity in losses of unconsolidated affiliate, and certain corporate administrative expenses are excluded when evaluating segment performance.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April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6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7"/>
              </w:rPr>
              <w:t>(1.5)%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7"/>
              </w:rPr>
              <w:t>(4.1)%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7"/>
              </w:rPr>
              <w:t>(2.2)%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4"/>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13"/>
        </w:trPr>
        <w:tc>
          <w:tcPr>
            <w:tcW w:w="5800" w:type="dxa"/>
            <w:vAlign w:val="bottom"/>
            <w:gridSpan w:val="2"/>
          </w:tcPr>
          <w:p>
            <w:pPr>
              <w:ind w:left="360"/>
              <w:spacing w:after="0"/>
              <w:rPr>
                <w:sz w:val="20"/>
                <w:szCs w:val="20"/>
                <w:color w:val="auto"/>
              </w:rPr>
            </w:pPr>
            <w:r>
              <w:rPr>
                <w:rFonts w:ascii="Arial" w:cs="Arial" w:eastAsia="Arial" w:hAnsi="Arial"/>
                <w:sz w:val="16"/>
                <w:szCs w:val="16"/>
                <w:color w:val="auto"/>
              </w:rPr>
              <w:t>Workplace Safety</w:t>
            </w:r>
          </w:p>
        </w:tc>
        <w:tc>
          <w:tcPr>
            <w:tcW w:w="54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35"/>
        </w:trPr>
        <w:tc>
          <w:tcPr>
            <w:tcW w:w="4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15.3 %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IDS net sales increased 12.9% to $218.1 million for the three months ended April 30, 2021, compared to the same period in the prior year, which consisted of organic sales growth of 9.8% and an increase from foreign currency translation of 3.1%. The economic slowdown caused by the COVID-19 pandemic had a significant impact on organic sales trends in the three months ended April 30, 2021 and 2020. Organic sales recovered in all major product lines with growth in the safety and facility identification, healthcare identification, product identification, and wire identification product lines in the three months ended April 30, 2021. Demand increased in most end markets as economic activity improved following the disruption caused by the COVID-19 pandemic during the second half of fiscal 2020 and the first half of fiscal 2021.</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IDS net sales declined 0.5% to $610.5 million for the nine months ended April 30, 2021, compared to the same period in the prior year, which consisted of an organic sales decline of 2.1% and an increase from foreign currency translation of 1.6%. Organic sales declined in the nine-month period due to reduced demand during the first half of the fiscal year resulting from the economic slowdown caused by the COVID-19 pandemic. Organic sales declined in the safety and facility identification and healthcare identification product lines, which was partially offset by organic sales growth in the product identification and wire identification product lines.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increased in the high-single digits for the three months ended April 30, 2021, compared to the same period in the prior year. Organic sales grew in all major product lines with growth in the wire identification, safety and facility identification, product identification, and healthcare identification product lines. Organic sales grew in the high-single digits in the United States and grew approximately 20% in the remainder of the Americas region for the three months ended April 30,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declined in the low-single digits for the nine months ended April 30, 2021, compared to the same period in the prior year. Organic sales declined in the healthcare identification and safety and facility identification product lines due to reduced demand during the first half of the fiscal year resulting from the economic slowdown caused by the COVID-19 pandemic. This was partially offset by organic sales growth in the product identification and wire identification product lines. Organic sales declined in the low-single digits in the United States and grew in the mid-single digits in the remainder of the Americas region for the nine months ended April 30, 2021.</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increased in the low-double digits for the three months ended April 30, 2021, compared to the same period in the prior year. Organic sales grew in the safety and facility identification, product identification, and wire identification product lines. Organic sales growth was broad-based throughout both Western Europe and businesses based in emerging geographies primarily due to increased economic activity following the disruption caused by the COVID-19 pandemic.</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declined in the low-single digits for the nine months ended April 30, 2021, compared to the same period in the prior year. Organic sales declined in the healthcare identification product line primarily due to reduced demand from the economic slowdown caused by the COVID-19 pandemic, which was partially offset by organic sales growth in the product identification, safety and facility identification, and wire identification product lines. Organic sales declined throughout Western Europe which was partially offset by organic sales growth in emerging geographies during the nine-month period.</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Organic sales in Asia increased in the low-double digits for the three months ended April 30, 2021, and increased in the mid-single digits for the nine months ended April 30, 2021, compared to the same periods in the prior year. Organic sales growth in both periods was primarily driven by growth in the product identification product line, and to a lesser extent growth in the wire identification and safety and facility identification product lines due to increased demand for industrial identification products. Organic sales in China grew in the low-single digits in both periods. Organic sales grew nearly 20% throughout the rest of Asia for the three-month period and grew in the high-single digits for the nine-month period ended April 30, 2021.</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Segment profit increased 30.6% to $47.5 million for the three months ended April 30, 2021, compared to $36.4 million in the same period in the prior year. Segment profit increased 6.1% to $126.8 million for the nine months ended April 30, 2021, compared to $119.5 million for the same period in the prior year. As a percentage of net sales, segment profit increased to 21.8% from 18.8% for the three-month period, and segment profit increased to 20.8% from 19.5% for the nine-month period ended April 30, 2021 compared to the same periods in the prior year. The increase in segment profitability was due to increased sales volumes and an overall reduction in the cost structure throughout the IDS segment.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WPS net sales increased 6.4% to $77.4 million for the three months ended April 30, 2021, compared to the same period in the prior year, which consisted of an organic sales decline of 2.2% and an increase from foreign currency translation of 8.6%. The economic effect of the COVID-19 pandemic had a significant impact on organic sales trends during the second half of fiscal 2020. The WPS business refined its digital marketing efforts to focus on the increase in demand for personal protective equipment and other social distancing signage and floor markings resulting from the COVID-19 pandemic. These actions resulted in a significant increase in sales in these product categories while sales of core safety and identification products declined due to the economic disruption caused by the pandemic. WPS continues to sell COVID-19 pandemic-related products, but there was reduced demand for these products and sales did not replace the decline in demand for core safety and identification products in the three months ended April 30, 2021 compared to the same period in the prior year.</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WPS net sales increased 5.6% to $228.1 million for the nine months ended April 30, 2021, compared to the same period in the prior year, which consisted of an organic sales decline of 0.5% and an increase from foreign currency translation of 6.1%. Due to the increased digital marketing efforts around demand for personal protective equipment and other social distancing signage and floor markings resulting from the COVID-19 pandemic, the business realized organic sales growth in the first half of fiscal 2021. WPS continues to sell COVID-19 pandemic-related products, but the demand for these products has declined and sales did not replace the decline in demand for core safety and identification products in the nine months ended April 30, 2021 compared to the same period in the prior year.</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Europe increased in the low-single digits for the three and nine months ended April 30, 2021, compared to the same periods in the prior year. Digital sales increased in the mid-single digits in the three months and increased in the high-single digits in the nine months ended April 30, 2021, while sales through the catalog channel increased in the low-single digits in both periods. Organic sales growth in Europe was led by businesses in France, which was partially offset by a decline in organic sales throughout the remainder of Western Europe.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North America declined in the low-single digits for the three months ended April 30, 2021, compared to the same period in the prior year. Due to the increased digital marketing efforts around demand for personal protective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equipment and other social distancing signage and floor markings resulting from the COVID-19 pandemic, the business realized increased sales of these products during the second half of fiscal 2020. Demand for these products declined and COVID-19 pandemic-related product sales did not replace the decline in demand for core safety and identification products in the three months ended April 30, 2021 compared to the same period in the prior year. Digital sales increased in the high-single digits and sales through the catalog channel decreased in the low-single digits in the three months ended April 30, 2021.</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Organic sales in North America declined in the mid-single digits for the nine months ended April 30, 2021, compared to the same period in the prior year. The decline was driven by one of our businesses in the United States that sells primarily to small companies, which resulted in a significant decline in sales at the beginning of the COVID-19 pandemic and has only recently annualized the significant sales declines realized in the prior year. Digital sales increased in the mid-single digits and sales through the catalog channel decreased in the high-single digits in the nine months ended April 30, 2021.</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Australia declined in the high-teens for the three months ended April 30, 2021, compared to the same period in the prior year. The WPS Australia business refined its digital marketing efforts to focus on the increase in demand for personal protective equipment and other social distancing signage and floor markings resulting from the COVID-19 pandemic. These actions resulted in significant organic sales growth in Australia in the second half of fiscal 2020 and the first half of fiscal 2021. The business continues to sell COVID-19 pandemic-related products including personal protective equipment, social distancing signage and floor markings, but demand has decreased significantly compared to the organic sales growth of nearly 30% that the business generated in the three months ended April 30, 2020.</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declined in the mid-single digits for the nine months ended April 30, 2021, compared to the same period in the prior year. Organic sales growth from COVID-19 pandemic-related products began to slow during the second quarter of fiscal 2021, while demand for core safety and identification products did not replace the decrease in sales of COVID-19 pandemic-related products. Organic sales increased in the high-single digits in the nine months ended April 30, 2020.</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29.2% to $5.7 million from $4.4 million and as a percentage of net sales, segment profit increased to 7.3% from 6.0% for the three months ended April 30, 2021, compared to the same period in the prior year. Segment profit increased 14.1% to $17.1 million from $15.0 million and as a percentage of net sales, segment profit increased to 7.5% from 6.9% for the nine months ended April 30, 2021, compared to the same period in the prior year. The increase in segment profit in both the three and nine-month periods was primarily due to increased sales in the current year and the additional costs incurred in the prior year to address our cost structure.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April 30, 2021, approximately 70%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$321.8 million at April 30, 2021, an increase of $104.2 million from July 31, 2020.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154,908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95,913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(26,035)</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(101,047)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(40,192)</w:t>
            </w:r>
          </w:p>
        </w:tc>
      </w:tr>
      <w:tr>
        <w:trPr>
          <w:trHeight w:val="24"/>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provided by operating activities was $154.9 million for the nine months ended April 30, 2021, compared to $95.9 million in the same period of the prior year. The increase was primarily due to an increase in net income and an increase in cash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by working capital. Inventory levels were reduced which resulted in an increase in cash provided by operating activities, which was due to a planned reduction in inventory following a period of increased inventory levels to reduce the risk of supply chain disruption resulting from the COVID-19 pandemic. In addition, annual incentive compensation payments were lower in the current nine-month period compared to the same period in the prior year. This was partially offset by a decrease in cash provided by accounts receivable due to increased sequential sales during the nine months ended April 30, 2021.</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$18.8 million for the nine months ended April 30, 2021, compared to $26.0 million in the same period of the prior year. The decrease in net cash used in investing activities relates was primarily due to the proceeds received from the sale of a facility during the nine months ended April 30, 2021.</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$39.3 million during the nine months ended April 30, 2021, compared to $101.0 million in the same period of the prior year. The decrease in cash used in financing activities was due to a decrease in cash used for share repurchases from $64.1 million in the nine months ended April 30, 2020 to $3.6 million in the nine months ended April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 The maximum amount outstanding on the Company's revolving loan agreement during the nine months ended April 30, 2021 was $10.6 million. As of April 30, 2021, there were no borrowings outstanding on the credit facility. The Company had letters of credit outstanding under the loan agreement of $3.6 million as of April 30, 2021 and there was $196.4 million available for future borrowing, which can be increased to $396.4 million at the Company's option, subject to certain conditions. The revolving loan agreement has a final maturity date of August 1, 2024, as such, any borrowing would be classified as long-term on the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ratio). As of April 30, 2021, the Company was in compliance with these financial covenants.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does not have material off-balance sheet arrangements. The Company is not aware of factors that are reasonably likely to adversely affect liquidity trends, other than the risk factors described in this Quarterly Report and its other filings with the Securities and Exchange Commission. However, the following additional information is provided to assist those reviewing the Company’s financial statements.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position, business strategy, targets, projected sales, costs, income, capital expenditures, debt levels and cash flows, and plans and objectives of management for future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 and other cost increases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540" w:hanging="330"/>
        <w:spacing w:after="0" w:line="253"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set forth in this report and within Item 1A of Part I of Brady's Form 10-K for the year ended July 31, 2020.</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2020. There has been no material change in this information since July 31, 2020.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Brady's Annual Report on Form 10-K for the year ended July 31, 2020. Other than as set forth below, there have been no material changes from the risk factors set forth in the 2020 Form 10-K.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has significantly impacted worldwide economic conditions and could continue to have a material adverse effect on our operations and business.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ongoing COVID-19 pandemic initially impacted our operations in the third quarter of fiscal 2020, and may continue to affect our business, particularly if conditions worsen and government authorities impose new or expanded mandatory closures, work-from-home orders or social distancing protocols, seek voluntary facility closures or impose other restrictions. Such actions could adversely affect our ability to adequately staff and maintain our operations and negatively impact our financial results. The effects of the COVID-19 pandemic also may include restrictions on our employees’ ability to visit customers as well as disruptions or temporary closures of our facilities.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response to the COVID-19 pandemic, we have enabled remote working arrangements, which may create increased vulnerability to cybersecurity incidents, including breaches of information systems security. Such incidents could damage our reputation and commercial relationships, disrupt operations, increase costs or decrease revenues, and expose us to claims from customers, suppliers, financial institutions, regulators, payment card associations, employees and others.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attempt to maintain sufficient inventory levels in order to meet rapidly shifting customer demand patterns and supplier lead time requirements, we cannot be certain we will be able to accurately predict demand or lead times, which may cause us to be unable to service customer demand or expose us to risks of product shortages, or result in excess inventory, which could lead to additional inventory carrying costs and inventory obsolescence.</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duration and ultimate impact of the COVID-19 pandemic on our business, results of operations and financial condition, including liquidity, capital and financing resources, will depend on numerous evolving factors and future developments. Such factors and developments may include the geographic spread, severity and duration of the COVID-19 pandemic, including whether there are periods of increased COVID-19 cases or other variants, disruption to our operations resulting from employee illnesses, the availability and administration of effective treatment or vaccines, as well as vaccination rates, the extent and duration of the impact on the U.S. and global economy, including the pace and extent of recovery as the pandemic subsides, and the actions that have been or may be taken by various governmental authorities in response to the outbreak, including current and future health and safety measures, such as mandatory facility closures of non-essential businesses, stay-at-home orders or similar restrictions, social distancing mandates and travel bans, and import and export restrictions, which could disrupt our relationship with customers. If we are unable to respond to and manage the impact of these events, our business and results of operations may be adversely affected.</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our accounting estimates contemplate current and expected future conditions, as applicable, it is reasonably possible that actual conditions could differ from our expectations, which could materially affect our results of operations and financial position. As a result, our accounting estimates and assumptions may change over time in response to COVID-19. Such changes could result in future impairments of goodwill, intangible assets, long-lived assets, incremental credit losses on accounts receivable, excess and obsolete inventory, or a decrease in the carrying amount of our deferred tax assets. Any of these events could amplify the other risks and uncertainties described in our Annual Report on Form 10-K for the fiscal year ended July 31, 2020 and could have an adverse effect on our business and financial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60" w:type="dxa"/>
            <w:vAlign w:val="bottom"/>
            <w:tcBorders>
              <w:top w:val="single" w:sz="8" w:color="auto"/>
            </w:tcBorders>
            <w:gridSpan w:val="7"/>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Combination Agreement, dated as of April 15, 2021, by and among Brady Corporation and Nordic ID Ovi (incorporated by</w:t>
              </w:r>
            </w:hyperlink>
          </w:p>
        </w:tc>
      </w:tr>
      <w:tr>
        <w:trPr>
          <w:trHeight w:val="156"/>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reference to Exhibit 2.1 to the Company's Current Report on Form 8-K, dated April 15, 2021)</w:t>
              </w:r>
            </w:hyperlink>
          </w:p>
        </w:tc>
        <w:tc>
          <w:tcPr>
            <w:tcW w:w="2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Rule 13a-14(a)/15d-14(a) Certification of J. Michael Nauman</w:t>
              </w:r>
            </w:hyperlink>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Rule 13a-14(a)/15d-14(a) Certification of Aaron J. Pearce</w:t>
              </w:r>
            </w:hyperlink>
          </w:p>
        </w:tc>
        <w:tc>
          <w:tcPr>
            <w:tcW w:w="260" w:type="dxa"/>
            <w:vAlign w:val="bottom"/>
            <w:tcBorders>
              <w:top w:val="single" w:sz="8" w:color="0000FF"/>
            </w:tcBorders>
          </w:tcPr>
          <w:p>
            <w:pPr>
              <w:spacing w:after="0"/>
              <w:rPr>
                <w:sz w:val="24"/>
                <w:szCs w:val="24"/>
                <w:color w:val="auto"/>
              </w:rPr>
            </w:pPr>
          </w:p>
        </w:tc>
        <w:tc>
          <w:tcPr>
            <w:tcW w:w="4520" w:type="dxa"/>
            <w:vAlign w:val="bottom"/>
            <w:gridSpan w:val="3"/>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Section 1350 Certification of J. Michael Nauman</w:t>
              </w:r>
            </w:hyperlink>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Section 1350 Certification of Aaron J. Pearce</w:t>
              </w:r>
            </w:hyperlink>
          </w:p>
        </w:tc>
        <w:tc>
          <w:tcPr>
            <w:tcW w:w="260" w:type="dxa"/>
            <w:vAlign w:val="bottom"/>
            <w:tcBorders>
              <w:top w:val="single" w:sz="8" w:color="0000FF"/>
            </w:tcBorders>
          </w:tcPr>
          <w:p>
            <w:pPr>
              <w:spacing w:after="0"/>
              <w:rPr>
                <w:sz w:val="24"/>
                <w:szCs w:val="24"/>
                <w:color w:val="auto"/>
              </w:rPr>
            </w:pPr>
          </w:p>
        </w:tc>
        <w:tc>
          <w:tcPr>
            <w:tcW w:w="5420" w:type="dxa"/>
            <w:vAlign w:val="bottom"/>
            <w:gridSpan w:val="5"/>
          </w:tcPr>
          <w:p>
            <w:pPr>
              <w:spacing w:after="0"/>
              <w:rPr>
                <w:sz w:val="24"/>
                <w:szCs w:val="24"/>
                <w:color w:val="auto"/>
              </w:rPr>
            </w:pPr>
          </w:p>
        </w:tc>
      </w:tr>
      <w:tr>
        <w:trPr>
          <w:trHeight w:val="46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 are</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XBRL Taxonomy Schema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00"/>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Arial" w:cs="Arial" w:eastAsia="Arial" w:hAnsi="Arial"/>
                <w:sz w:val="18"/>
                <w:szCs w:val="18"/>
                <w:color w:val="auto"/>
              </w:rPr>
              <w:t>SIGNATURES</w:t>
            </w:r>
          </w:p>
        </w:tc>
      </w:tr>
      <w:tr>
        <w:trPr>
          <w:trHeight w:val="257"/>
        </w:trPr>
        <w:tc>
          <w:tcPr>
            <w:tcW w:w="3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240" w:type="dxa"/>
            <w:vAlign w:val="bottom"/>
          </w:tcPr>
          <w:p>
            <w:pPr>
              <w:spacing w:after="0"/>
              <w:rPr>
                <w:sz w:val="20"/>
                <w:szCs w:val="20"/>
                <w:color w:val="auto"/>
              </w:rPr>
            </w:pPr>
            <w:r>
              <w:rPr>
                <w:rFonts w:ascii="Arial" w:cs="Arial" w:eastAsia="Arial" w:hAnsi="Arial"/>
                <w:sz w:val="18"/>
                <w:szCs w:val="18"/>
                <w:color w:val="auto"/>
              </w:rPr>
              <w:t>Date: May 20, 2021</w:t>
            </w:r>
          </w:p>
        </w:tc>
        <w:tc>
          <w:tcPr>
            <w:tcW w:w="392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 MICHAEL NAUMAN</w:t>
            </w:r>
          </w:p>
        </w:tc>
      </w:tr>
      <w:tr>
        <w:trPr>
          <w:trHeight w:val="222"/>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29"/>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240" w:type="dxa"/>
            <w:vAlign w:val="bottom"/>
          </w:tcPr>
          <w:p>
            <w:pPr>
              <w:spacing w:after="0"/>
              <w:rPr>
                <w:sz w:val="20"/>
                <w:szCs w:val="20"/>
                <w:color w:val="auto"/>
              </w:rPr>
            </w:pPr>
            <w:r>
              <w:rPr>
                <w:rFonts w:ascii="Arial" w:cs="Arial" w:eastAsia="Arial" w:hAnsi="Arial"/>
                <w:sz w:val="18"/>
                <w:szCs w:val="18"/>
                <w:color w:val="auto"/>
              </w:rPr>
              <w:t>Date: May 20, 2021</w:t>
            </w:r>
          </w:p>
        </w:tc>
        <w:tc>
          <w:tcPr>
            <w:tcW w:w="392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29"/>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20,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0" Type="http://schemas.openxmlformats.org/officeDocument/2006/relationships/hyperlink" Target="https://www.sec.gov/Archives/edgar/data/746598/000074659821000057/exhibit21combin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2021-05-20T06:20:25Z</dcterms:created>
  <dcterms:modified xsi:type="dcterms:W3CDTF">2021-05-20T06:20:25Z</dcterms:modified>
</cp:coreProperties>
</file>