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January 31, 2007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580" w:type="dxa"/>
            <w:vAlign w:val="bottom"/>
          </w:tcPr>
          <w:p>
            <w:pPr>
              <w:spacing w:after="0"/>
              <w:rPr>
                <w:sz w:val="17"/>
                <w:szCs w:val="17"/>
                <w:color w:val="auto"/>
              </w:rPr>
            </w:pPr>
          </w:p>
        </w:tc>
        <w:tc>
          <w:tcPr>
            <w:tcW w:w="23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20"/>
        </w:trPr>
        <w:tc>
          <w:tcPr>
            <w:tcW w:w="2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45"/>
        </w:trPr>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4"/>
          </w:tcPr>
          <w:p>
            <w:pPr>
              <w:ind w:left="320"/>
              <w:spacing w:after="0"/>
              <w:rPr>
                <w:sz w:val="20"/>
                <w:szCs w:val="20"/>
                <w:color w:val="auto"/>
              </w:rPr>
            </w:pPr>
            <w:r>
              <w:rPr>
                <w:rFonts w:ascii="Arial" w:cs="Arial" w:eastAsia="Arial" w:hAnsi="Arial"/>
                <w:sz w:val="18"/>
                <w:szCs w:val="18"/>
                <w:b w:val="1"/>
                <w:bCs w:val="1"/>
                <w:color w:val="auto"/>
                <w:w w:val="90"/>
              </w:rPr>
              <w:t>Commission File Number 1-14959</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39-0178960</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ind w:right="2320" w:firstLine="2851"/>
        <w:spacing w:after="0" w:line="282"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o Non-accelerated filer o 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7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ONLY TO CORPORATE ISSUERS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March 2, 2007, there were outstanding 50,409,791 shares of Class A Nonvoting Common Stock and 3,538,628 shares of Class B Voting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00" w:type="dxa"/>
            <w:vAlign w:val="bottom"/>
            <w:gridSpan w:val="2"/>
          </w:tcPr>
          <w:p>
            <w:pPr>
              <w:jc w:val="center"/>
              <w:ind w:right="4700"/>
              <w:spacing w:after="0"/>
              <w:rPr>
                <w:sz w:val="20"/>
                <w:szCs w:val="20"/>
                <w:color w:val="auto"/>
              </w:rPr>
            </w:pPr>
            <w:r>
              <w:rPr>
                <w:rFonts w:ascii="Arial" w:cs="Arial" w:eastAsia="Arial" w:hAnsi="Arial"/>
                <w:sz w:val="18"/>
                <w:szCs w:val="18"/>
                <w:color w:val="auto"/>
                <w:w w:val="93"/>
              </w:rPr>
              <w:t>FORM 10-Q</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80" w:type="dxa"/>
            <w:vAlign w:val="bottom"/>
            <w:gridSpan w:val="3"/>
          </w:tcPr>
          <w:p>
            <w:pPr>
              <w:jc w:val="center"/>
              <w:ind w:right="4140"/>
              <w:spacing w:after="0"/>
              <w:rPr>
                <w:sz w:val="20"/>
                <w:szCs w:val="20"/>
                <w:color w:val="auto"/>
              </w:rPr>
            </w:pPr>
            <w:r>
              <w:rPr>
                <w:rFonts w:ascii="Arial" w:cs="Arial" w:eastAsia="Arial" w:hAnsi="Arial"/>
                <w:sz w:val="18"/>
                <w:szCs w:val="18"/>
                <w:color w:val="auto"/>
                <w:w w:val="96"/>
              </w:rPr>
              <w:t>BRADY CORPORATION</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00" w:type="dxa"/>
            <w:vAlign w:val="bottom"/>
            <w:gridSpan w:val="2"/>
          </w:tcPr>
          <w:p>
            <w:pPr>
              <w:jc w:val="center"/>
              <w:ind w:right="4700"/>
              <w:spacing w:after="0"/>
              <w:rPr>
                <w:sz w:val="20"/>
                <w:szCs w:val="20"/>
                <w:color w:val="auto"/>
              </w:rPr>
            </w:pPr>
            <w:r>
              <w:rPr>
                <w:rFonts w:ascii="Arial" w:cs="Arial" w:eastAsia="Arial" w:hAnsi="Arial"/>
                <w:sz w:val="18"/>
                <w:szCs w:val="18"/>
                <w:color w:val="auto"/>
              </w:rPr>
              <w:t>INDEX</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20" w:type="dxa"/>
            <w:vAlign w:val="bottom"/>
            <w:gridSpan w:val="6"/>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PART I. Financial Information</w:t>
              </w:r>
            </w:hyperlink>
          </w:p>
        </w:tc>
        <w:tc>
          <w:tcPr>
            <w:tcW w:w="8800" w:type="dxa"/>
            <w:vAlign w:val="bottom"/>
            <w:gridSpan w:val="10"/>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74"/>
        </w:trPr>
        <w:tc>
          <w:tcPr>
            <w:tcW w:w="2220" w:type="dxa"/>
            <w:vAlign w:val="bottom"/>
            <w:tcBorders>
              <w:bottom w:val="single" w:sz="8" w:color="0000EE"/>
            </w:tcBorders>
            <w:gridSpan w:val="6"/>
            <w:vMerge w:val="continue"/>
          </w:tcPr>
          <w:p>
            <w:pPr>
              <w:spacing w:after="0"/>
              <w:rPr>
                <w:sz w:val="14"/>
                <w:szCs w:val="14"/>
                <w:color w:val="auto"/>
              </w:rPr>
            </w:pPr>
          </w:p>
        </w:tc>
        <w:tc>
          <w:tcPr>
            <w:tcW w:w="8800" w:type="dxa"/>
            <w:vAlign w:val="bottom"/>
            <w:gridSpan w:val="10"/>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0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w:t>
              </w:r>
            </w:hyperlink>
          </w:p>
        </w:tc>
        <w:tc>
          <w:tcPr>
            <w:tcW w:w="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00" w:type="dxa"/>
            <w:vAlign w:val="bottom"/>
            <w:gridSpan w:val="1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648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3800" w:type="dxa"/>
            <w:vAlign w:val="bottom"/>
          </w:tcPr>
          <w:p>
            <w:pPr>
              <w:spacing w:after="0"/>
              <w:rPr>
                <w:sz w:val="17"/>
                <w:szCs w:val="17"/>
                <w:color w:val="auto"/>
              </w:rPr>
            </w:pPr>
          </w:p>
        </w:tc>
        <w:tc>
          <w:tcPr>
            <w:tcW w:w="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7"/>
          </w:tcPr>
          <w:p>
            <w:pPr>
              <w:spacing w:after="0"/>
              <w:rPr>
                <w:sz w:val="17"/>
                <w:szCs w:val="17"/>
                <w:color w:val="auto"/>
              </w:rPr>
            </w:pPr>
          </w:p>
        </w:tc>
        <w:tc>
          <w:tcPr>
            <w:tcW w:w="5900" w:type="dxa"/>
            <w:vAlign w:val="bottom"/>
            <w:gridSpan w:val="2"/>
          </w:tcPr>
          <w:p>
            <w:pPr>
              <w:spacing w:after="0"/>
              <w:rPr>
                <w:sz w:val="17"/>
                <w:szCs w:val="17"/>
                <w:color w:val="auto"/>
              </w:rPr>
            </w:pPr>
          </w:p>
        </w:tc>
        <w:tc>
          <w:tcPr>
            <w:tcW w:w="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PART II. Other Information</w:t>
              </w:r>
            </w:hyperlink>
          </w:p>
        </w:tc>
        <w:tc>
          <w:tcPr>
            <w:tcW w:w="9000" w:type="dxa"/>
            <w:vAlign w:val="bottom"/>
            <w:gridSpan w:val="11"/>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380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Submission of Matters to a Vote of Security Holders</w:t>
              </w:r>
            </w:hyperlink>
          </w:p>
        </w:tc>
        <w:tc>
          <w:tcPr>
            <w:tcW w:w="6480" w:type="dxa"/>
            <w:vAlign w:val="bottom"/>
            <w:gridSpan w:val="3"/>
          </w:tcPr>
          <w:p>
            <w:pPr>
              <w:spacing w:after="0"/>
              <w:rPr>
                <w:sz w:val="17"/>
                <w:szCs w:val="17"/>
                <w:color w:val="auto"/>
              </w:rPr>
            </w:pPr>
          </w:p>
        </w:tc>
        <w:tc>
          <w:tcPr>
            <w:tcW w:w="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10280" w:type="dxa"/>
            <w:vAlign w:val="bottom"/>
            <w:gridSpan w:val="13"/>
          </w:tcPr>
          <w:p>
            <w:pPr>
              <w:ind w:left="2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January 31, 2007</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w w:val="97"/>
              </w:rPr>
              <w:t>(Unaudited)</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86,408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Short term investments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losses ($8,340 and $6,390, respectively)</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218,594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products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76,245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18,292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Raw materials and supplies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39,823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800"/>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134,360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482,751</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459,157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655,238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145,544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33,954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16,599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10,235</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Buildings and improvements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81,878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219,468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198,426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336,564</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171,144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165,420</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139,906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1,499,506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92,598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49,555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Taxes, other than income taxes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6,768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22,627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43,357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 and current maturities on long-term obligations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214,917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218,620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420,817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56,968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692,702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619,140</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Class A nonvoting common stock – Issued 50,481,743 and 50,481,743 shares, respectively and outstanding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50,403,641 and 50,188,842 shares, respectively</w:t>
            </w: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259,282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Earnings retained in the business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500,134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 78,102 and 292,901 shares, respectively of Class A nonvoting common stock, at cost</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49,042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806,804</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746,046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1,499,506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19"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0" w:type="dxa"/>
            <w:vAlign w:val="bottom"/>
            <w:gridSpan w:val="5"/>
          </w:tcPr>
          <w:p>
            <w:pPr>
              <w:jc w:val="right"/>
              <w:ind w:right="40"/>
              <w:spacing w:after="0"/>
              <w:rPr>
                <w:sz w:val="20"/>
                <w:szCs w:val="20"/>
                <w:color w:val="auto"/>
              </w:rPr>
            </w:pPr>
            <w:r>
              <w:rPr>
                <w:rFonts w:ascii="Arial" w:cs="Arial" w:eastAsia="Arial" w:hAnsi="Arial"/>
                <w:sz w:val="14"/>
                <w:szCs w:val="14"/>
                <w:color w:val="auto"/>
                <w:w w:val="93"/>
              </w:rPr>
              <w:t>Three Months Ended January 31,</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60"/>
              <w:spacing w:after="0"/>
              <w:rPr>
                <w:sz w:val="20"/>
                <w:szCs w:val="20"/>
                <w:color w:val="auto"/>
              </w:rPr>
            </w:pPr>
            <w:r>
              <w:rPr>
                <w:rFonts w:ascii="Arial" w:cs="Arial" w:eastAsia="Arial" w:hAnsi="Arial"/>
                <w:sz w:val="14"/>
                <w:szCs w:val="14"/>
                <w:color w:val="auto"/>
                <w:w w:val="92"/>
              </w:rPr>
              <w:t>Six Months Ended January 31,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4"/>
          </w:tcPr>
          <w:p>
            <w:pPr>
              <w:ind w:left="280"/>
              <w:spacing w:after="0"/>
              <w:rPr>
                <w:sz w:val="20"/>
                <w:szCs w:val="20"/>
                <w:color w:val="auto"/>
              </w:rPr>
            </w:pPr>
            <w:r>
              <w:rPr>
                <w:rFonts w:ascii="Arial" w:cs="Arial" w:eastAsia="Arial" w:hAnsi="Arial"/>
                <w:sz w:val="14"/>
                <w:szCs w:val="14"/>
                <w:color w:val="auto"/>
              </w:rPr>
              <w:t>(Unaudited)</w:t>
            </w:r>
          </w:p>
        </w:tc>
        <w:tc>
          <w:tcPr>
            <w:tcW w:w="1420" w:type="dxa"/>
            <w:vAlign w:val="bottom"/>
            <w:vMerge w:val="restart"/>
          </w:tcPr>
          <w:p>
            <w:pPr>
              <w:jc w:val="right"/>
              <w:ind w:right="652"/>
              <w:spacing w:after="0"/>
              <w:rPr>
                <w:sz w:val="20"/>
                <w:szCs w:val="20"/>
                <w:color w:val="auto"/>
              </w:rPr>
            </w:pPr>
            <w:r>
              <w:rPr>
                <w:rFonts w:ascii="Arial" w:cs="Arial" w:eastAsia="Arial" w:hAnsi="Arial"/>
                <w:sz w:val="14"/>
                <w:szCs w:val="14"/>
                <w:color w:val="auto"/>
                <w:w w:val="92"/>
              </w:rPr>
              <w:t>Percentage</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ind w:left="580"/>
              <w:spacing w:after="0"/>
              <w:rPr>
                <w:sz w:val="20"/>
                <w:szCs w:val="20"/>
                <w:color w:val="auto"/>
              </w:rPr>
            </w:pPr>
            <w:r>
              <w:rPr>
                <w:rFonts w:ascii="Arial" w:cs="Arial" w:eastAsia="Arial" w:hAnsi="Arial"/>
                <w:sz w:val="14"/>
                <w:szCs w:val="14"/>
                <w:color w:val="auto"/>
              </w:rPr>
              <w:t>(Unaudited)</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w w:val="97"/>
              </w:rPr>
              <w:t>Percentage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6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Change</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321,275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230,974</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653,534</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463,609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171,114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113,869</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339,245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222,513</w:t>
            </w:r>
          </w:p>
        </w:tc>
        <w:tc>
          <w:tcPr>
            <w:tcW w:w="90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150,161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117,105</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314,289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241,096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9,082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6,829</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w w:val="89"/>
              </w:rPr>
              <w:t>108,355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79,000</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212,010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152,328</w:t>
            </w: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117,437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85,829</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229,624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165,691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32,724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31,276</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84,665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75,405</w:t>
            </w: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Investment and other income — net</w:t>
            </w:r>
          </w:p>
        </w:tc>
        <w:tc>
          <w:tcPr>
            <w:tcW w:w="10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640" w:type="dxa"/>
            <w:vAlign w:val="bottom"/>
          </w:tcPr>
          <w:p>
            <w:pPr>
              <w:spacing w:after="0"/>
              <w:rPr>
                <w:sz w:val="18"/>
                <w:szCs w:val="18"/>
                <w:color w:val="auto"/>
              </w:rPr>
            </w:pP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480</w:t>
            </w: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(5,244)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(2,435)</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27,374</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28,929</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75,218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71,461</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7,675</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19,709</w:t>
            </w:r>
          </w:p>
        </w:tc>
        <w:tc>
          <w:tcPr>
            <w:tcW w:w="360" w:type="dxa"/>
            <w:vAlign w:val="bottom"/>
          </w:tcPr>
          <w:p>
            <w:pPr>
              <w:spacing w:after="0"/>
              <w:rPr>
                <w:sz w:val="24"/>
                <w:szCs w:val="24"/>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21,254</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54,157</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51,452</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0.37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0.43</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-14.0%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1.05</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0.36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0.43</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0.13</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0.26</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0.37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0.43</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-14.0%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0.99</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1.03</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0.36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0.43</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0.97</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0.13</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0.24</w:t>
            </w: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(in thousands):</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jc w:val="right"/>
              <w:ind w:right="47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53,894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48,994</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53,814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49,098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54,789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49,813</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49,891</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January 31,</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center"/>
              <w:ind w:left="471"/>
              <w:spacing w:after="0" w:line="149" w:lineRule="exact"/>
              <w:rPr>
                <w:sz w:val="20"/>
                <w:szCs w:val="20"/>
                <w:color w:val="auto"/>
              </w:rPr>
            </w:pPr>
            <w:r>
              <w:rPr>
                <w:rFonts w:ascii="Arial" w:cs="Arial" w:eastAsia="Arial" w:hAnsi="Arial"/>
                <w:sz w:val="14"/>
                <w:szCs w:val="14"/>
                <w:color w:val="auto"/>
                <w:w w:val="92"/>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54,157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26,096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Loss on disposal of property, plant &amp;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losses on 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3,669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48"/>
              <w:spacing w:after="0"/>
              <w:rPr>
                <w:sz w:val="20"/>
                <w:szCs w:val="20"/>
                <w:color w:val="auto"/>
              </w:rPr>
            </w:pPr>
            <w:r>
              <w:rPr>
                <w:rFonts w:ascii="Arial" w:cs="Arial" w:eastAsia="Arial" w:hAnsi="Arial"/>
                <w:sz w:val="18"/>
                <w:szCs w:val="18"/>
                <w:color w:val="auto"/>
              </w:rPr>
              <w:t>(15,337)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(14,787)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48"/>
              <w:spacing w:after="0"/>
              <w:rPr>
                <w:sz w:val="20"/>
                <w:szCs w:val="20"/>
                <w:color w:val="auto"/>
              </w:rPr>
            </w:pPr>
            <w:r>
              <w:rPr>
                <w:rFonts w:ascii="Arial" w:cs="Arial" w:eastAsia="Arial" w:hAnsi="Arial"/>
                <w:sz w:val="18"/>
                <w:szCs w:val="18"/>
                <w:color w:val="auto"/>
              </w:rPr>
              <w:t>(8,590)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(8,316)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48"/>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tcPr>
          <w:p>
            <w:pPr>
              <w:ind w:left="1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37,059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48"/>
              <w:spacing w:after="0"/>
              <w:rPr>
                <w:sz w:val="20"/>
                <w:szCs w:val="20"/>
                <w:color w:val="auto"/>
              </w:rPr>
            </w:pPr>
            <w:r>
              <w:rPr>
                <w:rFonts w:ascii="Arial" w:cs="Arial" w:eastAsia="Arial" w:hAnsi="Arial"/>
                <w:sz w:val="18"/>
                <w:szCs w:val="18"/>
                <w:color w:val="auto"/>
              </w:rPr>
              <w:t>(90,418)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(9,329)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48"/>
              <w:spacing w:after="0"/>
              <w:rPr>
                <w:sz w:val="20"/>
                <w:szCs w:val="20"/>
                <w:color w:val="auto"/>
              </w:rPr>
            </w:pPr>
            <w:r>
              <w:rPr>
                <w:rFonts w:ascii="Arial" w:cs="Arial" w:eastAsia="Arial" w:hAnsi="Arial"/>
                <w:sz w:val="18"/>
                <w:szCs w:val="18"/>
                <w:color w:val="auto"/>
              </w:rPr>
              <w:t>(32,135)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48"/>
              <w:spacing w:after="0"/>
              <w:rPr>
                <w:sz w:val="20"/>
                <w:szCs w:val="20"/>
                <w:color w:val="auto"/>
              </w:rPr>
            </w:pPr>
            <w:r>
              <w:rPr>
                <w:rFonts w:ascii="Arial" w:cs="Arial" w:eastAsia="Arial" w:hAnsi="Arial"/>
                <w:sz w:val="18"/>
                <w:szCs w:val="18"/>
                <w:color w:val="auto"/>
              </w:rPr>
              <w:t>(5,831)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w w:val="90"/>
              </w:rPr>
              <w:t>(125,979)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(112,142)</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(15,014)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3,837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(26,231)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(190,459)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97,020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289,630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Income tax benefit from the exercise of stock options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69,049</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1,945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(26,600)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113,008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50,742</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Interest, net of capitalized interest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9,754</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Fair value of assets acquired, net of cash and goodwill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50,042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right"/>
              <w:ind w:right="548"/>
              <w:spacing w:after="0"/>
              <w:rPr>
                <w:sz w:val="20"/>
                <w:szCs w:val="20"/>
                <w:color w:val="auto"/>
              </w:rPr>
            </w:pPr>
            <w:r>
              <w:rPr>
                <w:rFonts w:ascii="Arial" w:cs="Arial" w:eastAsia="Arial" w:hAnsi="Arial"/>
                <w:sz w:val="18"/>
                <w:szCs w:val="18"/>
                <w:color w:val="auto"/>
              </w:rPr>
              <w:t>(15,617)</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Net cash paid for acquisitions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90,418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17" w:lineRule="exact"/>
        <w:rPr>
          <w:sz w:val="20"/>
          <w:szCs w:val="20"/>
          <w:color w:val="auto"/>
        </w:rPr>
      </w:pPr>
    </w:p>
    <w:p>
      <w:pPr>
        <w:ind w:right="120" w:firstLine="22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2007 and July 3l, 2006, its results of operations for the three and six months ended January 31, 2007 and 2006, and its cash flows for the six months ended January 31, 2007 and 2006. The condensed consolidated balance sheet as of July 31, 2006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7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2006.</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Reclassifications — Certain prior period amounts have been reclassified to conform with the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six months ended January 31, 2007,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Americas</w:t>
            </w:r>
          </w:p>
        </w:tc>
        <w:tc>
          <w:tcPr>
            <w:tcW w:w="6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Europe</w:t>
            </w:r>
          </w:p>
        </w:tc>
        <w:tc>
          <w:tcPr>
            <w:tcW w:w="6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Asia-Pacific</w:t>
            </w:r>
          </w:p>
        </w:tc>
        <w:tc>
          <w:tcPr>
            <w:tcW w:w="5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2006</w:t>
            </w:r>
          </w:p>
        </w:tc>
        <w:tc>
          <w:tcPr>
            <w:tcW w:w="22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$ 322,759</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$ 111,792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$ 153,091</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$ 587,642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Goodwill acquired during the period</w:t>
            </w:r>
          </w:p>
        </w:tc>
        <w:tc>
          <w:tcPr>
            <w:tcW w:w="2220" w:type="dxa"/>
            <w:vAlign w:val="bottom"/>
            <w:gridSpan w:val="3"/>
          </w:tcPr>
          <w:p>
            <w:pPr>
              <w:jc w:val="right"/>
              <w:ind w:right="660"/>
              <w:spacing w:after="0"/>
              <w:rPr>
                <w:sz w:val="20"/>
                <w:szCs w:val="20"/>
                <w:color w:val="auto"/>
              </w:rPr>
            </w:pPr>
            <w:r>
              <w:rPr>
                <w:rFonts w:ascii="Arial" w:cs="Arial" w:eastAsia="Arial" w:hAnsi="Arial"/>
                <w:sz w:val="18"/>
                <w:szCs w:val="18"/>
                <w:color w:val="auto"/>
              </w:rPr>
              <w:t>41,024</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14,808</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161</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22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1,934</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3,536</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86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(441)</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2,476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3,898</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2007</w:t>
            </w:r>
          </w:p>
        </w:tc>
        <w:tc>
          <w:tcPr>
            <w:tcW w:w="22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$ 365,276</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$ 129,276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$ 160,686</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$ 655,238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040" w:type="dxa"/>
            <w:vAlign w:val="bottom"/>
            <w:gridSpan w:val="9"/>
          </w:tcPr>
          <w:p>
            <w:pPr>
              <w:ind w:left="200"/>
              <w:spacing w:after="0"/>
              <w:rPr>
                <w:sz w:val="20"/>
                <w:szCs w:val="20"/>
                <w:color w:val="auto"/>
              </w:rPr>
            </w:pPr>
            <w:r>
              <w:rPr>
                <w:rFonts w:ascii="Arial" w:cs="Arial" w:eastAsia="Arial" w:hAnsi="Arial"/>
                <w:sz w:val="18"/>
                <w:szCs w:val="18"/>
                <w:color w:val="auto"/>
                <w:w w:val="95"/>
              </w:rPr>
              <w:t>The following acquisitions completed during the six months ended January 31, 2007 increased goodwill by the following amounts: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580" w:type="dxa"/>
            <w:vAlign w:val="bottom"/>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Americas,</w:t>
            </w:r>
          </w:p>
        </w:tc>
        <w:tc>
          <w:tcPr>
            <w:tcW w:w="58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Europe</w:t>
            </w:r>
          </w:p>
        </w:tc>
        <w:tc>
          <w:tcPr>
            <w:tcW w:w="5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and</w:t>
            </w:r>
          </w:p>
        </w:tc>
        <w:tc>
          <w:tcPr>
            <w:tcW w:w="5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Asia-</w:t>
            </w:r>
          </w:p>
        </w:tc>
        <w:tc>
          <w:tcPr>
            <w:tcW w:w="5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Identification Products, Inc. (“CIPI”)</w:t>
            </w: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Pacific</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Precision Converters, L.P. (“PC”)</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3"/>
              </w:rPr>
              <w:t>Americas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Americas,</w:t>
            </w:r>
          </w:p>
        </w:tc>
        <w:tc>
          <w:tcPr>
            <w:tcW w:w="5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Europe</w:t>
            </w:r>
          </w:p>
        </w:tc>
        <w:tc>
          <w:tcPr>
            <w:tcW w:w="5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and</w:t>
            </w:r>
          </w:p>
        </w:tc>
        <w:tc>
          <w:tcPr>
            <w:tcW w:w="5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Asia-</w:t>
            </w:r>
          </w:p>
        </w:tc>
        <w:tc>
          <w:tcPr>
            <w:tcW w:w="5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3"/>
              </w:rPr>
              <w:t>Scafftag, Ltd., Safetrak, Ltd. and Scafftag Pty., Ltd. (collectively “Scafftag”)</w:t>
            </w: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Pacific</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Asterisco Artes Graficas Ltda. (“Asterisco”)</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3"/>
              </w:rPr>
              <w:t>Americas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Modernotecnica SpA (“Moderno”)</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Europe</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$ 55,993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60" w:type="dxa"/>
            <w:vAlign w:val="bottom"/>
            <w:vMerge w:val="restart"/>
          </w:tcPr>
          <w:p>
            <w:pPr>
              <w:jc w:val="right"/>
              <w:ind w:right="610"/>
              <w:spacing w:after="0"/>
              <w:rPr>
                <w:sz w:val="20"/>
                <w:szCs w:val="20"/>
                <w:color w:val="auto"/>
              </w:rPr>
            </w:pPr>
            <w:r>
              <w:rPr>
                <w:rFonts w:ascii="Arial" w:cs="Arial" w:eastAsia="Arial" w:hAnsi="Arial"/>
                <w:sz w:val="18"/>
                <w:szCs w:val="18"/>
                <w:color w:val="auto"/>
              </w:rPr>
              <w:t>5</w:t>
            </w: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Goodwill also increased $5,670 during the six months ended January 31, 2007 as a result of adjustments to the preliminary allocation of the purchase price for acquisitions completed in fiscal 2006 and the recording of a $1,577 liability for the contingent payment due to the previous owners of QDP Thailand Co., Ltd. (“QDPT”), which was acquired in fiscal 2006 (see Note E for more information). The largest components of the increase as a result of adjustments to the preliminary allocation of purchase price related to Daewon Industry Corporation (“Daewon”) and Tradex Converting AB (“Tradex”), which added $1,509 and $1,491, respectively. The remaining $5,933 increase to goodwill during the six months was attributable to the effects of foreign currency translation.</w:t>
      </w:r>
    </w:p>
    <w:p>
      <w:pPr>
        <w:spacing w:after="0" w:line="5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purchased software,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January 31, 2007</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4"/>
              </w:rPr>
              <w:t>July 31, 2006</w:t>
            </w: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1"/>
              </w:rPr>
              <w:t>Net Book</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1420" w:type="dxa"/>
            <w:vAlign w:val="bottom"/>
            <w:gridSpan w:val="4"/>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Period</w:t>
            </w:r>
          </w:p>
        </w:tc>
        <w:tc>
          <w:tcPr>
            <w:tcW w:w="20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122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42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 intangible</w:t>
            </w: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Patents</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8,402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(5,546)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2,856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7,885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129,505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(26,743)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102,762</w:t>
            </w:r>
          </w:p>
        </w:tc>
        <w:tc>
          <w:tcPr>
            <w:tcW w:w="4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109,955</w:t>
            </w: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(17,693)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Purchased software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Non-compete agreements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11,340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5,837</w:t>
            </w:r>
          </w:p>
        </w:tc>
        <w:tc>
          <w:tcPr>
            <w:tcW w:w="4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9,757</w:t>
            </w: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31,674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31,674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31,166</w:t>
            </w:r>
          </w:p>
        </w:tc>
        <w:tc>
          <w:tcPr>
            <w:tcW w:w="2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188,231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145,544</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165,379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(31,268)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2"/>
        <w:spacing w:after="0" w:line="312" w:lineRule="auto"/>
        <w:rPr>
          <w:sz w:val="20"/>
          <w:szCs w:val="20"/>
          <w:color w:val="auto"/>
        </w:rPr>
      </w:pPr>
      <w:r>
        <w:rPr>
          <w:rFonts w:ascii="Arial" w:cs="Arial" w:eastAsia="Arial" w:hAnsi="Arial"/>
          <w:sz w:val="16"/>
          <w:szCs w:val="16"/>
          <w:color w:val="auto"/>
        </w:rPr>
        <w:t>The acquisitions completed during the six months ended January 31, 2007 (see Note E for more information) contributed to the increases in each of the categories of other intangible assets listed above. The increase in customer relationships relates to the acquisitions of CIPI, PC, Scafftag and Moderno which added $5,633, $2,225, $3,279 and $6,570, respectively. These assets will be amortized over a weighted average amortization period of 5.6 years.</w:t>
      </w:r>
    </w:p>
    <w:p>
      <w:pPr>
        <w:spacing w:after="0" w:line="39"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value of goodwill and other intangible assets in the Consolidated Financial Statements at January 31, 2007 differs from the value assigned to them in the allocation of purchase price due to the effect of fluctuations in the exchange rates used to translate financial statements into the United States Dollar between the date of acquisition and January 31, 2007.</w:t>
      </w:r>
    </w:p>
    <w:p>
      <w:pPr>
        <w:spacing w:after="0" w:line="73" w:lineRule="exact"/>
        <w:rPr>
          <w:sz w:val="20"/>
          <w:szCs w:val="20"/>
          <w:color w:val="auto"/>
        </w:rPr>
      </w:pPr>
    </w:p>
    <w:p>
      <w:pPr>
        <w:ind w:right="60" w:firstLine="215"/>
        <w:spacing w:after="0" w:line="286" w:lineRule="auto"/>
        <w:rPr>
          <w:sz w:val="20"/>
          <w:szCs w:val="20"/>
          <w:color w:val="auto"/>
        </w:rPr>
      </w:pPr>
      <w:r>
        <w:rPr>
          <w:rFonts w:ascii="Arial" w:cs="Arial" w:eastAsia="Arial" w:hAnsi="Arial"/>
          <w:sz w:val="17"/>
          <w:szCs w:val="17"/>
          <w:color w:val="auto"/>
        </w:rPr>
        <w:t>Amortization expense on intangible assets was $5,720 and $2,925 for the three-month periods ended January 31, 2007 and 2006, respectively and $10,961 and $5,329 for the six-month periods ended January 31, 2007 and 2006, respectively. The amortization over each of the next five fiscal years is projected to be $23,166, $22,531, $21,751, $20,643 and $17,296 for the years ending July 31, 2007, 2008, 2009, 2010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Income</w:t>
      </w:r>
    </w:p>
    <w:p>
      <w:pPr>
        <w:spacing w:after="0" w:line="11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Total comprehensive income, which was comprised of net income, foreign currency adjustments and net unrealized gains and losses from cash flow hedges, amounted to approximately $10,536 and $25,846 for the three months ended January 31, 2007 and 2006, respectively and $40,811 and $54,820 for the six months ended January 31, 2007 and 2006,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D — Net Income Per Common Share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January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ind w:left="200"/>
              <w:spacing w:after="0" w:line="201" w:lineRule="exact"/>
              <w:rPr>
                <w:sz w:val="20"/>
                <w:szCs w:val="20"/>
                <w:color w:val="auto"/>
              </w:rPr>
            </w:pPr>
            <w:r>
              <w:rPr>
                <w:rFonts w:ascii="Arial" w:cs="Arial" w:eastAsia="Arial" w:hAnsi="Arial"/>
                <w:sz w:val="18"/>
                <w:szCs w:val="18"/>
                <w:color w:val="auto"/>
              </w:rPr>
              <w:t>Net income (numerator for basic and diluted Class A net income per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19,709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21,254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54,157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Preferential dividends</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19,709</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53,306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ind w:left="200"/>
              <w:spacing w:after="0" w:line="201" w:lineRule="exact"/>
              <w:rPr>
                <w:sz w:val="20"/>
                <w:szCs w:val="20"/>
                <w:color w:val="auto"/>
              </w:rPr>
            </w:pPr>
            <w:r>
              <w:rPr>
                <w:rFonts w:ascii="Arial" w:cs="Arial" w:eastAsia="Arial" w:hAnsi="Arial"/>
                <w:sz w:val="18"/>
                <w:szCs w:val="18"/>
                <w:color w:val="auto"/>
              </w:rPr>
              <w:t>Denominator for basic net income per share for both Class A and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Class B</w:t>
            </w:r>
          </w:p>
        </w:tc>
        <w:tc>
          <w:tcPr>
            <w:tcW w:w="10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53,894,000</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48,994,000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53,814,000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49,098,000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Plus: Effect of dilutive stock options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819,000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Denominator for diluted net income per share for both Class A and</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Class B</w:t>
            </w:r>
          </w:p>
        </w:tc>
        <w:tc>
          <w:tcPr>
            <w:tcW w:w="10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54,789,000</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49,813,000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54,697,000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49,891,000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 Common Stock 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Class B Voting Common Stock net income per share: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Options to purchase 1,269,500 and 949,500 shares of Class A Nonvoting Common Stock for the three and six months ended January 31, 2007, respectively, and 1,261,500 and 811,250 shares of Class A Nonvoting Common Stock for the three and six months ended January 31, 2006, respectively, were not included in the computations of diluted net income per share because the option exercise price was greater than the average market price of the common shares and, therefore, the effect would be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E — Acquisitions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During the six months ended January 31, 2007, the Company acquired the following companies for a total combined purchase price, net of cash acquired, of $90,418. A brief description of each company acquired during the six months is included below.</w:t>
      </w:r>
    </w:p>
    <w:p>
      <w:pPr>
        <w:spacing w:after="0" w:line="62" w:lineRule="exact"/>
        <w:rPr>
          <w:sz w:val="20"/>
          <w:szCs w:val="20"/>
          <w:color w:val="auto"/>
        </w:rPr>
      </w:pPr>
    </w:p>
    <w:p>
      <w:pPr>
        <w:ind w:left="460" w:right="400"/>
        <w:spacing w:after="0" w:line="264" w:lineRule="auto"/>
        <w:rPr>
          <w:sz w:val="20"/>
          <w:szCs w:val="20"/>
          <w:color w:val="auto"/>
        </w:rPr>
      </w:pPr>
      <w:r>
        <w:rPr>
          <w:rFonts w:ascii="Arial" w:cs="Arial" w:eastAsia="Arial" w:hAnsi="Arial"/>
          <w:sz w:val="18"/>
          <w:szCs w:val="18"/>
          <w:color w:val="auto"/>
        </w:rPr>
        <w:t>CIPI is headquartered in Burlington, Massachusetts, with operations in Hong Kong, China and the Netherlands. CIPI is a market leader in badging accessories used to identify and track employees and visitors in a variety of settings including businesses, healthcare facilities, special events and government buildings. CIPI was acquired in August 2006.</w:t>
      </w:r>
    </w:p>
    <w:p>
      <w:pPr>
        <w:spacing w:after="0" w:line="73"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PC is located in Dallas, Texas and is a supplier of die-cut products to the medical market with a specific focus on disposable, advanced wound-care products. PC was acquired in October 2006.</w:t>
      </w:r>
    </w:p>
    <w:p>
      <w:pPr>
        <w:spacing w:after="0" w:line="62" w:lineRule="exact"/>
        <w:rPr>
          <w:sz w:val="20"/>
          <w:szCs w:val="20"/>
          <w:color w:val="auto"/>
        </w:rPr>
      </w:pPr>
    </w:p>
    <w:p>
      <w:pPr>
        <w:ind w:left="460" w:right="20"/>
        <w:spacing w:after="0" w:line="312" w:lineRule="auto"/>
        <w:rPr>
          <w:sz w:val="20"/>
          <w:szCs w:val="20"/>
          <w:color w:val="auto"/>
        </w:rPr>
      </w:pPr>
      <w:r>
        <w:rPr>
          <w:rFonts w:ascii="Arial" w:cs="Arial" w:eastAsia="Arial" w:hAnsi="Arial"/>
          <w:sz w:val="16"/>
          <w:szCs w:val="16"/>
          <w:color w:val="auto"/>
        </w:rPr>
        <w:t>Scafftag is located in Barry, Wales, U.K., with operations in Australia and in the United States and sales offices in the United Arab Emirates. Scafftag is an industry leader in safety identification and facility management products in the U.K., specializing in products that help companies meet legislative requirements for safety standards in the oil and gas, construction and scaffolding industries. Scafftag was acquired in December 2006.</w:t>
      </w:r>
    </w:p>
    <w:p>
      <w:pPr>
        <w:spacing w:after="0" w:line="39" w:lineRule="exact"/>
        <w:rPr>
          <w:sz w:val="20"/>
          <w:szCs w:val="20"/>
          <w:color w:val="auto"/>
        </w:rPr>
      </w:pPr>
    </w:p>
    <w:p>
      <w:pPr>
        <w:ind w:left="460" w:right="340"/>
        <w:spacing w:after="0" w:line="342" w:lineRule="auto"/>
        <w:rPr>
          <w:sz w:val="20"/>
          <w:szCs w:val="20"/>
          <w:color w:val="auto"/>
        </w:rPr>
      </w:pPr>
      <w:r>
        <w:rPr>
          <w:rFonts w:ascii="Arial" w:cs="Arial" w:eastAsia="Arial" w:hAnsi="Arial"/>
          <w:sz w:val="16"/>
          <w:szCs w:val="16"/>
          <w:color w:val="auto"/>
        </w:rPr>
        <w:t>Asterisco is located in Sao Paulo, Brazil and is a leading manufacturer of industrial high-performance labels in Brazil, specializing in custom labels printed on film materials for the electronics, automotive, pharmaceutical and other industries. Asterisco was acquired in December 2006.</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Moderno is located in Milan, Italy and is a wire-identification manufacturer serving the Maintenance, Repair and Operations market with products used primarily in the electrical industry. Moderno was acquired in December 2006.</w:t>
      </w:r>
    </w:p>
    <w:p>
      <w:pPr>
        <w:spacing w:after="0" w:line="62"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purchase agreements for Scafftag and Asterisco each include provisions for contingent payments based upon meeting certain performance conditions over a period of time subsequent to the acquisition. The total maximum contingent payments of $5.2 million have not been accrued as liabilities in the accompanying consolidated financial statements as the payments are based on attaining certain financial results which have not been achieved as of January 31, 2007. Approximately $4.9 million of the contingency related to the Asterisco acquisition has been placed in an escrow account in compliance with the terms of the purchase agreement. This cash outflow has been recorded in other investing activities on the accompanying consolidated statement of cash flows for the six months ended January 31, 2007. The purchase agreement of Asterisco also includes a holdback provision of approximately $2.3 million that has been recorded as a liability in the accompanying consolidated financial statements.</w:t>
      </w:r>
    </w:p>
    <w:p>
      <w:pPr>
        <w:spacing w:after="0" w:line="7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allocation of the purchase price of each company acquired during the six months ended January 31, 2007, is preliminary pending the final valuation of intangible assets as well as certain tangible assets and liabilities. The following table summarizes the combined estimated fair values of the assets acquired and liabilities assumed as of the date of the acquisitions.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23,409</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6,795</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55,993</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17,707</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Patents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other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18"/>
                <w:szCs w:val="18"/>
                <w:color w:val="auto"/>
              </w:rPr>
            </w:pPr>
          </w:p>
        </w:tc>
      </w:tr>
      <w:tr>
        <w:trPr>
          <w:trHeight w:val="223"/>
        </w:trPr>
        <w:tc>
          <w:tcPr>
            <w:tcW w:w="1060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106,035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(15,617)</w:t>
            </w:r>
          </w:p>
        </w:tc>
      </w:tr>
      <w:tr>
        <w:trPr>
          <w:trHeight w:val="223"/>
        </w:trPr>
        <w:tc>
          <w:tcPr>
            <w:tcW w:w="1060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$55,993 allocated to goodwill, $8,658 is expected to be deductible for tax purposes based on preliminary analysis.</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purchase agreement for the acquisition of QDPT that was completed in fiscal 2006 included a provision for contingent payments based upon meeting certain performance conditions over a period of time subsequent to the acquisition. As of January 31, 2007, $1,577 has been recorded as a liability on the accompanying consolidated financial statements as the performance conditions of the agreement have been met. The liability will be paid in the third quarter of fiscal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 February 1, 2007, the Company completed the acquisition of Clement Communications, Inc. (“Clement”), headquartered in Concordville, Pennsylvania. Clement is a direct marketer of posters, newsletters, guides and handbooks that address safety, quality, teamwork, sales, employment practices, customer service and OSHA regulations. Clement’s products are designed to facilitate and enhance employee communications for business, government and scholastic markets.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117" w:lineRule="exact"/>
        <w:rPr>
          <w:sz w:val="20"/>
          <w:szCs w:val="20"/>
          <w:color w:val="auto"/>
        </w:rPr>
      </w:pPr>
    </w:p>
    <w:p>
      <w:pPr>
        <w:ind w:right="200" w:firstLine="222"/>
        <w:spacing w:after="0" w:line="342" w:lineRule="auto"/>
        <w:rPr>
          <w:sz w:val="20"/>
          <w:szCs w:val="20"/>
          <w:color w:val="auto"/>
        </w:rPr>
      </w:pPr>
      <w:r>
        <w:rPr>
          <w:rFonts w:ascii="Arial" w:cs="Arial" w:eastAsia="Arial" w:hAnsi="Arial"/>
          <w:sz w:val="16"/>
          <w:szCs w:val="16"/>
          <w:color w:val="auto"/>
        </w:rPr>
        <w:t>The Company’s reportable segments are geographical regions that are each managed separately. The Company has three reportable segments: Americas, Europe and Asia-Pacific. Following is a summary of segment information for the three months and six months ended January 31, 2007 and 2006:</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1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Americas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Europe</w:t>
            </w:r>
          </w:p>
        </w:tc>
        <w:tc>
          <w:tcPr>
            <w:tcW w:w="380" w:type="dxa"/>
            <w:vAlign w:val="bottom"/>
          </w:tcPr>
          <w:p>
            <w:pPr>
              <w:spacing w:after="0"/>
              <w:rPr>
                <w:sz w:val="12"/>
                <w:szCs w:val="12"/>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Asia-Pacific</w:t>
            </w:r>
          </w:p>
        </w:tc>
        <w:tc>
          <w:tcPr>
            <w:tcW w:w="380" w:type="dxa"/>
            <w:vAlign w:val="bottom"/>
          </w:tcPr>
          <w:p>
            <w:pPr>
              <w:spacing w:after="0"/>
              <w:rPr>
                <w:sz w:val="12"/>
                <w:szCs w:val="12"/>
                <w:color w:val="auto"/>
              </w:rPr>
            </w:pPr>
          </w:p>
        </w:tc>
        <w:tc>
          <w:tcPr>
            <w:tcW w:w="11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Subtotals</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411"/>
              <w:spacing w:after="0" w:line="149" w:lineRule="exact"/>
              <w:rPr>
                <w:sz w:val="20"/>
                <w:szCs w:val="20"/>
                <w:color w:val="auto"/>
              </w:rPr>
            </w:pPr>
            <w:r>
              <w:rPr>
                <w:rFonts w:ascii="Arial" w:cs="Arial" w:eastAsia="Arial" w:hAnsi="Arial"/>
                <w:sz w:val="14"/>
                <w:szCs w:val="14"/>
                <w:b w:val="1"/>
                <w:bCs w:val="1"/>
                <w:color w:val="auto"/>
              </w:rPr>
              <w:t>And</w:t>
            </w:r>
          </w:p>
        </w:tc>
        <w:tc>
          <w:tcPr>
            <w:tcW w:w="380" w:type="dxa"/>
            <w:vAlign w:val="bottom"/>
          </w:tcPr>
          <w:p>
            <w:pPr>
              <w:spacing w:after="0"/>
              <w:rPr>
                <w:sz w:val="12"/>
                <w:szCs w:val="12"/>
                <w:color w:val="auto"/>
              </w:rPr>
            </w:pPr>
          </w:p>
        </w:tc>
        <w:tc>
          <w:tcPr>
            <w:tcW w:w="11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Eliminations</w:t>
            </w:r>
          </w:p>
        </w:tc>
        <w:tc>
          <w:tcPr>
            <w:tcW w:w="3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 January 31,</w:t>
            </w: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2007:</w:t>
            </w: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$139,988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98,846</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82,441</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$321,275</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4"/>
              <w:spacing w:after="0"/>
              <w:rPr>
                <w:sz w:val="20"/>
                <w:szCs w:val="20"/>
                <w:color w:val="auto"/>
              </w:rPr>
            </w:pPr>
            <w:r>
              <w:rPr>
                <w:rFonts w:ascii="Arial" w:cs="Arial" w:eastAsia="Arial" w:hAnsi="Arial"/>
                <w:sz w:val="18"/>
                <w:szCs w:val="18"/>
                <w:color w:val="auto"/>
              </w:rPr>
              <w:t>$321,275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12,504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1,664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4,702</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18,870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(18,870)</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Segment profit (loss)</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28,793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22,604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12,394</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63,791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(2,228)</w:t>
            </w:r>
          </w:p>
        </w:tc>
        <w:tc>
          <w:tcPr>
            <w:tcW w:w="1480" w:type="dxa"/>
            <w:vAlign w:val="bottom"/>
            <w:gridSpan w:val="2"/>
          </w:tcPr>
          <w:p>
            <w:pPr>
              <w:jc w:val="right"/>
              <w:ind w:right="154"/>
              <w:spacing w:after="0"/>
              <w:rPr>
                <w:sz w:val="20"/>
                <w:szCs w:val="20"/>
                <w:color w:val="auto"/>
              </w:rPr>
            </w:pPr>
            <w:r>
              <w:rPr>
                <w:rFonts w:ascii="Arial" w:cs="Arial" w:eastAsia="Arial" w:hAnsi="Arial"/>
                <w:sz w:val="18"/>
                <w:szCs w:val="18"/>
                <w:color w:val="auto"/>
              </w:rPr>
              <w:t>61,563</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January 31,</w:t>
            </w: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2006:</w:t>
            </w: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$109,951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76,284</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44,739</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$230,974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4"/>
              <w:spacing w:after="0"/>
              <w:rPr>
                <w:sz w:val="20"/>
                <w:szCs w:val="20"/>
                <w:color w:val="auto"/>
              </w:rPr>
            </w:pPr>
            <w:r>
              <w:rPr>
                <w:rFonts w:ascii="Arial" w:cs="Arial" w:eastAsia="Arial" w:hAnsi="Arial"/>
                <w:sz w:val="18"/>
                <w:szCs w:val="18"/>
                <w:color w:val="auto"/>
              </w:rPr>
              <w:t>$230,974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14,221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934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1,803</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16,958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(16,958)</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Segment profit (loss)</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24,969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19,989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11,717</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56,675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(2,631)</w:t>
            </w:r>
          </w:p>
        </w:tc>
        <w:tc>
          <w:tcPr>
            <w:tcW w:w="1480" w:type="dxa"/>
            <w:vAlign w:val="bottom"/>
            <w:gridSpan w:val="2"/>
          </w:tcPr>
          <w:p>
            <w:pPr>
              <w:jc w:val="right"/>
              <w:ind w:right="154"/>
              <w:spacing w:after="0"/>
              <w:rPr>
                <w:sz w:val="20"/>
                <w:szCs w:val="20"/>
                <w:color w:val="auto"/>
              </w:rPr>
            </w:pPr>
            <w:r>
              <w:rPr>
                <w:rFonts w:ascii="Arial" w:cs="Arial" w:eastAsia="Arial" w:hAnsi="Arial"/>
                <w:sz w:val="18"/>
                <w:szCs w:val="18"/>
                <w:color w:val="auto"/>
              </w:rPr>
              <w:t>54,044</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Six months ended January 31,</w:t>
            </w: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2007:</w:t>
            </w: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$286,931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w w:val="89"/>
              </w:rPr>
              <w:t>191,211</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175,392</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$653,534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4"/>
              <w:spacing w:after="0"/>
              <w:rPr>
                <w:sz w:val="20"/>
                <w:szCs w:val="20"/>
                <w:color w:val="auto"/>
              </w:rPr>
            </w:pPr>
            <w:r>
              <w:rPr>
                <w:rFonts w:ascii="Arial" w:cs="Arial" w:eastAsia="Arial" w:hAnsi="Arial"/>
                <w:sz w:val="18"/>
                <w:szCs w:val="18"/>
                <w:color w:val="auto"/>
              </w:rPr>
              <w:t>$653,534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24,498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2,450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10,693</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37,641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(37,641)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Segment profit (loss)</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65,698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45,609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34,531</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145,838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(4,425)</w:t>
            </w:r>
          </w:p>
        </w:tc>
        <w:tc>
          <w:tcPr>
            <w:tcW w:w="1480" w:type="dxa"/>
            <w:vAlign w:val="bottom"/>
            <w:gridSpan w:val="2"/>
          </w:tcPr>
          <w:p>
            <w:pPr>
              <w:jc w:val="right"/>
              <w:ind w:right="154"/>
              <w:spacing w:after="0"/>
              <w:rPr>
                <w:sz w:val="20"/>
                <w:szCs w:val="20"/>
                <w:color w:val="auto"/>
              </w:rPr>
            </w:pPr>
            <w:r>
              <w:rPr>
                <w:rFonts w:ascii="Arial" w:cs="Arial" w:eastAsia="Arial" w:hAnsi="Arial"/>
                <w:sz w:val="18"/>
                <w:szCs w:val="18"/>
                <w:color w:val="auto"/>
              </w:rPr>
              <w:t>141,413</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Six months ended January 31,</w:t>
            </w: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2006:</w:t>
            </w: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$226,010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w w:val="89"/>
              </w:rPr>
              <w:t>150,046</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87,553</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$463,609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4"/>
              <w:spacing w:after="0"/>
              <w:rPr>
                <w:sz w:val="20"/>
                <w:szCs w:val="20"/>
                <w:color w:val="auto"/>
              </w:rPr>
            </w:pPr>
            <w:r>
              <w:rPr>
                <w:rFonts w:ascii="Arial" w:cs="Arial" w:eastAsia="Arial" w:hAnsi="Arial"/>
                <w:sz w:val="18"/>
                <w:szCs w:val="18"/>
                <w:color w:val="auto"/>
              </w:rPr>
              <w:t>$463,609</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30,408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2,147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3,814</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36,369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(36,369)</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Segment profit (loss)</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57,163</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40,767</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24,727</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122,657</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(5,017)</w:t>
            </w:r>
          </w:p>
        </w:tc>
        <w:tc>
          <w:tcPr>
            <w:tcW w:w="1480" w:type="dxa"/>
            <w:vAlign w:val="bottom"/>
            <w:gridSpan w:val="2"/>
          </w:tcPr>
          <w:p>
            <w:pPr>
              <w:jc w:val="right"/>
              <w:ind w:right="154"/>
              <w:spacing w:after="0"/>
              <w:rPr>
                <w:sz w:val="20"/>
                <w:szCs w:val="20"/>
                <w:color w:val="auto"/>
              </w:rPr>
            </w:pPr>
            <w:r>
              <w:rPr>
                <w:rFonts w:ascii="Arial" w:cs="Arial" w:eastAsia="Arial" w:hAnsi="Arial"/>
                <w:sz w:val="18"/>
                <w:szCs w:val="18"/>
                <w:color w:val="auto"/>
              </w:rPr>
              <w:t>117,640</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segment profit to net income for the three months and six months ended January 31, 2007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January 31,</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right"/>
              <w:ind w:right="80"/>
              <w:spacing w:after="0" w:line="153" w:lineRule="exact"/>
              <w:rPr>
                <w:sz w:val="20"/>
                <w:szCs w:val="20"/>
                <w:color w:val="auto"/>
              </w:rPr>
            </w:pPr>
            <w:r>
              <w:rPr>
                <w:rFonts w:ascii="Arial" w:cs="Arial" w:eastAsia="Arial" w:hAnsi="Arial"/>
                <w:sz w:val="14"/>
                <w:szCs w:val="14"/>
                <w:b w:val="1"/>
                <w:bCs w:val="1"/>
                <w:color w:val="auto"/>
              </w:rPr>
              <w:t>January 31,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63,791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56,675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145,838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(4,425)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(28,839)</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(22,768)</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(56,748)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(expense)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(9,979)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27,374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28,929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75,218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(21,061)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19,709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21,254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54,157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80" w:type="dxa"/>
            <w:vAlign w:val="bottom"/>
            <w:vMerge w:val="restart"/>
          </w:tcPr>
          <w:p>
            <w:pPr>
              <w:jc w:val="right"/>
              <w:ind w:right="69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G —Stock-Based Compensation</w:t>
      </w:r>
    </w:p>
    <w:p>
      <w:pPr>
        <w:spacing w:after="0" w:line="117"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All performance-based options that were granted in fiscal 2006 and in prior years expire 5 years from the date of grant. Beginning in fiscal 2007, any performance options granted expire 10 years from the date of grant.</w:t>
      </w:r>
    </w:p>
    <w:p>
      <w:pPr>
        <w:spacing w:after="0" w:line="74" w:lineRule="exact"/>
        <w:rPr>
          <w:sz w:val="20"/>
          <w:szCs w:val="20"/>
          <w:color w:val="auto"/>
        </w:rPr>
      </w:pPr>
    </w:p>
    <w:p>
      <w:pPr>
        <w:jc w:val="both"/>
        <w:ind w:right="280" w:firstLine="215"/>
        <w:spacing w:after="0" w:line="264" w:lineRule="auto"/>
        <w:rPr>
          <w:sz w:val="20"/>
          <w:szCs w:val="20"/>
          <w:color w:val="auto"/>
        </w:rPr>
      </w:pPr>
      <w:r>
        <w:rPr>
          <w:rFonts w:ascii="Arial" w:cs="Arial" w:eastAsia="Arial" w:hAnsi="Arial"/>
          <w:sz w:val="18"/>
          <w:szCs w:val="18"/>
          <w:color w:val="auto"/>
        </w:rPr>
        <w:t>As of January 31, 2007, the Company has reserved 4,487,618 shares of Class A Nonvoting Common Stock for outstanding stock options and 1,971,000 shares of Class A Nonvoting Common Stock remain for future issuance of stock options under the various plans. The Company uses treasury stock or will issue new Class A Nonvoting Common Stock to deliver shares under these plans.</w:t>
      </w:r>
    </w:p>
    <w:p>
      <w:pPr>
        <w:spacing w:after="0" w:line="73"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Company accounts for share-based compensation awards in accordance with Statement of Financial Accounting Standards No. 123(R), “Share Based Payment”. In accordance with this standard, the Company recognizes the compensation cost of all share-based awards on a straight-line basis over the vesting period of the award. Total stock compensation expense recognized by the Company during the three months ended January 31, 2007 and 2006 was $2,110 ($1,287 net of taxes) and $1,903 ($1,161 net of taxes), respectively, and expense recognized during the six months ended January 31, 2007 and 2006 was $3,669 ($2,238 net of taxes) and $2,827 ($1,724 net of taxes), respectively. As of January 31, 2007, total unrecognized compensation cost related to share-based compensation awards was approximately $16,987 pre-tax, net of estimated forfeitures, which the Company expects to recognize over a weighted-average period of approximately 2.3 years.</w:t>
      </w:r>
    </w:p>
    <w:p>
      <w:pPr>
        <w:spacing w:after="0" w:line="7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six months ended January 31, 2007 and 2006 using the Black-Scholes option valuation model. The weighted-average assumptions used in the Black-Scholes valuation model are reflected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60" w:type="dxa"/>
            <w:vAlign w:val="bottom"/>
            <w:gridSpan w:val="3"/>
          </w:tcPr>
          <w:p>
            <w:pPr>
              <w:jc w:val="right"/>
              <w:ind w:right="724"/>
              <w:spacing w:after="0"/>
              <w:rPr>
                <w:sz w:val="20"/>
                <w:szCs w:val="20"/>
                <w:color w:val="auto"/>
              </w:rPr>
            </w:pPr>
            <w:r>
              <w:rPr>
                <w:rFonts w:ascii="Arial" w:cs="Arial" w:eastAsia="Arial" w:hAnsi="Arial"/>
                <w:sz w:val="14"/>
                <w:szCs w:val="14"/>
                <w:color w:val="auto"/>
              </w:rPr>
              <w:t>Six Months Ended</w:t>
            </w:r>
          </w:p>
        </w:tc>
        <w:tc>
          <w:tcPr>
            <w:tcW w:w="46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74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4"/>
                <w:szCs w:val="14"/>
                <w:color w:val="auto"/>
              </w:rPr>
              <w:t>January 31, 2007</w:t>
            </w:r>
          </w:p>
        </w:tc>
        <w:tc>
          <w:tcPr>
            <w:tcW w:w="46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January 31, 2006</w:t>
            </w:r>
          </w:p>
        </w:tc>
        <w:tc>
          <w:tcPr>
            <w:tcW w:w="74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Arial" w:cs="Arial" w:eastAsia="Arial" w:hAnsi="Arial"/>
                <w:sz w:val="14"/>
                <w:szCs w:val="14"/>
                <w:color w:val="auto"/>
                <w:w w:val="91"/>
              </w:rPr>
              <w:t>Performance-</w:t>
            </w:r>
          </w:p>
        </w:tc>
        <w:tc>
          <w:tcPr>
            <w:tcW w:w="4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4"/>
              </w:rPr>
              <w:t>Performance-</w:t>
            </w: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57"/>
              <w:spacing w:after="0" w:line="149" w:lineRule="exact"/>
              <w:rPr>
                <w:sz w:val="20"/>
                <w:szCs w:val="20"/>
                <w:color w:val="auto"/>
              </w:rPr>
            </w:pPr>
            <w:r>
              <w:rPr>
                <w:rFonts w:ascii="Arial" w:cs="Arial" w:eastAsia="Arial" w:hAnsi="Arial"/>
                <w:sz w:val="14"/>
                <w:szCs w:val="14"/>
                <w:color w:val="auto"/>
              </w:rPr>
              <w:t>Service-Based</w:t>
            </w:r>
          </w:p>
        </w:tc>
        <w:tc>
          <w:tcPr>
            <w:tcW w:w="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Based Option</w:t>
            </w:r>
          </w:p>
        </w:tc>
        <w:tc>
          <w:tcPr>
            <w:tcW w:w="460" w:type="dxa"/>
            <w:vAlign w:val="bottom"/>
          </w:tcPr>
          <w:p>
            <w:pPr>
              <w:spacing w:after="0"/>
              <w:rPr>
                <w:sz w:val="12"/>
                <w:szCs w:val="12"/>
                <w:color w:val="auto"/>
              </w:rPr>
            </w:pPr>
          </w:p>
        </w:tc>
        <w:tc>
          <w:tcPr>
            <w:tcW w:w="1140" w:type="dxa"/>
            <w:vAlign w:val="bottom"/>
          </w:tcPr>
          <w:p>
            <w:pPr>
              <w:jc w:val="right"/>
              <w:ind w:right="84"/>
              <w:spacing w:after="0" w:line="149" w:lineRule="exact"/>
              <w:rPr>
                <w:sz w:val="20"/>
                <w:szCs w:val="20"/>
                <w:color w:val="auto"/>
              </w:rPr>
            </w:pPr>
            <w:r>
              <w:rPr>
                <w:rFonts w:ascii="Arial" w:cs="Arial" w:eastAsia="Arial" w:hAnsi="Arial"/>
                <w:sz w:val="14"/>
                <w:szCs w:val="14"/>
                <w:color w:val="auto"/>
              </w:rPr>
              <w:t>Service-Based</w:t>
            </w:r>
          </w:p>
        </w:tc>
        <w:tc>
          <w:tcPr>
            <w:tcW w:w="4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Based Option</w:t>
            </w:r>
          </w:p>
        </w:tc>
      </w:tr>
      <w:tr>
        <w:trPr>
          <w:trHeight w:val="167"/>
        </w:trPr>
        <w:tc>
          <w:tcPr>
            <w:tcW w:w="5620" w:type="dxa"/>
            <w:vAlign w:val="bottom"/>
            <w:gridSpan w:val="3"/>
          </w:tcPr>
          <w:p>
            <w:pPr>
              <w:spacing w:after="0"/>
              <w:rPr>
                <w:sz w:val="20"/>
                <w:szCs w:val="20"/>
                <w:color w:val="auto"/>
              </w:rPr>
            </w:pPr>
            <w:r>
              <w:rPr>
                <w:rFonts w:ascii="Arial" w:cs="Arial" w:eastAsia="Arial" w:hAnsi="Arial"/>
                <w:sz w:val="14"/>
                <w:szCs w:val="14"/>
                <w:color w:val="auto"/>
              </w:rPr>
              <w:t>Black-Scholes Option Valuation Assumptions</w:t>
            </w:r>
          </w:p>
        </w:tc>
        <w:tc>
          <w:tcPr>
            <w:tcW w:w="1120" w:type="dxa"/>
            <w:vAlign w:val="bottom"/>
          </w:tcPr>
          <w:p>
            <w:pPr>
              <w:jc w:val="right"/>
              <w:ind w:right="37"/>
              <w:spacing w:after="0"/>
              <w:rPr>
                <w:sz w:val="20"/>
                <w:szCs w:val="20"/>
                <w:color w:val="auto"/>
              </w:rPr>
            </w:pPr>
            <w:r>
              <w:rPr>
                <w:rFonts w:ascii="Arial" w:cs="Arial" w:eastAsia="Arial" w:hAnsi="Arial"/>
                <w:sz w:val="14"/>
                <w:szCs w:val="14"/>
                <w:color w:val="auto"/>
              </w:rPr>
              <w:t>Option Awards</w:t>
            </w:r>
          </w:p>
        </w:tc>
        <w:tc>
          <w:tcPr>
            <w:tcW w:w="4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Awards</w:t>
            </w:r>
          </w:p>
        </w:tc>
        <w:tc>
          <w:tcPr>
            <w:tcW w:w="460" w:type="dxa"/>
            <w:vAlign w:val="bottom"/>
          </w:tcPr>
          <w:p>
            <w:pPr>
              <w:spacing w:after="0"/>
              <w:rPr>
                <w:sz w:val="14"/>
                <w:szCs w:val="14"/>
                <w:color w:val="auto"/>
              </w:rPr>
            </w:pPr>
          </w:p>
        </w:tc>
        <w:tc>
          <w:tcPr>
            <w:tcW w:w="1140" w:type="dxa"/>
            <w:vAlign w:val="bottom"/>
          </w:tcPr>
          <w:p>
            <w:pPr>
              <w:jc w:val="right"/>
              <w:ind w:right="64"/>
              <w:spacing w:after="0"/>
              <w:rPr>
                <w:sz w:val="20"/>
                <w:szCs w:val="20"/>
                <w:color w:val="auto"/>
              </w:rPr>
            </w:pPr>
            <w:r>
              <w:rPr>
                <w:rFonts w:ascii="Arial" w:cs="Arial" w:eastAsia="Arial" w:hAnsi="Arial"/>
                <w:sz w:val="14"/>
                <w:szCs w:val="14"/>
                <w:color w:val="auto"/>
              </w:rPr>
              <w:t>Option Awards</w:t>
            </w:r>
          </w:p>
        </w:tc>
        <w:tc>
          <w:tcPr>
            <w:tcW w:w="4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4"/>
              </w:rPr>
              <w:t>Awards</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6.07</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6.57</w:t>
            </w:r>
          </w:p>
        </w:tc>
        <w:tc>
          <w:tcPr>
            <w:tcW w:w="4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8"/>
                <w:szCs w:val="18"/>
                <w:color w:val="auto"/>
              </w:rPr>
              <w:t>5.72</w:t>
            </w:r>
          </w:p>
        </w:tc>
        <w:tc>
          <w:tcPr>
            <w:tcW w:w="4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3.39</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34.01%</w:t>
            </w:r>
          </w:p>
        </w:tc>
        <w:tc>
          <w:tcPr>
            <w:tcW w:w="1540" w:type="dxa"/>
            <w:vAlign w:val="bottom"/>
            <w:gridSpan w:val="2"/>
          </w:tcPr>
          <w:p>
            <w:pPr>
              <w:jc w:val="right"/>
              <w:ind w:right="104"/>
              <w:spacing w:after="0"/>
              <w:rPr>
                <w:sz w:val="20"/>
                <w:szCs w:val="20"/>
                <w:color w:val="auto"/>
              </w:rPr>
            </w:pPr>
            <w:r>
              <w:rPr>
                <w:rFonts w:ascii="Arial" w:cs="Arial" w:eastAsia="Arial" w:hAnsi="Arial"/>
                <w:sz w:val="18"/>
                <w:szCs w:val="18"/>
                <w:color w:val="auto"/>
              </w:rPr>
              <w:t>34.66%</w:t>
            </w:r>
          </w:p>
        </w:tc>
        <w:tc>
          <w:tcPr>
            <w:tcW w:w="1600" w:type="dxa"/>
            <w:vAlign w:val="bottom"/>
            <w:gridSpan w:val="2"/>
          </w:tcPr>
          <w:p>
            <w:pPr>
              <w:jc w:val="right"/>
              <w:ind w:right="144"/>
              <w:spacing w:after="0"/>
              <w:rPr>
                <w:sz w:val="20"/>
                <w:szCs w:val="20"/>
                <w:color w:val="auto"/>
              </w:rPr>
            </w:pPr>
            <w:r>
              <w:rPr>
                <w:rFonts w:ascii="Arial" w:cs="Arial" w:eastAsia="Arial" w:hAnsi="Arial"/>
                <w:sz w:val="18"/>
                <w:szCs w:val="18"/>
                <w:color w:val="auto"/>
              </w:rPr>
              <w:t>34.56%</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w w:val="88"/>
              </w:rPr>
              <w:t>31.10%</w:t>
            </w: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1.46%</w:t>
            </w:r>
          </w:p>
        </w:tc>
        <w:tc>
          <w:tcPr>
            <w:tcW w:w="154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1.51%</w:t>
            </w:r>
          </w:p>
        </w:tc>
        <w:tc>
          <w:tcPr>
            <w:tcW w:w="16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1.52%</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4.52%</w:t>
            </w:r>
          </w:p>
        </w:tc>
        <w:tc>
          <w:tcPr>
            <w:tcW w:w="1540" w:type="dxa"/>
            <w:vAlign w:val="bottom"/>
            <w:gridSpan w:val="2"/>
          </w:tcPr>
          <w:p>
            <w:pPr>
              <w:jc w:val="right"/>
              <w:ind w:right="104"/>
              <w:spacing w:after="0"/>
              <w:rPr>
                <w:sz w:val="20"/>
                <w:szCs w:val="20"/>
                <w:color w:val="auto"/>
              </w:rPr>
            </w:pPr>
            <w:r>
              <w:rPr>
                <w:rFonts w:ascii="Arial" w:cs="Arial" w:eastAsia="Arial" w:hAnsi="Arial"/>
                <w:sz w:val="18"/>
                <w:szCs w:val="18"/>
                <w:color w:val="auto"/>
              </w:rPr>
              <w:t>4.90%</w:t>
            </w:r>
          </w:p>
        </w:tc>
        <w:tc>
          <w:tcPr>
            <w:tcW w:w="1600" w:type="dxa"/>
            <w:vAlign w:val="bottom"/>
            <w:gridSpan w:val="2"/>
          </w:tcPr>
          <w:p>
            <w:pPr>
              <w:jc w:val="right"/>
              <w:ind w:right="144"/>
              <w:spacing w:after="0"/>
              <w:rPr>
                <w:sz w:val="20"/>
                <w:szCs w:val="20"/>
                <w:color w:val="auto"/>
              </w:rPr>
            </w:pPr>
            <w:r>
              <w:rPr>
                <w:rFonts w:ascii="Arial" w:cs="Arial" w:eastAsia="Arial" w:hAnsi="Arial"/>
                <w:sz w:val="18"/>
                <w:szCs w:val="18"/>
                <w:color w:val="auto"/>
              </w:rPr>
              <w:t>4.50%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market value of underlying stock at grant date</w:t>
            </w: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$38.19</w:t>
            </w: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$33.32</w:t>
            </w:r>
          </w:p>
        </w:tc>
        <w:tc>
          <w:tcPr>
            <w:tcW w:w="16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$37.64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33.89</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120" w:type="dxa"/>
            <w:vAlign w:val="bottom"/>
          </w:tcPr>
          <w:p>
            <w:pPr>
              <w:jc w:val="right"/>
              <w:ind w:right="277"/>
              <w:spacing w:after="0"/>
              <w:rPr>
                <w:sz w:val="20"/>
                <w:szCs w:val="20"/>
                <w:color w:val="auto"/>
              </w:rPr>
            </w:pPr>
            <w:r>
              <w:rPr>
                <w:rFonts w:ascii="Arial" w:cs="Arial" w:eastAsia="Arial" w:hAnsi="Arial"/>
                <w:sz w:val="18"/>
                <w:szCs w:val="18"/>
                <w:color w:val="auto"/>
              </w:rPr>
              <w:t>$38.19</w:t>
            </w: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$33.32</w:t>
            </w:r>
          </w:p>
        </w:tc>
        <w:tc>
          <w:tcPr>
            <w:tcW w:w="1600" w:type="dxa"/>
            <w:vAlign w:val="bottom"/>
            <w:gridSpan w:val="2"/>
          </w:tcPr>
          <w:p>
            <w:pPr>
              <w:jc w:val="right"/>
              <w:ind w:right="284"/>
              <w:spacing w:after="0"/>
              <w:rPr>
                <w:sz w:val="20"/>
                <w:szCs w:val="20"/>
                <w:color w:val="auto"/>
              </w:rPr>
            </w:pPr>
            <w:r>
              <w:rPr>
                <w:rFonts w:ascii="Arial" w:cs="Arial" w:eastAsia="Arial" w:hAnsi="Arial"/>
                <w:sz w:val="18"/>
                <w:szCs w:val="18"/>
                <w:color w:val="auto"/>
              </w:rPr>
              <w:t>$37.64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33.89</w:t>
            </w: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period</w:t>
            </w: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$13.57</w:t>
            </w: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$12.57</w:t>
            </w:r>
          </w:p>
        </w:tc>
        <w:tc>
          <w:tcPr>
            <w:tcW w:w="16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$13.10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8.34</w:t>
            </w: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 summary of stock option activity under the Company’s share-based compensation plans for the six months ended January 31, 2007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right"/>
              <w:ind w:right="394"/>
              <w:spacing w:after="0" w:line="149" w:lineRule="exact"/>
              <w:rPr>
                <w:sz w:val="20"/>
                <w:szCs w:val="20"/>
                <w:color w:val="auto"/>
              </w:rPr>
            </w:pPr>
            <w:r>
              <w:rPr>
                <w:rFonts w:ascii="Arial" w:cs="Arial" w:eastAsia="Arial" w:hAnsi="Arial"/>
                <w:sz w:val="14"/>
                <w:szCs w:val="14"/>
                <w:color w:val="auto"/>
                <w:w w:val="94"/>
              </w:rPr>
              <w:t>Weighted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right"/>
              <w:ind w:right="434"/>
              <w:spacing w:after="0" w:line="149" w:lineRule="exact"/>
              <w:rPr>
                <w:sz w:val="20"/>
                <w:szCs w:val="20"/>
                <w:color w:val="auto"/>
              </w:rPr>
            </w:pPr>
            <w:r>
              <w:rPr>
                <w:rFonts w:ascii="Arial" w:cs="Arial" w:eastAsia="Arial" w:hAnsi="Arial"/>
                <w:sz w:val="14"/>
                <w:szCs w:val="14"/>
                <w:color w:val="auto"/>
                <w:w w:val="99"/>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Options</w:t>
            </w:r>
          </w:p>
        </w:tc>
        <w:tc>
          <w:tcPr>
            <w:tcW w:w="12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color w:val="auto"/>
              </w:rPr>
              <w:t>Shares</w:t>
            </w:r>
          </w:p>
        </w:tc>
        <w:tc>
          <w:tcPr>
            <w:tcW w:w="14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Exercise 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Term</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2006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3,815,052</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23.27</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New grants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905,000</w:t>
            </w:r>
          </w:p>
        </w:tc>
        <w:tc>
          <w:tcPr>
            <w:tcW w:w="34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36.76</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(214,799)</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17.77</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or expired</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(17,635)</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30.72</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2007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4,487,618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26.16</w:t>
            </w:r>
          </w:p>
        </w:tc>
        <w:tc>
          <w:tcPr>
            <w:tcW w:w="1320" w:type="dxa"/>
            <w:vAlign w:val="bottom"/>
            <w:shd w:val="clear" w:color="auto" w:fill="CCEEFF"/>
          </w:tcPr>
          <w:p>
            <w:pPr>
              <w:jc w:val="right"/>
              <w:ind w:right="243"/>
              <w:spacing w:after="0"/>
              <w:rPr>
                <w:sz w:val="20"/>
                <w:szCs w:val="20"/>
                <w:color w:val="auto"/>
              </w:rPr>
            </w:pPr>
            <w:r>
              <w:rPr>
                <w:rFonts w:ascii="Arial" w:cs="Arial" w:eastAsia="Arial" w:hAnsi="Arial"/>
                <w:sz w:val="18"/>
                <w:szCs w:val="18"/>
                <w:color w:val="auto"/>
              </w:rPr>
              <w:t>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51,331</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Exercisable at January 31, 2007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vMerge w:val="restart"/>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254"/>
              <w:spacing w:after="0"/>
              <w:rPr>
                <w:sz w:val="20"/>
                <w:szCs w:val="20"/>
                <w:color w:val="auto"/>
              </w:rPr>
            </w:pPr>
            <w:r>
              <w:rPr>
                <w:rFonts w:ascii="Arial" w:cs="Arial" w:eastAsia="Arial" w:hAnsi="Arial"/>
                <w:sz w:val="18"/>
                <w:szCs w:val="18"/>
                <w:color w:val="auto"/>
              </w:rPr>
              <w:t>20.66</w:t>
            </w:r>
          </w:p>
        </w:tc>
        <w:tc>
          <w:tcPr>
            <w:tcW w:w="1320" w:type="dxa"/>
            <w:vAlign w:val="bottom"/>
            <w:vMerge w:val="restart"/>
          </w:tcPr>
          <w:p>
            <w:pPr>
              <w:jc w:val="right"/>
              <w:ind w:right="243"/>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2,471,622</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41,564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40" w:firstLine="222"/>
        <w:spacing w:after="0" w:line="264" w:lineRule="auto"/>
        <w:rPr>
          <w:sz w:val="20"/>
          <w:szCs w:val="20"/>
          <w:color w:val="auto"/>
        </w:rPr>
      </w:pPr>
      <w:r>
        <w:rPr>
          <w:rFonts w:ascii="Arial" w:cs="Arial" w:eastAsia="Arial" w:hAnsi="Arial"/>
          <w:sz w:val="18"/>
          <w:szCs w:val="18"/>
          <w:color w:val="auto"/>
        </w:rPr>
        <w:t>The total intrinsic value of options exercised during the six months ended January 31, 2007 and 2006, based upon the average market price during the period, was approximately $4,597 and $9,813, respectively. The total fair value of stock options vested during the six months ended January 31, 2007 and 2006, was approximately $4,592 and $3,100,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H – Debt</w:t>
      </w:r>
    </w:p>
    <w:p>
      <w:pPr>
        <w:spacing w:after="0" w:line="11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At the Company’s option, and subject to certain standard conditions, the available amount under the credit facility may be increased from $200 million up to $300 million. Under the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January 31, 2007, the Company was in compliance with the covenants of the agreement.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As of January 31, 2007, there were $70.8 million of outstanding borrowings under the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I – Employee Benefit Plans</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provides postretirement medical, dental and vision benefits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80" w:lineRule="exact"/>
        <w:rPr>
          <w:sz w:val="20"/>
          <w:szCs w:val="20"/>
          <w:color w:val="auto"/>
        </w:rPr>
      </w:pPr>
    </w:p>
    <w:p>
      <w:pPr>
        <w:ind w:right="300" w:firstLine="222"/>
        <w:spacing w:after="0" w:line="279" w:lineRule="auto"/>
        <w:rPr>
          <w:sz w:val="20"/>
          <w:szCs w:val="20"/>
          <w:color w:val="auto"/>
        </w:rPr>
      </w:pPr>
      <w:r>
        <w:rPr>
          <w:rFonts w:ascii="Arial" w:cs="Arial" w:eastAsia="Arial" w:hAnsi="Arial"/>
          <w:sz w:val="17"/>
          <w:szCs w:val="17"/>
          <w:color w:val="auto"/>
        </w:rPr>
        <w:t>The Company accounts for postretirement benefits other than pensions in accordance with SFAS No. 106, “Employers’ Accounting for Postretirement Benefits Other than Pensions.” The Company funds benefit costs on a pay-as-you-go basis. There have been no changes to the components of net periodic benefit cost or the amount that the Company expects to fund in fiscal 2007 from those reported thereto in Note 3 to the consolidated financial statements included in the Company’s latest annual report on Form 10-K for the year ended July 31,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J – New Accounting Pronouncements</w:t>
      </w:r>
    </w:p>
    <w:p>
      <w:pPr>
        <w:spacing w:after="0" w:line="117" w:lineRule="exact"/>
        <w:rPr>
          <w:sz w:val="20"/>
          <w:szCs w:val="20"/>
          <w:color w:val="auto"/>
        </w:rPr>
      </w:pPr>
    </w:p>
    <w:p>
      <w:pPr>
        <w:ind w:right="140" w:firstLine="225"/>
        <w:spacing w:after="0" w:line="272" w:lineRule="auto"/>
        <w:rPr>
          <w:sz w:val="20"/>
          <w:szCs w:val="20"/>
          <w:color w:val="auto"/>
        </w:rPr>
      </w:pPr>
      <w:r>
        <w:rPr>
          <w:rFonts w:ascii="Arial" w:cs="Arial" w:eastAsia="Arial" w:hAnsi="Arial"/>
          <w:sz w:val="17"/>
          <w:szCs w:val="17"/>
          <w:color w:val="auto"/>
        </w:rPr>
        <w:t>In June 2006, the Financial Accounting Standards Board (“FASB”) issued FIN 48, “Accounting for Uncertainty in Income Taxes.” This interpretation clarifies the accounting for uncertainty in income taxes recognized in an enterprise’s financial statements in accordance with FASB Statement No. 109, “Accounting for Income Taxes.” This interpretation establishes a threshold condition that a tax position must meet for any part of the benefit of that position to be recognized in the financial statements. This interpretation also provides guidance on de-recognition, classification, interest and penalties, accounting in interim periods, disclosure and transition. This interpretation is effective for fiscal years beginning after December 15, 2006. The Company has not yet completed the process of evaluating the impact that will result from adopting FIN 48 and therefore is unable to disclose the impact that adopting FIN 48 will have on its financial position and results of operations when such statement is adopted.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In September 2006, the Financial Accounting Standards Board (“FASB”) issued SFAS No. 157, “Fair Value Measurements” (“SFAS No. 157”). This statement provides guidance on how to measure the fair value of assets and liabilities utilizing a fair value hierarchy to classify the sources of information used in the measurement calculation. SFAS No. 157 also provides new disclosure rules for assets and liabilities measured at fair value based on their level in the fair value hierarchy. This new statement will be effective for fiscal years beginning after November 15, 2007. The Company expects that the adoption of SFAS No. 157 will not have a material effect on its consolidated financial statements.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October 2006, the FASB issued SFAS No. 158, “Employers’ Accounting for Defined Benefit Pension and Other Postretirement Plans” (“SFAS</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 158”). This statement requires full recognition of the funded status of defined benefit and other postretirement plans on the balance sheet as an asset or a liability. SFAS No. 158 also continues to require that unrecognized prior service costs/credits, gains/losses, and transition obligations/assets be recorded in Accumulated Other Comprehensive Income, thus not changing the income statement recognition rules for such plans. This new statement will be effective for fiscal years ending after December 15, 2006. The Company expects that the adoption of SFAS No. 158 will not have a material effect on its consolidated financial statements.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4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Brady is an international manufacturer and marketer of identification solutions and specialty materials that identify and protect premises, products, and people. Its products include high-performance labels and signs, printing systems and software, label-application and data-collection systems, safety devices and precision die-cut materials. Founded in 1914, the Company serves customers in electronics, telecommunications, manufacturing, electrical, construction, laboratory, education, governmental, public utility, computer, transportation and a variety of other industries. The Company manufactures and sells products domestically and internationally through multiple channels including distributor sales, direct sales, mail-order catalogs, telemarketing, retail and electronic access through the Internet. The Company operates manufacturing or distribution facilities in Australia, Belgium, Brazil, Canada, China, Denmark, France, Germany, Hong Kong, India, Italy, Korea, Malaysia, Mexico, Norway, Singapore, Slovakia, Sweden, Thailand, the United Kingdom and the United States. Brady sells through subsidiaries or sales offices in these countries, with additional sales through a dedicated team of international sales representatives in Japan, the Netherlands, the Philippines, Spain, Taiwan and Turkey and further markets it products to parts of Eastern Europe, the Middle East, Africa and Russia. The Company believes that its reputation for innovation, commitment to quality and service, and dedicated employees have made it a world leader in the markets it serves.</w:t>
      </w:r>
    </w:p>
    <w:p>
      <w:pPr>
        <w:spacing w:after="0" w:line="75"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Sales for the quarter ended January 31, 2007, were up 39.1% to $321.3 million, compared to $231.0 million in the same period of fiscal 2006. Of the increase in sales, organic growth accounted for 4.6%, acquisitions added 29.8% and the effects of fluctuations in the exchange rates used to translate financial results into the United States dollar added 4.7%. Net income for the quarter ended January 31, 2007, was $19.7 million or $0.36 per diluted Class A Nonvoting Common Share, down 7.3% from $21.3 million, or $0.43 per diluted Class A Nonvoting Common Share reported in the second quarter of last fiscal year.</w:t>
      </w:r>
    </w:p>
    <w:p>
      <w:pPr>
        <w:spacing w:after="0" w:line="80"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Sales for the six months ended January 31, 2007, increased 41.0% to $653.5 million, compared to $463.6 million in the same period of fiscal 2006. Organic growth accounted for 5.2%, acquisitions added 32.2% and the effects of fluctuations in the exchange rates used to translate financial results into the United States dollar added 3.6%. Net income for the six months ended January 31, 2007 was $54.2 million or $0.99 per diluted Class A Nonvoting Common Share, up 5.3% from $51.5 million, or $1.03 per diluted Class A Nonvoting Common Share reported in the same period of the prior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comparability of the operating results for the three and six months ended January 31, 2007, to the prior year has been significantly impacted by the following acquisitions completed in fiscal 2007 and fiscal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gridSpan w:val="2"/>
          </w:tcPr>
          <w:p>
            <w:pPr>
              <w:spacing w:after="0"/>
              <w:rPr>
                <w:sz w:val="20"/>
                <w:szCs w:val="20"/>
                <w:color w:val="auto"/>
              </w:rPr>
            </w:pPr>
            <w:r>
              <w:rPr>
                <w:rFonts w:ascii="Arial" w:cs="Arial" w:eastAsia="Arial" w:hAnsi="Arial"/>
                <w:sz w:val="14"/>
                <w:szCs w:val="14"/>
                <w:b w:val="1"/>
                <w:bCs w:val="1"/>
                <w:color w:val="auto"/>
              </w:rPr>
              <w:t>Acquisitions</w:t>
            </w:r>
          </w:p>
        </w:tc>
        <w:tc>
          <w:tcPr>
            <w:tcW w:w="3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Date Completed</w:t>
            </w:r>
          </w:p>
        </w:tc>
      </w:tr>
      <w:tr>
        <w:trPr>
          <w:trHeight w:val="210"/>
        </w:trPr>
        <w:tc>
          <w:tcPr>
            <w:tcW w:w="20" w:type="dxa"/>
            <w:vAlign w:val="bottom"/>
          </w:tcPr>
          <w:p>
            <w:pPr>
              <w:spacing w:after="0"/>
              <w:rPr>
                <w:sz w:val="18"/>
                <w:szCs w:val="18"/>
                <w:color w:val="auto"/>
              </w:rPr>
            </w:pPr>
          </w:p>
        </w:tc>
        <w:tc>
          <w:tcPr>
            <w:tcW w:w="8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STOPware, Inc. (“Stopware”)</w:t>
            </w:r>
          </w:p>
        </w:tc>
        <w:tc>
          <w:tcPr>
            <w:tcW w:w="3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Americas</w:t>
            </w:r>
          </w:p>
        </w:tc>
        <w:tc>
          <w:tcPr>
            <w:tcW w:w="3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August 2005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Texit Danmark AS and Texit Norge AS (collectively “Texit”)</w:t>
            </w:r>
          </w:p>
        </w:tc>
        <w:tc>
          <w:tcPr>
            <w:tcW w:w="3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September 2005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TruMed Technologies, Inc. (“TruMed”)</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Americas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QDP Thailand Co., Ltd (“QDPT”)</w:t>
            </w:r>
          </w:p>
        </w:tc>
        <w:tc>
          <w:tcPr>
            <w:tcW w:w="3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Asia-Pacific</w:t>
            </w:r>
          </w:p>
        </w:tc>
        <w:tc>
          <w:tcPr>
            <w:tcW w:w="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October 2005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J.A.M. Plastics Inc. (“J.A.M.”)</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Americas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Personnel Concepts</w:t>
            </w:r>
          </w:p>
        </w:tc>
        <w:tc>
          <w:tcPr>
            <w:tcW w:w="3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Americas</w:t>
            </w:r>
          </w:p>
        </w:tc>
        <w:tc>
          <w:tcPr>
            <w:tcW w:w="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February 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IDenticard Systems, Inc. and Identicam Systems (collectively “Identicard”)</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Americas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Accidental Health &amp; Safety Pty. Ltd and Trafalgar First Aid Pty. Ltd. (collectively “Accidental Health”)</w:t>
            </w:r>
          </w:p>
        </w:tc>
        <w:tc>
          <w:tcPr>
            <w:tcW w:w="3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Asia-Pacific</w:t>
            </w:r>
          </w:p>
        </w:tc>
        <w:tc>
          <w:tcPr>
            <w:tcW w:w="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March 2006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Tradex Converting AB (“Tradex”)</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Americas, Europe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May 2006</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and Asia-Pacific</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Carroll Australasia Pty. Ltd. (“Carroll”)</w:t>
            </w:r>
          </w:p>
        </w:tc>
        <w:tc>
          <w:tcPr>
            <w:tcW w:w="3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Asia-Pacific</w:t>
            </w:r>
          </w:p>
        </w:tc>
        <w:tc>
          <w:tcPr>
            <w:tcW w:w="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June 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Daewon Industry Corporation (“Daewon”)</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Asia-Pacific</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2006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color w:val="auto"/>
              </w:rPr>
              <w:t>Comprehensive Identification Products, Inc. (“CIPI”)</w:t>
            </w:r>
          </w:p>
        </w:tc>
        <w:tc>
          <w:tcPr>
            <w:tcW w:w="34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0"/>
              </w:rPr>
              <w:t>Americas, Europe</w:t>
            </w:r>
          </w:p>
        </w:tc>
        <w:tc>
          <w:tcPr>
            <w:tcW w:w="34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0"/>
              </w:rPr>
              <w:t>August 2006</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and Asia-Pacific</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Precision Converters, L.P. (“PC”)</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Americas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color w:val="auto"/>
              </w:rPr>
              <w:t>Scafftag Ltd., Safetrak, Ltd. and Scafftag Pty., Ltd. (collectively “Scafftag”)</w:t>
            </w:r>
          </w:p>
        </w:tc>
        <w:tc>
          <w:tcPr>
            <w:tcW w:w="34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0"/>
              </w:rPr>
              <w:t>Americas, Europe</w:t>
            </w:r>
          </w:p>
        </w:tc>
        <w:tc>
          <w:tcPr>
            <w:tcW w:w="34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88"/>
              </w:rPr>
              <w:t>December 2006</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and Asia-Pacific</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Asterisco Artes Graficas Ltda. (“Asterisco”)</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Americas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Modernotecnica SpA (“Moderno”)</w:t>
            </w:r>
          </w:p>
        </w:tc>
        <w:tc>
          <w:tcPr>
            <w:tcW w:w="3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3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December 2006</w:t>
            </w:r>
          </w:p>
        </w:tc>
        <w:tc>
          <w:tcPr>
            <w:tcW w:w="20" w:type="dxa"/>
            <w:vAlign w:val="bottom"/>
          </w:tcPr>
          <w:p>
            <w:pPr>
              <w:spacing w:after="0"/>
              <w:rPr>
                <w:sz w:val="20"/>
                <w:szCs w:val="20"/>
                <w:color w:val="auto"/>
              </w:rPr>
            </w:pPr>
          </w:p>
        </w:tc>
      </w:tr>
      <w:tr>
        <w:trPr>
          <w:trHeight w:val="391"/>
        </w:trPr>
        <w:tc>
          <w:tcPr>
            <w:tcW w:w="8100" w:type="dxa"/>
            <w:vAlign w:val="bottom"/>
            <w:gridSpan w:val="2"/>
          </w:tcPr>
          <w:p>
            <w:pPr>
              <w:jc w:val="right"/>
              <w:ind w:right="221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8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Sales for the three months ended January 31, 2007, were up 39.1% compared to the same period in fiscal 2006. The increase was comprised of an increase of 4.6% attributed to organic growth, an increase of 4.7% due to the effect of currencies on sales, and an increase of 29.8% due to the acquisitions listed in the above table. The organic growth for the quarter ended January 31, 2007, was due to solid growth in the Americas and Europe segments, generating 5.6% and 7.4% organic growth, respectively, while the Asia-Pacific segment contracted 2.5%. The decline in Asia-Pacific was due to the loss of certain programs in the hard disk drive business due to industry consolidations and softening in Brady’s mobile handset and high performance labeling businesses.</w:t>
      </w:r>
    </w:p>
    <w:p>
      <w:pPr>
        <w:spacing w:after="0" w:line="5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Sales for the six months ended January 31, 2007, increased 41.0% compared to the same period in fiscal 2006. The increase was comprised of an increase of 5.2% attributed to organic growth, an increase of 3.6% due to the effect of currencies on sales, and an increase of 32.2% due to the acquisitions listed above. The organic growth was due to continued growth in the Americas and Europe. The organic growth in Asia-Pacific for the six month period was also positive as the first quarter results showed double-digit organic growth, which was partially offset by the contraction noted above for the second quarter.</w:t>
      </w:r>
    </w:p>
    <w:p>
      <w:pPr>
        <w:spacing w:after="0" w:line="46" w:lineRule="exact"/>
        <w:rPr>
          <w:sz w:val="20"/>
          <w:szCs w:val="20"/>
          <w:color w:val="auto"/>
        </w:rPr>
      </w:pPr>
    </w:p>
    <w:p>
      <w:pPr>
        <w:ind w:right="340" w:firstLine="225"/>
        <w:spacing w:after="0" w:line="257" w:lineRule="auto"/>
        <w:rPr>
          <w:sz w:val="20"/>
          <w:szCs w:val="20"/>
          <w:color w:val="auto"/>
        </w:rPr>
      </w:pPr>
      <w:r>
        <w:rPr>
          <w:rFonts w:ascii="Arial" w:cs="Arial" w:eastAsia="Arial" w:hAnsi="Arial"/>
          <w:sz w:val="18"/>
          <w:szCs w:val="18"/>
          <w:color w:val="auto"/>
        </w:rPr>
        <w:t>Gross margin as a percentage of sales decreased from 50.7% to 46.7% for the quarter and from 52.0% to 48.1% for the six months ended January 31, 2007, compared to the same periods of the previous year. This decline was driven by the results in our global precision die cut business, primarily in the mobile handset and hard disk drive businesses, as well as the acquisitions that Brady completed in the last 12 months, which were more heavily weighted towards the precision die cut business, which is generally characterized by lower gross margins and lower selling, general and administrative (“SG&amp;A”) expenses.</w:t>
      </w:r>
    </w:p>
    <w:p>
      <w:pPr>
        <w:spacing w:after="0" w:line="80"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Research and development (“R&amp;D”) expenses increased 33.0% to $9.1 million for the quarter and 31.8% to $17.6 million for the six months ended January 31, 2007, compared to $6.8 million and $13.4 million for the same periods in the prior year, respectively. As a percentage of sales, R&amp;D expenses represented a lower percentage of sales, declining from 3.0% in the second quarter of fiscal 2006 to 2.8% in the second quarter for fiscal 2007, and from 2.9% in the first half of fiscal 2006 to 2.7% in the first half of fiscal 2007. Brady continues to expand new product development investment.</w:t>
      </w:r>
    </w:p>
    <w:p>
      <w:pPr>
        <w:spacing w:after="0" w:line="46"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SG&amp;A expenses increased 37.2% to $108.4 million for the three months ended January 31, 2007, compared to $79.0 million for the same period in the prior year and 39.2% to $212.0 million for the six months ended January 31, 2007, compared to $152.3 million for the same period in the prior year. These increases were expected due to acquisitions and a number of initiatives taking place this year, such as the continued integration of the acquisitions completed in fiscal 2006 and 2007, roll-out of SAP to 18 of our locations around the world, creation of a business process shared service center in India, development of a customer call center in the Philippines, and geographic expansions in Eastern Europe, Mexico and India. As a percentage of sales, SG&amp;A expenses declined from 34.2% to 33.7% for the quarter and from 32.9% to 32.4% for the six months ended January 31, 2007, compared to the same periods in the prior year, despite the increases described above. The decline as a percentage of sales was due to changes in our sales mix towards the precision die cut business, which typically has lower SG&amp;A expenses.</w:t>
      </w:r>
    </w:p>
    <w:p>
      <w:pPr>
        <w:spacing w:after="0" w:line="7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Interest expense increased from $2.4 million to $5.2 million for the quarter and from $4.4 million to $10.0 million for the six months ended January 31, 2007, compared to the same periods in the prior year. The increase in interest expense was due to the interest on the $200 million private placement of senior notes that was completed in the third quarter of fiscal 2006, as well as interest on the borrowings under our revolving credit facility in the first half of fiscal 2007.</w:t>
      </w:r>
    </w:p>
    <w:p>
      <w:pPr>
        <w:spacing w:after="0" w:line="79"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Company’s effective tax rate was 28.0% for the quarter and six months ended January 31, 2007, compared to 26.5% and 28.0% for the three and six months ended January 31, 2006, respectively. The lower rate in the second quarter of fiscal 2006 was due to a shift of a higher percentage of the Company’s pre-tax income to lower tax rate countries.</w:t>
      </w:r>
    </w:p>
    <w:p>
      <w:pPr>
        <w:spacing w:after="0" w:line="7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Net income for the three months ended January 31, 2007, decreased 7.3% to $19.7 million, compared to $21.3 million for the same quarter of the previous year. Net income as a percentage of sales decreased from 9.2% to 6.1% for the quarter ended January 31, 2007, compared to the same period in the prior year, due to the factors noted above. For the six months ended January 31, 2007, net income increased 5.3% to $54.2 million, compared to $51.5 million for the same period in the previous year. Similar to the results for the quarter, as a percentage of sales, net income decreased from 11.1% to 8.3% for the six months ended January 31, 2007, compared to the same period in the previous year. The decreases as a percentage of sales were due to the factors noted above. Net income per share comparisons were also further diluted by the Company’s July 2006 sale of an additional 4.6 million shares of Class A Nonvoting Common Stock in a public offering.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Management of the Company evaluates results based on the following geographic regions: Americas, Europe, and Asia-Pacific.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right"/>
              <w:ind w:right="600"/>
              <w:spacing w:after="0"/>
              <w:rPr>
                <w:sz w:val="20"/>
                <w:szCs w:val="20"/>
                <w:color w:val="auto"/>
              </w:rPr>
            </w:pPr>
            <w:r>
              <w:rPr>
                <w:rFonts w:ascii="Arial" w:cs="Arial" w:eastAsia="Arial" w:hAnsi="Arial"/>
                <w:sz w:val="14"/>
                <w:szCs w:val="14"/>
                <w:color w:val="auto"/>
              </w:rPr>
              <w:t>Corporate</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3"/>
          </w:tcPr>
          <w:p>
            <w:pPr>
              <w:jc w:val="right"/>
              <w:ind w:right="800"/>
              <w:spacing w:after="0" w:line="149" w:lineRule="exact"/>
              <w:rPr>
                <w:sz w:val="20"/>
                <w:szCs w:val="20"/>
                <w:color w:val="auto"/>
              </w:rPr>
            </w:pPr>
            <w:r>
              <w:rPr>
                <w:rFonts w:ascii="Arial" w:cs="Arial" w:eastAsia="Arial" w:hAnsi="Arial"/>
                <w:sz w:val="14"/>
                <w:szCs w:val="14"/>
                <w:color w:val="auto"/>
              </w:rPr>
              <w:t>Asia-</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And</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80" w:type="dxa"/>
            <w:vAlign w:val="bottom"/>
          </w:tcPr>
          <w:p>
            <w:pPr>
              <w:spacing w:after="0"/>
              <w:rPr>
                <w:sz w:val="14"/>
                <w:szCs w:val="14"/>
                <w:color w:val="auto"/>
              </w:rPr>
            </w:pPr>
          </w:p>
        </w:tc>
        <w:tc>
          <w:tcPr>
            <w:tcW w:w="1360" w:type="dxa"/>
            <w:vAlign w:val="bottom"/>
          </w:tcPr>
          <w:p>
            <w:pPr>
              <w:jc w:val="right"/>
              <w:ind w:right="691"/>
              <w:spacing w:after="0"/>
              <w:rPr>
                <w:sz w:val="20"/>
                <w:szCs w:val="20"/>
                <w:color w:val="auto"/>
              </w:rPr>
            </w:pPr>
            <w:r>
              <w:rPr>
                <w:rFonts w:ascii="Arial" w:cs="Arial" w:eastAsia="Arial" w:hAnsi="Arial"/>
                <w:sz w:val="14"/>
                <w:szCs w:val="14"/>
                <w:color w:val="auto"/>
                <w:w w:val="95"/>
              </w:rPr>
              <w:t>Americas</w:t>
            </w:r>
          </w:p>
        </w:tc>
        <w:tc>
          <w:tcPr>
            <w:tcW w:w="1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color w:val="auto"/>
              </w:rPr>
              <w:t>Europe</w:t>
            </w:r>
          </w:p>
        </w:tc>
        <w:tc>
          <w:tcPr>
            <w:tcW w:w="460" w:type="dxa"/>
            <w:vAlign w:val="bottom"/>
          </w:tcPr>
          <w:p>
            <w:pPr>
              <w:spacing w:after="0"/>
              <w:rPr>
                <w:sz w:val="14"/>
                <w:szCs w:val="14"/>
                <w:color w:val="auto"/>
              </w:rPr>
            </w:pPr>
          </w:p>
        </w:tc>
        <w:tc>
          <w:tcPr>
            <w:tcW w:w="1220" w:type="dxa"/>
            <w:vAlign w:val="bottom"/>
            <w:gridSpan w:val="3"/>
          </w:tcPr>
          <w:p>
            <w:pPr>
              <w:jc w:val="right"/>
              <w:ind w:right="760"/>
              <w:spacing w:after="0"/>
              <w:rPr>
                <w:sz w:val="20"/>
                <w:szCs w:val="20"/>
                <w:color w:val="auto"/>
              </w:rPr>
            </w:pPr>
            <w:r>
              <w:rPr>
                <w:rFonts w:ascii="Arial" w:cs="Arial" w:eastAsia="Arial" w:hAnsi="Arial"/>
                <w:sz w:val="14"/>
                <w:szCs w:val="14"/>
                <w:color w:val="auto"/>
              </w:rPr>
              <w:t>Pacific</w:t>
            </w:r>
          </w:p>
        </w:tc>
        <w:tc>
          <w:tcPr>
            <w:tcW w:w="1440" w:type="dxa"/>
            <w:vAlign w:val="bottom"/>
            <w:gridSpan w:val="3"/>
          </w:tcPr>
          <w:p>
            <w:pPr>
              <w:jc w:val="right"/>
              <w:ind w:right="660"/>
              <w:spacing w:after="0"/>
              <w:rPr>
                <w:sz w:val="20"/>
                <w:szCs w:val="20"/>
                <w:color w:val="auto"/>
              </w:rPr>
            </w:pPr>
            <w:r>
              <w:rPr>
                <w:rFonts w:ascii="Arial" w:cs="Arial" w:eastAsia="Arial" w:hAnsi="Arial"/>
                <w:sz w:val="14"/>
                <w:szCs w:val="14"/>
                <w:color w:val="auto"/>
              </w:rPr>
              <w:t>Subtotals</w:t>
            </w:r>
          </w:p>
        </w:tc>
        <w:tc>
          <w:tcPr>
            <w:tcW w:w="1440" w:type="dxa"/>
            <w:vAlign w:val="bottom"/>
            <w:gridSpan w:val="4"/>
          </w:tcPr>
          <w:p>
            <w:pPr>
              <w:jc w:val="right"/>
              <w:ind w:right="520"/>
              <w:spacing w:after="0"/>
              <w:rPr>
                <w:sz w:val="20"/>
                <w:szCs w:val="20"/>
                <w:color w:val="auto"/>
              </w:rPr>
            </w:pPr>
            <w:r>
              <w:rPr>
                <w:rFonts w:ascii="Arial" w:cs="Arial" w:eastAsia="Arial" w:hAnsi="Arial"/>
                <w:sz w:val="14"/>
                <w:szCs w:val="14"/>
                <w:color w:val="auto"/>
              </w:rPr>
              <w:t>Eliminations</w:t>
            </w:r>
          </w:p>
        </w:tc>
        <w:tc>
          <w:tcPr>
            <w:tcW w:w="3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SALES TO EXTERNAL</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89"/>
              </w:rPr>
              <w:t>139,988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98,846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w w:val="94"/>
              </w:rPr>
              <w:t>82,441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$321,275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$321,275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January 31, 2006</w:t>
            </w:r>
          </w:p>
        </w:tc>
        <w:tc>
          <w:tcPr>
            <w:tcW w:w="80" w:type="dxa"/>
            <w:vAlign w:val="bottom"/>
          </w:tcPr>
          <w:p>
            <w:pPr>
              <w:spacing w:after="0"/>
              <w:rPr>
                <w:sz w:val="20"/>
                <w:szCs w:val="20"/>
                <w:color w:val="auto"/>
              </w:rPr>
            </w:pPr>
          </w:p>
        </w:tc>
        <w:tc>
          <w:tcPr>
            <w:tcW w:w="1360" w:type="dxa"/>
            <w:vAlign w:val="bottom"/>
          </w:tcPr>
          <w:p>
            <w:pPr>
              <w:jc w:val="right"/>
              <w:ind w:right="671"/>
              <w:spacing w:after="0"/>
              <w:rPr>
                <w:sz w:val="20"/>
                <w:szCs w:val="20"/>
                <w:color w:val="auto"/>
              </w:rPr>
            </w:pPr>
            <w:r>
              <w:rPr>
                <w:rFonts w:ascii="Arial" w:cs="Arial" w:eastAsia="Arial" w:hAnsi="Arial"/>
                <w:sz w:val="18"/>
                <w:szCs w:val="18"/>
                <w:color w:val="auto"/>
                <w:w w:val="89"/>
              </w:rPr>
              <w:t>109,951</w:t>
            </w:r>
          </w:p>
        </w:tc>
        <w:tc>
          <w:tcPr>
            <w:tcW w:w="120" w:type="dxa"/>
            <w:vAlign w:val="bottom"/>
          </w:tcPr>
          <w:p>
            <w:pPr>
              <w:spacing w:after="0"/>
              <w:rPr>
                <w:sz w:val="20"/>
                <w:szCs w:val="20"/>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color w:val="auto"/>
              </w:rPr>
              <w:t>76,284</w:t>
            </w:r>
          </w:p>
        </w:tc>
        <w:tc>
          <w:tcPr>
            <w:tcW w:w="460" w:type="dxa"/>
            <w:vAlign w:val="bottom"/>
          </w:tcPr>
          <w:p>
            <w:pPr>
              <w:spacing w:after="0"/>
              <w:rPr>
                <w:sz w:val="20"/>
                <w:szCs w:val="20"/>
                <w:color w:val="auto"/>
              </w:rPr>
            </w:pPr>
          </w:p>
        </w:tc>
        <w:tc>
          <w:tcPr>
            <w:tcW w:w="1060" w:type="dxa"/>
            <w:vAlign w:val="bottom"/>
            <w:gridSpan w:val="2"/>
          </w:tcPr>
          <w:p>
            <w:pPr>
              <w:jc w:val="right"/>
              <w:ind w:right="439"/>
              <w:spacing w:after="0"/>
              <w:rPr>
                <w:sz w:val="20"/>
                <w:szCs w:val="20"/>
                <w:color w:val="auto"/>
              </w:rPr>
            </w:pPr>
            <w:r>
              <w:rPr>
                <w:rFonts w:ascii="Arial" w:cs="Arial" w:eastAsia="Arial" w:hAnsi="Arial"/>
                <w:sz w:val="18"/>
                <w:szCs w:val="18"/>
                <w:color w:val="auto"/>
                <w:w w:val="94"/>
              </w:rPr>
              <w:t>44,739</w:t>
            </w:r>
          </w:p>
        </w:tc>
        <w:tc>
          <w:tcPr>
            <w:tcW w:w="160" w:type="dxa"/>
            <w:vAlign w:val="bottom"/>
          </w:tcPr>
          <w:p>
            <w:pPr>
              <w:spacing w:after="0"/>
              <w:rPr>
                <w:sz w:val="20"/>
                <w:szCs w:val="20"/>
                <w:color w:val="auto"/>
              </w:rPr>
            </w:pPr>
          </w:p>
        </w:tc>
        <w:tc>
          <w:tcPr>
            <w:tcW w:w="1200" w:type="dxa"/>
            <w:vAlign w:val="bottom"/>
            <w:gridSpan w:val="2"/>
          </w:tcPr>
          <w:p>
            <w:pPr>
              <w:jc w:val="right"/>
              <w:ind w:right="328"/>
              <w:spacing w:after="0"/>
              <w:rPr>
                <w:sz w:val="20"/>
                <w:szCs w:val="20"/>
                <w:color w:val="auto"/>
              </w:rPr>
            </w:pPr>
            <w:r>
              <w:rPr>
                <w:rFonts w:ascii="Arial" w:cs="Arial" w:eastAsia="Arial" w:hAnsi="Arial"/>
                <w:sz w:val="18"/>
                <w:szCs w:val="18"/>
                <w:color w:val="auto"/>
              </w:rPr>
              <w:t>230,974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230,974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January 31, 2007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671"/>
              <w:spacing w:after="0"/>
              <w:rPr>
                <w:sz w:val="20"/>
                <w:szCs w:val="20"/>
                <w:color w:val="auto"/>
              </w:rPr>
            </w:pPr>
            <w:r>
              <w:rPr>
                <w:rFonts w:ascii="Arial" w:cs="Arial" w:eastAsia="Arial" w:hAnsi="Arial"/>
                <w:sz w:val="18"/>
                <w:szCs w:val="18"/>
                <w:color w:val="auto"/>
                <w:w w:val="89"/>
              </w:rPr>
              <w:t>286,931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91"/>
              <w:spacing w:after="0"/>
              <w:rPr>
                <w:sz w:val="20"/>
                <w:szCs w:val="20"/>
                <w:color w:val="auto"/>
              </w:rPr>
            </w:pPr>
            <w:r>
              <w:rPr>
                <w:rFonts w:ascii="Arial" w:cs="Arial" w:eastAsia="Arial" w:hAnsi="Arial"/>
                <w:sz w:val="18"/>
                <w:szCs w:val="18"/>
                <w:color w:val="auto"/>
                <w:w w:val="86"/>
              </w:rPr>
              <w:t>191,211</w:t>
            </w:r>
          </w:p>
        </w:tc>
        <w:tc>
          <w:tcPr>
            <w:tcW w:w="1520" w:type="dxa"/>
            <w:vAlign w:val="bottom"/>
            <w:gridSpan w:val="3"/>
          </w:tcPr>
          <w:p>
            <w:pPr>
              <w:jc w:val="right"/>
              <w:ind w:right="439"/>
              <w:spacing w:after="0"/>
              <w:rPr>
                <w:sz w:val="20"/>
                <w:szCs w:val="20"/>
                <w:color w:val="auto"/>
              </w:rPr>
            </w:pPr>
            <w:r>
              <w:rPr>
                <w:rFonts w:ascii="Arial" w:cs="Arial" w:eastAsia="Arial" w:hAnsi="Arial"/>
                <w:sz w:val="18"/>
                <w:szCs w:val="18"/>
                <w:color w:val="auto"/>
              </w:rPr>
              <w:t>$175,392</w:t>
            </w:r>
          </w:p>
        </w:tc>
        <w:tc>
          <w:tcPr>
            <w:tcW w:w="160" w:type="dxa"/>
            <w:vAlign w:val="bottom"/>
          </w:tcPr>
          <w:p>
            <w:pPr>
              <w:spacing w:after="0"/>
              <w:rPr>
                <w:sz w:val="18"/>
                <w:szCs w:val="18"/>
                <w:color w:val="auto"/>
              </w:rPr>
            </w:pPr>
          </w:p>
        </w:tc>
        <w:tc>
          <w:tcPr>
            <w:tcW w:w="1200" w:type="dxa"/>
            <w:vAlign w:val="bottom"/>
            <w:gridSpan w:val="2"/>
          </w:tcPr>
          <w:p>
            <w:pPr>
              <w:jc w:val="right"/>
              <w:ind w:right="328"/>
              <w:spacing w:after="0"/>
              <w:rPr>
                <w:sz w:val="20"/>
                <w:szCs w:val="20"/>
                <w:color w:val="auto"/>
              </w:rPr>
            </w:pPr>
            <w:r>
              <w:rPr>
                <w:rFonts w:ascii="Arial" w:cs="Arial" w:eastAsia="Arial" w:hAnsi="Arial"/>
                <w:sz w:val="18"/>
                <w:szCs w:val="18"/>
                <w:color w:val="auto"/>
              </w:rPr>
              <w:t>$653,534</w:t>
            </w:r>
          </w:p>
        </w:tc>
        <w:tc>
          <w:tcPr>
            <w:tcW w:w="240" w:type="dxa"/>
            <w:vAlign w:val="bottom"/>
          </w:tcPr>
          <w:p>
            <w:pPr>
              <w:spacing w:after="0"/>
              <w:rPr>
                <w:sz w:val="18"/>
                <w:szCs w:val="18"/>
                <w:color w:val="auto"/>
              </w:rPr>
            </w:pP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$653,534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2006</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89"/>
              </w:rPr>
              <w:t>226,010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86"/>
              </w:rPr>
              <w:t>150,046</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w w:val="94"/>
              </w:rPr>
              <w:t>87,553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463,609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463,609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SALES GROWTH</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January 31,</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00"/>
              <w:spacing w:after="0"/>
              <w:rPr>
                <w:sz w:val="20"/>
                <w:szCs w:val="20"/>
                <w:color w:val="auto"/>
              </w:rPr>
            </w:pPr>
            <w:r>
              <w:rPr>
                <w:rFonts w:ascii="Arial" w:cs="Arial" w:eastAsia="Arial" w:hAnsi="Arial"/>
                <w:sz w:val="18"/>
                <w:szCs w:val="18"/>
                <w:color w:val="auto"/>
              </w:rPr>
              <w:t>Base</w:t>
            </w:r>
          </w:p>
        </w:tc>
        <w:tc>
          <w:tcPr>
            <w:tcW w:w="80" w:type="dxa"/>
            <w:vAlign w:val="bottom"/>
          </w:tcPr>
          <w:p>
            <w:pPr>
              <w:spacing w:after="0"/>
              <w:rPr>
                <w:sz w:val="18"/>
                <w:szCs w:val="18"/>
                <w:color w:val="auto"/>
              </w:rPr>
            </w:pPr>
          </w:p>
        </w:tc>
        <w:tc>
          <w:tcPr>
            <w:tcW w:w="1360" w:type="dxa"/>
            <w:vAlign w:val="bottom"/>
          </w:tcPr>
          <w:p>
            <w:pPr>
              <w:jc w:val="right"/>
              <w:ind w:right="53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8"/>
                <w:szCs w:val="18"/>
                <w:color w:val="auto"/>
              </w:rPr>
            </w:pPr>
          </w:p>
        </w:tc>
        <w:tc>
          <w:tcPr>
            <w:tcW w:w="1060" w:type="dxa"/>
            <w:vAlign w:val="bottom"/>
            <w:gridSpan w:val="2"/>
          </w:tcPr>
          <w:p>
            <w:pPr>
              <w:jc w:val="right"/>
              <w:ind w:right="299"/>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Currency</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10.8%</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00"/>
              <w:spacing w:after="0"/>
              <w:rPr>
                <w:sz w:val="20"/>
                <w:szCs w:val="20"/>
                <w:color w:val="auto"/>
              </w:rPr>
            </w:pPr>
            <w:r>
              <w:rPr>
                <w:rFonts w:ascii="Arial" w:cs="Arial" w:eastAsia="Arial" w:hAnsi="Arial"/>
                <w:sz w:val="18"/>
                <w:szCs w:val="18"/>
                <w:color w:val="auto"/>
              </w:rPr>
              <w:t>Acquisitions</w:t>
            </w:r>
          </w:p>
        </w:tc>
        <w:tc>
          <w:tcPr>
            <w:tcW w:w="80" w:type="dxa"/>
            <w:vAlign w:val="bottom"/>
          </w:tcPr>
          <w:p>
            <w:pPr>
              <w:spacing w:after="0"/>
              <w:rPr>
                <w:sz w:val="18"/>
                <w:szCs w:val="18"/>
                <w:color w:val="auto"/>
              </w:rPr>
            </w:pPr>
          </w:p>
        </w:tc>
        <w:tc>
          <w:tcPr>
            <w:tcW w:w="1360" w:type="dxa"/>
            <w:vAlign w:val="bottom"/>
          </w:tcPr>
          <w:p>
            <w:pPr>
              <w:jc w:val="right"/>
              <w:ind w:right="53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11.4%</w:t>
            </w:r>
          </w:p>
        </w:tc>
        <w:tc>
          <w:tcPr>
            <w:tcW w:w="460" w:type="dxa"/>
            <w:vAlign w:val="bottom"/>
          </w:tcPr>
          <w:p>
            <w:pPr>
              <w:spacing w:after="0"/>
              <w:rPr>
                <w:sz w:val="18"/>
                <w:szCs w:val="18"/>
                <w:color w:val="auto"/>
              </w:rPr>
            </w:pPr>
          </w:p>
        </w:tc>
        <w:tc>
          <w:tcPr>
            <w:tcW w:w="1060" w:type="dxa"/>
            <w:vAlign w:val="bottom"/>
            <w:gridSpan w:val="2"/>
          </w:tcPr>
          <w:p>
            <w:pPr>
              <w:jc w:val="right"/>
              <w:ind w:right="299"/>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8"/>
                <w:szCs w:val="18"/>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29.6%</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Six months ended January 31,</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Base</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7.1%</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00"/>
              <w:spacing w:after="0"/>
              <w:rPr>
                <w:sz w:val="20"/>
                <w:szCs w:val="20"/>
                <w:color w:val="auto"/>
              </w:rPr>
            </w:pPr>
            <w:r>
              <w:rPr>
                <w:rFonts w:ascii="Arial" w:cs="Arial" w:eastAsia="Arial" w:hAnsi="Arial"/>
                <w:sz w:val="18"/>
                <w:szCs w:val="18"/>
                <w:color w:val="auto"/>
              </w:rPr>
              <w:t>Currency</w:t>
            </w:r>
          </w:p>
        </w:tc>
        <w:tc>
          <w:tcPr>
            <w:tcW w:w="80" w:type="dxa"/>
            <w:vAlign w:val="bottom"/>
          </w:tcPr>
          <w:p>
            <w:pPr>
              <w:spacing w:after="0"/>
              <w:rPr>
                <w:sz w:val="18"/>
                <w:szCs w:val="18"/>
                <w:color w:val="auto"/>
              </w:rPr>
            </w:pPr>
          </w:p>
        </w:tc>
        <w:tc>
          <w:tcPr>
            <w:tcW w:w="1360" w:type="dxa"/>
            <w:vAlign w:val="bottom"/>
          </w:tcPr>
          <w:p>
            <w:pPr>
              <w:jc w:val="right"/>
              <w:ind w:right="53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1060" w:type="dxa"/>
            <w:vAlign w:val="bottom"/>
            <w:gridSpan w:val="2"/>
          </w:tcPr>
          <w:p>
            <w:pPr>
              <w:jc w:val="right"/>
              <w:ind w:right="299"/>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12.2%</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60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360" w:type="dxa"/>
            <w:vAlign w:val="bottom"/>
          </w:tcPr>
          <w:p>
            <w:pPr>
              <w:jc w:val="right"/>
              <w:ind w:right="531"/>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27.4%</w:t>
            </w:r>
          </w:p>
        </w:tc>
        <w:tc>
          <w:tcPr>
            <w:tcW w:w="460" w:type="dxa"/>
            <w:vAlign w:val="bottom"/>
          </w:tcPr>
          <w:p>
            <w:pPr>
              <w:spacing w:after="0"/>
              <w:rPr>
                <w:sz w:val="20"/>
                <w:szCs w:val="20"/>
                <w:color w:val="auto"/>
              </w:rPr>
            </w:pPr>
          </w:p>
        </w:tc>
        <w:tc>
          <w:tcPr>
            <w:tcW w:w="1060" w:type="dxa"/>
            <w:vAlign w:val="bottom"/>
            <w:gridSpan w:val="2"/>
          </w:tcPr>
          <w:p>
            <w:pPr>
              <w:jc w:val="right"/>
              <w:ind w:right="299"/>
              <w:spacing w:after="0"/>
              <w:rPr>
                <w:sz w:val="20"/>
                <w:szCs w:val="20"/>
                <w:color w:val="auto"/>
              </w:rPr>
            </w:pPr>
            <w:r>
              <w:rPr>
                <w:rFonts w:ascii="Arial" w:cs="Arial" w:eastAsia="Arial" w:hAnsi="Arial"/>
                <w:sz w:val="18"/>
                <w:szCs w:val="18"/>
                <w:color w:val="auto"/>
              </w:rPr>
              <w:t>100.3%</w:t>
            </w:r>
          </w:p>
        </w:tc>
        <w:tc>
          <w:tcPr>
            <w:tcW w:w="160" w:type="dxa"/>
            <w:vAlign w:val="bottom"/>
          </w:tcPr>
          <w:p>
            <w:pPr>
              <w:spacing w:after="0"/>
              <w:rPr>
                <w:sz w:val="20"/>
                <w:szCs w:val="20"/>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 (LOSS)</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28,793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22,604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w w:val="94"/>
              </w:rPr>
              <w:t>12,394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$ 63,791</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$(2,228)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$ 61,563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January 31, 2006</w:t>
            </w:r>
          </w:p>
        </w:tc>
        <w:tc>
          <w:tcPr>
            <w:tcW w:w="80" w:type="dxa"/>
            <w:vAlign w:val="bottom"/>
          </w:tcPr>
          <w:p>
            <w:pPr>
              <w:spacing w:after="0"/>
              <w:rPr>
                <w:sz w:val="18"/>
                <w:szCs w:val="18"/>
                <w:color w:val="auto"/>
              </w:rPr>
            </w:pPr>
          </w:p>
        </w:tc>
        <w:tc>
          <w:tcPr>
            <w:tcW w:w="1360" w:type="dxa"/>
            <w:vAlign w:val="bottom"/>
          </w:tcPr>
          <w:p>
            <w:pPr>
              <w:jc w:val="right"/>
              <w:ind w:right="671"/>
              <w:spacing w:after="0"/>
              <w:rPr>
                <w:sz w:val="20"/>
                <w:szCs w:val="20"/>
                <w:color w:val="auto"/>
              </w:rPr>
            </w:pPr>
            <w:r>
              <w:rPr>
                <w:rFonts w:ascii="Arial" w:cs="Arial" w:eastAsia="Arial" w:hAnsi="Arial"/>
                <w:sz w:val="18"/>
                <w:szCs w:val="18"/>
                <w:color w:val="auto"/>
              </w:rPr>
              <w:t>24,969</w:t>
            </w:r>
          </w:p>
        </w:tc>
        <w:tc>
          <w:tcPr>
            <w:tcW w:w="120" w:type="dxa"/>
            <w:vAlign w:val="bottom"/>
          </w:tcPr>
          <w:p>
            <w:pPr>
              <w:spacing w:after="0"/>
              <w:rPr>
                <w:sz w:val="18"/>
                <w:szCs w:val="18"/>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color w:val="auto"/>
              </w:rPr>
              <w:t>19,989</w:t>
            </w:r>
          </w:p>
        </w:tc>
        <w:tc>
          <w:tcPr>
            <w:tcW w:w="460" w:type="dxa"/>
            <w:vAlign w:val="bottom"/>
          </w:tcPr>
          <w:p>
            <w:pPr>
              <w:spacing w:after="0"/>
              <w:rPr>
                <w:sz w:val="18"/>
                <w:szCs w:val="18"/>
                <w:color w:val="auto"/>
              </w:rPr>
            </w:pPr>
          </w:p>
        </w:tc>
        <w:tc>
          <w:tcPr>
            <w:tcW w:w="1060" w:type="dxa"/>
            <w:vAlign w:val="bottom"/>
            <w:gridSpan w:val="2"/>
          </w:tcPr>
          <w:p>
            <w:pPr>
              <w:jc w:val="right"/>
              <w:ind w:right="439"/>
              <w:spacing w:after="0"/>
              <w:rPr>
                <w:sz w:val="20"/>
                <w:szCs w:val="20"/>
                <w:color w:val="auto"/>
              </w:rPr>
            </w:pPr>
            <w:r>
              <w:rPr>
                <w:rFonts w:ascii="Arial" w:cs="Arial" w:eastAsia="Arial" w:hAnsi="Arial"/>
                <w:sz w:val="18"/>
                <w:szCs w:val="18"/>
                <w:color w:val="auto"/>
                <w:w w:val="94"/>
              </w:rPr>
              <w:t>11,717</w:t>
            </w:r>
          </w:p>
        </w:tc>
        <w:tc>
          <w:tcPr>
            <w:tcW w:w="160" w:type="dxa"/>
            <w:vAlign w:val="bottom"/>
          </w:tcPr>
          <w:p>
            <w:pPr>
              <w:spacing w:after="0"/>
              <w:rPr>
                <w:sz w:val="18"/>
                <w:szCs w:val="18"/>
                <w:color w:val="auto"/>
              </w:rPr>
            </w:pPr>
          </w:p>
        </w:tc>
        <w:tc>
          <w:tcPr>
            <w:tcW w:w="1200" w:type="dxa"/>
            <w:vAlign w:val="bottom"/>
            <w:gridSpan w:val="2"/>
          </w:tcPr>
          <w:p>
            <w:pPr>
              <w:jc w:val="right"/>
              <w:ind w:right="328"/>
              <w:spacing w:after="0"/>
              <w:rPr>
                <w:sz w:val="20"/>
                <w:szCs w:val="20"/>
                <w:color w:val="auto"/>
              </w:rPr>
            </w:pPr>
            <w:r>
              <w:rPr>
                <w:rFonts w:ascii="Arial" w:cs="Arial" w:eastAsia="Arial" w:hAnsi="Arial"/>
                <w:sz w:val="18"/>
                <w:szCs w:val="18"/>
                <w:color w:val="auto"/>
              </w:rPr>
              <w:t>56,675</w:t>
            </w:r>
          </w:p>
        </w:tc>
        <w:tc>
          <w:tcPr>
            <w:tcW w:w="240" w:type="dxa"/>
            <w:vAlign w:val="bottom"/>
          </w:tcPr>
          <w:p>
            <w:pPr>
              <w:spacing w:after="0"/>
              <w:rPr>
                <w:sz w:val="18"/>
                <w:szCs w:val="18"/>
                <w:color w:val="auto"/>
              </w:rPr>
            </w:pPr>
          </w:p>
        </w:tc>
        <w:tc>
          <w:tcPr>
            <w:tcW w:w="1140" w:type="dxa"/>
            <w:vAlign w:val="bottom"/>
            <w:gridSpan w:val="3"/>
          </w:tcPr>
          <w:p>
            <w:pPr>
              <w:jc w:val="right"/>
              <w:ind w:right="192"/>
              <w:spacing w:after="0"/>
              <w:rPr>
                <w:sz w:val="20"/>
                <w:szCs w:val="20"/>
                <w:color w:val="auto"/>
              </w:rPr>
            </w:pPr>
            <w:r>
              <w:rPr>
                <w:rFonts w:ascii="Arial" w:cs="Arial" w:eastAsia="Arial" w:hAnsi="Arial"/>
                <w:sz w:val="18"/>
                <w:szCs w:val="18"/>
                <w:color w:val="auto"/>
              </w:rPr>
              <w:t>(2,631)</w:t>
            </w:r>
          </w:p>
        </w:tc>
        <w:tc>
          <w:tcPr>
            <w:tcW w:w="300" w:type="dxa"/>
            <w:vAlign w:val="bottom"/>
          </w:tcPr>
          <w:p>
            <w:pPr>
              <w:spacing w:after="0"/>
              <w:rPr>
                <w:sz w:val="18"/>
                <w:szCs w:val="18"/>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54,044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increase</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6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65,698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45,609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w w:val="94"/>
              </w:rPr>
              <w:t>34,531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$145,838</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$(4,425)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$141,413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January 31, 2006</w:t>
            </w:r>
          </w:p>
        </w:tc>
        <w:tc>
          <w:tcPr>
            <w:tcW w:w="80" w:type="dxa"/>
            <w:vAlign w:val="bottom"/>
          </w:tcPr>
          <w:p>
            <w:pPr>
              <w:spacing w:after="0"/>
              <w:rPr>
                <w:sz w:val="18"/>
                <w:szCs w:val="18"/>
                <w:color w:val="auto"/>
              </w:rPr>
            </w:pPr>
          </w:p>
        </w:tc>
        <w:tc>
          <w:tcPr>
            <w:tcW w:w="1360" w:type="dxa"/>
            <w:vAlign w:val="bottom"/>
          </w:tcPr>
          <w:p>
            <w:pPr>
              <w:jc w:val="right"/>
              <w:ind w:right="671"/>
              <w:spacing w:after="0"/>
              <w:rPr>
                <w:sz w:val="20"/>
                <w:szCs w:val="20"/>
                <w:color w:val="auto"/>
              </w:rPr>
            </w:pPr>
            <w:r>
              <w:rPr>
                <w:rFonts w:ascii="Arial" w:cs="Arial" w:eastAsia="Arial" w:hAnsi="Arial"/>
                <w:sz w:val="18"/>
                <w:szCs w:val="18"/>
                <w:color w:val="auto"/>
              </w:rPr>
              <w:t>57,163</w:t>
            </w:r>
          </w:p>
        </w:tc>
        <w:tc>
          <w:tcPr>
            <w:tcW w:w="120" w:type="dxa"/>
            <w:vAlign w:val="bottom"/>
          </w:tcPr>
          <w:p>
            <w:pPr>
              <w:spacing w:after="0"/>
              <w:rPr>
                <w:sz w:val="18"/>
                <w:szCs w:val="18"/>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color w:val="auto"/>
              </w:rPr>
              <w:t>40,767</w:t>
            </w:r>
          </w:p>
        </w:tc>
        <w:tc>
          <w:tcPr>
            <w:tcW w:w="460" w:type="dxa"/>
            <w:vAlign w:val="bottom"/>
          </w:tcPr>
          <w:p>
            <w:pPr>
              <w:spacing w:after="0"/>
              <w:rPr>
                <w:sz w:val="18"/>
                <w:szCs w:val="18"/>
                <w:color w:val="auto"/>
              </w:rPr>
            </w:pPr>
          </w:p>
        </w:tc>
        <w:tc>
          <w:tcPr>
            <w:tcW w:w="1060" w:type="dxa"/>
            <w:vAlign w:val="bottom"/>
            <w:gridSpan w:val="2"/>
          </w:tcPr>
          <w:p>
            <w:pPr>
              <w:jc w:val="right"/>
              <w:ind w:right="439"/>
              <w:spacing w:after="0"/>
              <w:rPr>
                <w:sz w:val="20"/>
                <w:szCs w:val="20"/>
                <w:color w:val="auto"/>
              </w:rPr>
            </w:pPr>
            <w:r>
              <w:rPr>
                <w:rFonts w:ascii="Arial" w:cs="Arial" w:eastAsia="Arial" w:hAnsi="Arial"/>
                <w:sz w:val="18"/>
                <w:szCs w:val="18"/>
                <w:color w:val="auto"/>
                <w:w w:val="94"/>
              </w:rPr>
              <w:t>24,727</w:t>
            </w:r>
          </w:p>
        </w:tc>
        <w:tc>
          <w:tcPr>
            <w:tcW w:w="160" w:type="dxa"/>
            <w:vAlign w:val="bottom"/>
          </w:tcPr>
          <w:p>
            <w:pPr>
              <w:spacing w:after="0"/>
              <w:rPr>
                <w:sz w:val="18"/>
                <w:szCs w:val="18"/>
                <w:color w:val="auto"/>
              </w:rPr>
            </w:pPr>
          </w:p>
        </w:tc>
        <w:tc>
          <w:tcPr>
            <w:tcW w:w="1200" w:type="dxa"/>
            <w:vAlign w:val="bottom"/>
            <w:gridSpan w:val="2"/>
          </w:tcPr>
          <w:p>
            <w:pPr>
              <w:jc w:val="right"/>
              <w:ind w:right="328"/>
              <w:spacing w:after="0"/>
              <w:rPr>
                <w:sz w:val="20"/>
                <w:szCs w:val="20"/>
                <w:color w:val="auto"/>
              </w:rPr>
            </w:pPr>
            <w:r>
              <w:rPr>
                <w:rFonts w:ascii="Arial" w:cs="Arial" w:eastAsia="Arial" w:hAnsi="Arial"/>
                <w:sz w:val="18"/>
                <w:szCs w:val="18"/>
                <w:color w:val="auto"/>
              </w:rPr>
              <w:t>122,657</w:t>
            </w:r>
          </w:p>
        </w:tc>
        <w:tc>
          <w:tcPr>
            <w:tcW w:w="240" w:type="dxa"/>
            <w:vAlign w:val="bottom"/>
          </w:tcPr>
          <w:p>
            <w:pPr>
              <w:spacing w:after="0"/>
              <w:rPr>
                <w:sz w:val="18"/>
                <w:szCs w:val="18"/>
                <w:color w:val="auto"/>
              </w:rPr>
            </w:pPr>
          </w:p>
        </w:tc>
        <w:tc>
          <w:tcPr>
            <w:tcW w:w="1140" w:type="dxa"/>
            <w:vAlign w:val="bottom"/>
            <w:gridSpan w:val="3"/>
          </w:tcPr>
          <w:p>
            <w:pPr>
              <w:jc w:val="right"/>
              <w:ind w:right="192"/>
              <w:spacing w:after="0"/>
              <w:rPr>
                <w:sz w:val="20"/>
                <w:szCs w:val="20"/>
                <w:color w:val="auto"/>
              </w:rPr>
            </w:pPr>
            <w:r>
              <w:rPr>
                <w:rFonts w:ascii="Arial" w:cs="Arial" w:eastAsia="Arial" w:hAnsi="Arial"/>
                <w:sz w:val="18"/>
                <w:szCs w:val="18"/>
                <w:color w:val="auto"/>
              </w:rPr>
              <w:t>(5,017)</w:t>
            </w:r>
          </w:p>
        </w:tc>
        <w:tc>
          <w:tcPr>
            <w:tcW w:w="300" w:type="dxa"/>
            <w:vAlign w:val="bottom"/>
          </w:tcPr>
          <w:p>
            <w:pPr>
              <w:spacing w:after="0"/>
              <w:rPr>
                <w:sz w:val="18"/>
                <w:szCs w:val="18"/>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117,640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increase</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11.9%</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00" w:type="dxa"/>
            <w:vAlign w:val="bottom"/>
            <w:gridSpan w:val="4"/>
          </w:tcPr>
          <w:p>
            <w:pPr>
              <w:spacing w:after="0"/>
              <w:rPr>
                <w:sz w:val="20"/>
                <w:szCs w:val="20"/>
                <w:color w:val="auto"/>
              </w:rPr>
            </w:pPr>
            <w:r>
              <w:rPr>
                <w:rFonts w:ascii="Arial" w:cs="Arial" w:eastAsia="Arial" w:hAnsi="Arial"/>
                <w:sz w:val="18"/>
                <w:szCs w:val="18"/>
                <w:b w:val="1"/>
                <w:bCs w:val="1"/>
                <w:color w:val="auto"/>
                <w:w w:val="98"/>
              </w:rPr>
              <w:t xml:space="preserve">NET INCOME RECONCILIATION </w:t>
            </w:r>
            <w:r>
              <w:rPr>
                <w:rFonts w:ascii="Arial" w:cs="Arial" w:eastAsia="Arial" w:hAnsi="Arial"/>
                <w:sz w:val="18"/>
                <w:szCs w:val="18"/>
                <w:color w:val="auto"/>
                <w:w w:val="98"/>
              </w:rPr>
              <w:t>(Dollars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gridSpan w:val="5"/>
          </w:tcPr>
          <w:p>
            <w:pPr>
              <w:jc w:val="right"/>
              <w:ind w:right="640"/>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right"/>
              <w:ind w:right="6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160"/>
              <w:spacing w:after="0" w:line="123" w:lineRule="exact"/>
              <w:rPr>
                <w:sz w:val="20"/>
                <w:szCs w:val="20"/>
                <w:color w:val="auto"/>
              </w:rPr>
            </w:pPr>
            <w:r>
              <w:rPr>
                <w:rFonts w:ascii="Arial" w:cs="Arial" w:eastAsia="Arial" w:hAnsi="Arial"/>
                <w:sz w:val="14"/>
                <w:szCs w:val="14"/>
                <w:color w:val="auto"/>
                <w:w w:val="87"/>
              </w:rPr>
              <w:t>January 31,</w:t>
            </w:r>
          </w:p>
        </w:tc>
        <w:tc>
          <w:tcPr>
            <w:tcW w:w="5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0"/>
              </w:rPr>
              <w:t>January 31,</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January 31,</w:t>
            </w: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2007</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2006</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2007</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$ 63,791</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$ 56,675</w:t>
            </w:r>
          </w:p>
        </w:tc>
        <w:tc>
          <w:tcPr>
            <w:tcW w:w="14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$ 145,838</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(2,228)</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(2,631)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(4,425)</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(28,839)</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(22,768)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(56,748)</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Investment and other (expense) income</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(5,244)</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(2,435)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(9,979)</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27,374</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28,929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75,218</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(7,665)</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(7,675)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(21,061)</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(20,009)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$ 19,709</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$ 21,254</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54,157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firstLine="222"/>
        <w:spacing w:after="0" w:line="277" w:lineRule="auto"/>
        <w:rPr>
          <w:sz w:val="20"/>
          <w:szCs w:val="20"/>
          <w:color w:val="auto"/>
        </w:rPr>
      </w:pPr>
      <w:r>
        <w:rPr>
          <w:rFonts w:ascii="Arial" w:cs="Arial" w:eastAsia="Arial" w:hAnsi="Arial"/>
          <w:sz w:val="18"/>
          <w:szCs w:val="18"/>
          <w:color w:val="auto"/>
        </w:rPr>
        <w:t>The Company evaluates regional performance using sales and segment profit. Segment profit or loss does not include certain administrative costs, interest, investment and other income and income taxes.</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17" w:lineRule="exact"/>
        <w:rPr>
          <w:sz w:val="20"/>
          <w:szCs w:val="20"/>
          <w:color w:val="auto"/>
        </w:rPr>
      </w:pPr>
    </w:p>
    <w:p>
      <w:pPr>
        <w:ind w:right="40" w:firstLine="215"/>
        <w:spacing w:after="0" w:line="272" w:lineRule="auto"/>
        <w:rPr>
          <w:sz w:val="20"/>
          <w:szCs w:val="20"/>
          <w:color w:val="auto"/>
        </w:rPr>
      </w:pPr>
      <w:r>
        <w:rPr>
          <w:rFonts w:ascii="Arial" w:cs="Arial" w:eastAsia="Arial" w:hAnsi="Arial"/>
          <w:sz w:val="17"/>
          <w:szCs w:val="17"/>
          <w:color w:val="auto"/>
        </w:rPr>
        <w:t>Americas sales increased 27.3% for the quarter and 27.0% for the six months ended January 31, 2007, compared to the same periods in the prior year. Organic growth accounted for 5.6% and 4.1% of the growth in the quarter and year-to-date, respectively, as compared to the same periods in the previous year. Fluctuations in the exchange rates used to translate financial results into the United States dollar had a minimal impact on sales, increasing it by 0.3% in the quarter and 0.6% for the six month period. Sales in the region were also aided by the current year acquisitions of CIPI, PC, Scafftag and Asterisco and the prior year acquisitions of TruMed, J.A.M, Personnel Concepts and Identicard, which increased sales by 21.4% for the quarter and 22.3% for the six month period. The strongest organic growth in the quarter by market continues to be in the electrical and wire identification areas, but the growth in the safety and identification markets and direct marketing was solid as well.</w:t>
      </w:r>
    </w:p>
    <w:p>
      <w:pPr>
        <w:spacing w:after="0" w:line="70"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Segment profit for the region increased 15.3% to $28.8 million from $25.0 million for the quarter and 14.9% to $65.7 million from $57.2 million for the six months ended January 31, 2007, compared to the same periods in the prior year. As a percentage of sales, segment profit decreased from 22.7% to 20.6% in the second quarter of fiscal 2007 and from 25.3% to 22.9% in the six months ended January 31, 2007, compared to the same periods in the prior year. The declines were due to the effect of recent acquisitions. As expected, the segment’s recent acquisitions have produced an initial rate of profit that is below the average rate of profit of the segment. As we integrate the businesses and achieve synergies, the profit percentages are expected to increase.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Europe sales increased 29.6% for the quarter and 27.4% for the six months ended January 31, 2007, compared to the same periods in the prior year. Organic growth accounted for 7.4% and 7.1% of the growth in the quarter and year-to-date, respectively, compared to the same periods in the previous year. Sales were positively affected by fluctuations in the exchange rates used to translate financial results into the United States dollar, which increased sales within the region by 10.8% in the quarter and 8.1% for the six month period. The fiscal 2007 acquisitions of CIPI, Scafftag, and Moderno and the fiscal 2006 acquisitions of Texit and Tradex increased sales by 11.4% for the quarter and 12.2% for the six month period. The organic growth in the quarter was due to growth in the majority of the businesses and countries. The region is benefiting from recent “No Smoking” legislation enacted in France, which stimulates demand for certain of our product lines.</w:t>
      </w:r>
    </w:p>
    <w:p>
      <w:pPr>
        <w:spacing w:after="0" w:line="8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Segment profit for the region increased 13.1% to $22.6 million from $20.0 million for the quarter and 11.9% to $45.6 million from $40.8 million for the six months ended January 31, 2007, compared to the same periods in the prior year. As a percentage of sales, segment profit decreased from 26.2% to 22.9% in the second quarter of fiscal 2007 and from 27.2% to 23.9% in the six months ended January 31, 2007, compared to the same periods in the prior year. The declines were due to continued integration costs of recent acquisitions, the slowdown of the mobile handset precision die-cut business and the global headquarter costs of Tradex.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Asia-Pacific sales increased 84.3% for the quarter and 100.3% for the six months ended January 31, 2007, compared to the same periods in the prior year. Organic sales in local currency decreased 2.5% in the quarter and increased 4.6% year-to-date, compared to the same periods in the previous year. Sales were positively affected by fluctuations in the exchange rates used to translate financial results into the United States dollar, which increased sales within the region by 4.9% in the quarter and 3.7% for the six month period. The fiscal 2007 acquisitions of CIPI and Scafftag and the fiscal 2006 acquisitions of QDPT, Accidental Health, Tradex, Carroll and Daewon increased sales by 81.9% for the quarter and 92.0% for the six month period. The decline in organic sales for the quarter was due to a slowdown in our OEM electronics business, led by the loss of certain programs in the hard disk drive business, market share loss in mobile handsets and a slowdown in high performance labeling. Overall, our base business in Asia was aided by the stronger levels of our Australian business, which is more focused on the MRO market.</w:t>
      </w:r>
    </w:p>
    <w:p>
      <w:pPr>
        <w:spacing w:after="0" w:line="7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Segment profit for the region increased 5.8% to $12.4 million from $11.7 million for the quarter and 39.6% to $34.5 million from $24.7 million for the six months ended January 31, 2007, compared to the same periods in the prior year. As a percentage of sales, segment profit decreased from 26.2% to 15.0% in the second quarter of fiscal 2007 and from 28.2% to 19.7% in the six months ended January 31, 2007, compared to the same periods in the prior year. The declines were due to the slowdown in our OEM electronics business, coupled with redundant capacity and pricing pressure received from customers. Over the remainder of this fiscal year, we will be rebalancing some of our capacity to be closer to our customer’s facilities and eliminating some levels of redundant infrastructure resulting from the Tradex and Daewon acquisitions completed in the fourth quarter of fiscal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current ratio as of January 31, 2007, was 2.2 compared to 2.1 at July 31, 2006. Cash and cash equivalents were $86.4 million at</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January 31, 2007, compared to $113.0 million at July 31, 2006. Additionally, there were no short-term investments outstanding at January 31, 2007, compared to $11.5 million outstanding at July 31, 2006. Working capital increased $27.3 million during the six months ended January 31, 2007, to $267.8 million from $240.5 million at July 31, 2006. Accounts receivable increased $30.7 million during the six months ended January 31, 2007, due to increased sales volume, seasonal build-up from our OEM customers, acquisitions and foreign currency translation. Inventories increased $24.4 million in the current year, due to acquisitions and increased inventory levels in the Americas to support the launch of new products to the market and in Asia in anticipation of shutdowns for the Chinese New Year. We expect that during the second half of the fiscal year the accounts receivable and inventory levels associated with seasonal demand will decline. The net decrease in current liabilities was $3.7 million for the six month period. The decrease was composed of a significant decrease in accrued wages due to the payment of incentives in the first quarter related to the year ended July 31, 2006, partially offset by an increase in accounts payable from the fiscal 2007 acquisitions and foreign currency.</w:t>
      </w:r>
    </w:p>
    <w:p>
      <w:pPr>
        <w:spacing w:after="0" w:line="74"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Cash flow from operating activities totaled $37.1 million for the six months ended January 31, 2007, compared to $20.8 million for the same period last year. The increase was the result of a $2.7 million increase in net income and a $11.5 million increase in depreciation and amortization on the intangible assets acquired in fiscal 2006 and 2007, partially offset by cash requirements for changes in accounts receivable, prepaid expenses and other assets and accounts payable and accrued liabilities.</w:t>
      </w:r>
    </w:p>
    <w:p>
      <w:pPr>
        <w:spacing w:after="0" w:line="79"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acquisitions of businesses used $90.4 million of cash for the six months ended January 31, 2007. Contingent consideration payments of $9.3 million were paid during the six months ended January 31, 2007, to satisfy the $6.5 million holdback requirement of the ID Technologies acquisition completed in fiscal 2005, the $1.0 million earnout liability of the Stopware acquisition completed in fiscal 2006 and the $1.8 million purchase price adjustment of the Daewon acquisition completed in fiscal 2006. Capital expenditures were $32.1 million for the six months ended January 31, 2007, compared to $17.3 million in the same period last year. Approximately $9 million was spent on implementing SAP in 18 of Brady’s global operations and ultimately bringing the number of users up from approximately 2,300 to 6,700 in the next three years. The remainder of the increase in capital expenditures was due to the expansions in China, Canada, India, Slovakia, and other locations. Net cash provided by financing activities was $60.4 million for the six months ended January 31, 2007, due to net borrowings of $70.8 million on the revolving loan agreement, partially offset by the payment of dividends. Net cash provided by financing activities for the same period last year was $69.0 million related to net borrowings on the revolving loan agreement, partially offset by the repurchase of the Company’s stock and the payment of dividends.</w:t>
      </w:r>
    </w:p>
    <w:p>
      <w:pPr>
        <w:spacing w:after="0" w:line="70"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On October 5, 2006, the Company entered into a $200 million multi-currency revolving loan agreement with a group of five banks. At the Company’s option, and subject to certain standard conditions, the available amount under the credit facility may be increased from $200 million up to $300 million.</w:t>
      </w:r>
    </w:p>
    <w:p>
      <w:pPr>
        <w:spacing w:after="0" w:line="16"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Under the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January 31, 2007, the Company was in compliance with the covenants of the agreement.</w:t>
      </w:r>
    </w:p>
    <w:p>
      <w:pPr>
        <w:spacing w:after="0" w:line="46"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credit agreement restricts the amount of certain types of payments, including dividends, which can be made annually to $50 million plus an amount equal to 75% of consolidated net income for the prior fiscal year. The Company believes that based on historic dividend practice, this restriction would not impede the Company in following a similar dividend practice in the future. During the six months ended January 31, 2007, the Company borrowed and repaid $97.0 million and $26.2 million, respectively. As of January 31, 2007, there was $70.8 million of outstanding borrowings on the credit agreement.</w:t>
      </w:r>
    </w:p>
    <w:p>
      <w:pPr>
        <w:spacing w:after="0" w:line="46"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beginning in August 2006. The notes have been fully and unconditionally guaranteed on an unsecured basis by the Company’s domestic subsidiaries. The Company used the net proceeds of the offering to finance acquisitions completed in fiscal 2006 and 2007.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January 31, 2007, the Company was in compliance with this covenant.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On June 30, 2004, the Company finalized a debt offering of $150 million of 5.14% unsecured senior notes due in 2014 in an offering exempt from the registration requirements of the Securities Act of 1933. The notes will be amortized over seven years beginning in 2008, with interest payable on the notes semiannually on June 28 and December 28, beginning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The agreement also requires the Company to maintain a financial covenant. As of January 31, 2007, the Company was in compliance with this covenant.</w:t>
      </w:r>
    </w:p>
    <w:p>
      <w:pPr>
        <w:spacing w:after="0" w:line="85"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On February 20, 2007, the Board of Directors declared a quarterly cash dividend to shareholders of the Company’s Class A Common Stock of $0.14 per share payable on April 30, 2007 to shareholders of record at the close of business on April 10, 2007.</w:t>
      </w:r>
    </w:p>
    <w:p>
      <w:pPr>
        <w:spacing w:after="0" w:line="62"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Company believes that its continued strong cash flows from operations and existing borrowing capacity will enable it to execute its long-term strategic plan. This strategic plan includes investments, which expand its current market share, open new markets and geographies, develop new products and distribution channels and continue to improve our processes. This strategic plan also includes executing key acquisitions.</w:t>
      </w:r>
    </w:p>
    <w:p>
      <w:pPr>
        <w:spacing w:after="0" w:line="5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7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8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6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40" w:firstLine="225"/>
        <w:spacing w:after="0" w:line="267" w:lineRule="auto"/>
        <w:rPr>
          <w:sz w:val="20"/>
          <w:szCs w:val="20"/>
          <w:color w:val="auto"/>
        </w:rPr>
      </w:pPr>
      <w:r>
        <w:rPr>
          <w:rFonts w:ascii="Arial" w:cs="Arial" w:eastAsia="Arial" w:hAnsi="Arial"/>
          <w:sz w:val="17"/>
          <w:szCs w:val="17"/>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2006. These uncertainties may cause Brady’s actual future results to be materially different than those expressed in its forward-looking statements. Brady does not undertake to update its forward-looking statements.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jc w:val="both"/>
        <w:ind w:right="50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Korean Won and Chinese Yuan currency.</w:t>
      </w:r>
    </w:p>
    <w:p>
      <w:pPr>
        <w:spacing w:after="0" w:line="85"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January 31, 2007, the Company had no interest rate derivatives.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5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is in the process of implementing its enterprise resource planning system, SAP, to many of its locations around the world. This implementation has resulted in certain changes to business processes and internal controls impacting financial reporting. Management is taking the necessary steps to monitor and maintain appropriate internal controls during this period of change.</w:t>
      </w:r>
    </w:p>
    <w:p>
      <w:pPr>
        <w:spacing w:after="0" w:line="7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There were no other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annual meeting of shareholders was held on November 16, 2006. At the meeting, the following persons were elected to serve as the Company’s directors by the affirmative vote of 100% of the 3,538,628 shares of Class B Voting Common Stock until the next annual meeting of shareholders and until their successors have been elected:</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Richard A. Bemis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Robert C. Buchanan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Mary K. Bush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 Galbato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Frank W. Harris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Frank R. Jarc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Peter J. Lettenberger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Gary E. Nei</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Roger D. Peirce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Elizabeth I. Pungello</w:t>
      </w:r>
    </w:p>
    <w:p>
      <w:pPr>
        <w:spacing w:after="0" w:line="103" w:lineRule="exact"/>
        <w:rPr>
          <w:sz w:val="20"/>
          <w:szCs w:val="20"/>
          <w:color w:val="auto"/>
        </w:rPr>
      </w:pPr>
    </w:p>
    <w:p>
      <w:pPr>
        <w:jc w:val="both"/>
        <w:ind w:right="100" w:firstLine="215"/>
        <w:spacing w:after="0" w:line="286" w:lineRule="auto"/>
        <w:rPr>
          <w:sz w:val="20"/>
          <w:szCs w:val="20"/>
          <w:color w:val="auto"/>
        </w:rPr>
      </w:pPr>
      <w:r>
        <w:rPr>
          <w:rFonts w:ascii="Arial" w:cs="Arial" w:eastAsia="Arial" w:hAnsi="Arial"/>
          <w:sz w:val="17"/>
          <w:szCs w:val="17"/>
          <w:color w:val="auto"/>
        </w:rPr>
        <w:t>At the annual meeting, the shareholders, by affirmative vote of 100% of the 3,538,628 shares of Class B Voting Common Stock, also approved the Brady Corporation 2006 Omnibus Incentive Stock Plan and the Brady Corporation Incentive Compensation Plan for Elected Corporate Officers, both of which are described in more detail in the Current Report on Form 8-K filed by the Company on November 20, 2006.</w:t>
      </w:r>
    </w:p>
    <w:p>
      <w:pPr>
        <w:spacing w:after="0" w:line="5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On November 30, 2006, by written consent of the holders of 100% of the 3,538,628 shares of Class B Voting Common Stock, the shareholders approved a revised version of the Brady Corporation 2005 Nonqualified Stock Option Plan for Non-Employee Directors, which is described in more detail in the Current Report on Form 8-K filed by the Company on December 4,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Frank M. Jaehnert</w:t>
      </w:r>
    </w:p>
    <w:p>
      <w:pPr>
        <w:spacing w:after="0" w:line="225"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David Mathieson</w:t>
      </w:r>
    </w:p>
    <w:p>
      <w:pPr>
        <w:spacing w:after="0" w:line="225"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Frank M. Jaehnert</w:t>
      </w:r>
    </w:p>
    <w:p>
      <w:pPr>
        <w:spacing w:after="0" w:line="225"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David Mathieson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SIGNATURES</w:t>
            </w:r>
          </w:p>
        </w:tc>
        <w:tc>
          <w:tcPr>
            <w:tcW w:w="422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March 7,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M. Jaehnert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F. M. Jaehnert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March 7,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Mathieson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Mathieson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&amp; Chief Financial Officer (Principal</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Accounting Officer) (Principal 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80"/>
          </w:cols>
          <w:pgMar w:left="240" w:top="419" w:right="3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3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Mathieson, certify that:</w:t>
      </w:r>
    </w:p>
    <w:p>
      <w:pPr>
        <w:spacing w:after="0" w:line="117" w:lineRule="exact"/>
        <w:rPr>
          <w:sz w:val="20"/>
          <w:szCs w:val="20"/>
          <w:color w:val="auto"/>
        </w:rPr>
      </w:pPr>
    </w:p>
    <w:p>
      <w:pPr>
        <w:ind w:left="480" w:hanging="247"/>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DAVID MATHIESON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Mathieson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160" w:firstLine="233"/>
        <w:spacing w:after="0" w:line="277" w:lineRule="auto"/>
        <w:tabs>
          <w:tab w:leader="none" w:pos="4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2007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right="60" w:firstLine="233"/>
        <w:spacing w:after="0" w:line="375" w:lineRule="auto"/>
        <w:tabs>
          <w:tab w:leader="none" w:pos="4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 Date: March 7, 2007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160" w:firstLine="233"/>
        <w:spacing w:after="0" w:line="277" w:lineRule="auto"/>
        <w:tabs>
          <w:tab w:leader="none" w:pos="4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2007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right="60" w:firstLine="233"/>
        <w:spacing w:after="0" w:line="375" w:lineRule="auto"/>
        <w:tabs>
          <w:tab w:leader="none" w:pos="4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 Date: March 7, 2007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DAVID MATHIESON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Mathieson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2019-12-11T19:46:13Z</dcterms:created>
  <dcterms:modified xsi:type="dcterms:W3CDTF">2019-12-11T19:46:13Z</dcterms:modified>
</cp:coreProperties>
</file>