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560"/>
            <w:col w:w="6120" w:space="720"/>
            <w:col w:w="1660" w:space="720"/>
            <w:col w:w="320"/>
          </w:cols>
          <w:pgMar w:left="240" w:top="229" w:right="2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260" w:space="620"/>
            <w:col w:w="6120" w:space="720"/>
            <w:col w:w="1660" w:space="720"/>
            <w:col w:w="32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May 18, 2016, there were 46,723,746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60" w:type="dxa"/>
            <w:vAlign w:val="bottom"/>
            <w:gridSpan w:val="3"/>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60" w:type="dxa"/>
            <w:vAlign w:val="bottom"/>
            <w:gridSpan w:val="3"/>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EE"/>
            </w:tcBorders>
            <w:gridSpan w:val="8"/>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w:t>
              </w:r>
            </w:hyperlink>
          </w:p>
        </w:tc>
        <w:tc>
          <w:tcPr>
            <w:tcW w:w="4460" w:type="dxa"/>
            <w:vAlign w:val="bottom"/>
            <w:gridSpan w:val="2"/>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76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4380" w:type="dxa"/>
            <w:vAlign w:val="bottom"/>
            <w:gridSpan w:val="11"/>
          </w:tcPr>
          <w:p>
            <w:pPr>
              <w:ind w:left="20"/>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21"/>
                <w:szCs w:val="21"/>
                <w:color w:val="auto"/>
              </w:rPr>
            </w:pPr>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4860" w:type="dxa"/>
            <w:vAlign w:val="bottom"/>
            <w:tcBorders>
              <w:left w:val="single" w:sz="8" w:color="0000EE"/>
            </w:tcBorders>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800" w:type="dxa"/>
            <w:vAlign w:val="bottom"/>
            <w:gridSpan w:val="5"/>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80" w:type="dxa"/>
            <w:vAlign w:val="bottom"/>
            <w:gridSpan w:val="6"/>
          </w:tcPr>
          <w:p>
            <w:pPr>
              <w:spacing w:after="0"/>
              <w:rPr>
                <w:sz w:val="21"/>
                <w:szCs w:val="21"/>
                <w:color w:val="auto"/>
              </w:rPr>
            </w:pPr>
          </w:p>
        </w:tc>
        <w:tc>
          <w:tcPr>
            <w:tcW w:w="486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4380" w:type="dxa"/>
            <w:vAlign w:val="bottom"/>
            <w:gridSpan w:val="11"/>
          </w:tcPr>
          <w:p>
            <w:pPr>
              <w:ind w:left="2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486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760" w:type="dxa"/>
            <w:vAlign w:val="bottom"/>
            <w:gridSpan w:val="9"/>
            <w:shd w:val="clear" w:color="auto" w:fill="0000EE"/>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4380" w:type="dxa"/>
            <w:vAlign w:val="bottom"/>
            <w:gridSpan w:val="11"/>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486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April 30, 2016</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114,492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153,289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157,386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63,105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66,700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16,958</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20,317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20,849</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104,507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33,981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32,197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429,433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408,582</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433,199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62,260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68,888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22,310</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17,157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18,704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5,284</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94,155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94,423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270,086</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2,164</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364,430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371,957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264,661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260,743</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111,214</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1,061,275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1,062,897</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64,428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73,020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30,282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7,817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7,250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39,329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38,194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163,782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209,247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200,774</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65,843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65,188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465,935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475,209</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46,723,474 and 47,781,184 shares,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314,403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Earnings retained in the business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438,441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414,069</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stock—4,538,013 and 3,480,303 shares, respectively of Class A nonvoting common stock, at cost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(93,234)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(42,396)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(45,034)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595,340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587,688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1,062,897</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24"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24"/>
                <w:szCs w:val="24"/>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286,816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290,227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838,519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883,095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141,373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149,228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420,835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453,732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145,443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140,999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417,684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429,363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105,794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102,952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306,678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319,796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13,991</w:t>
            </w:r>
          </w:p>
        </w:tc>
        <w:tc>
          <w:tcPr>
            <w:tcW w:w="0" w:type="dxa"/>
            <w:vAlign w:val="bottom"/>
          </w:tcPr>
          <w:p>
            <w:pPr>
              <w:spacing w:after="0"/>
              <w:rPr>
                <w:sz w:val="1"/>
                <w:szCs w:val="1"/>
                <w:color w:val="auto"/>
              </w:rPr>
            </w:pP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114,659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116,714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333,209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361,294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68,069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 and 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(8,394)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29,667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77,326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60,643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8,686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22,352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16,347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44,296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42,381</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per Class A Nonvoting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51,275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50,505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51,450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50,747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51,370</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April 30,</w:t>
            </w:r>
          </w:p>
        </w:tc>
      </w:tr>
      <w:tr>
        <w:trPr>
          <w:trHeight w:val="270"/>
        </w:trPr>
        <w:tc>
          <w:tcPr>
            <w:tcW w:w="5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42,381</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(loss) recognized in other comprehensive loss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24,889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10,943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(70,191)</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24,889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10,943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(104,888)</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20,833</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gain recognized in other comprehensive loss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gain recognized in other comprehensive loss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1,386</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8"/>
              </w:rPr>
              <w:t>Reclassification adjustment for losses (gains) included in net earnings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834</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gain recognized in other comprehensive income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1,498</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5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plan curtailment gain included in net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earnings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(833)</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18,674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(84,365)</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Income tax benefit (expense) related to items of other comprehensive income (loss)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(7,730)</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19,987</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(92,095)</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020" w:type="dxa"/>
            <w:vAlign w:val="bottom"/>
            <w:shd w:val="clear" w:color="auto" w:fill="CCEEFF"/>
          </w:tcPr>
          <w:p>
            <w:pPr>
              <w:spacing w:after="0"/>
              <w:rPr>
                <w:sz w:val="5"/>
                <w:szCs w:val="5"/>
                <w:color w:val="auto"/>
              </w:rPr>
            </w:pPr>
          </w:p>
        </w:tc>
        <w:tc>
          <w:tcPr>
            <w:tcW w:w="73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Net earnings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54,974</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42,381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24,896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28,511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3,556</w:t>
            </w: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Non-cash portion of restructuring charges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3,545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Loss on sale of business, net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3,169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(8,385)</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(8,399)</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98,550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52,740</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(7,468)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(23,545)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Sale of business, net of cash retained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3,927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(13,507)</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Payment of dividends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(30,712)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224"/>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Purchases of treasury stock</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borrowing on credit facilities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28,819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64,638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Principal payments on debt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(42,514)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Debt issuance costs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Income tax on equity-based compensation, and other</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(69,228)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(10,829)</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(9,770)</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18,634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114,492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81,834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020" w:type="dxa"/>
            <w:vAlign w:val="bottom"/>
            <w:shd w:val="clear" w:color="auto" w:fill="CCEEFF"/>
          </w:tcPr>
          <w:p>
            <w:pPr>
              <w:spacing w:after="0"/>
              <w:rPr>
                <w:sz w:val="24"/>
                <w:szCs w:val="24"/>
                <w:color w:val="auto"/>
              </w:rPr>
            </w:pPr>
          </w:p>
        </w:tc>
        <w:tc>
          <w:tcPr>
            <w:tcW w:w="7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141,596</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100,468</w:t>
            </w:r>
          </w:p>
        </w:tc>
        <w:tc>
          <w:tcPr>
            <w:tcW w:w="0" w:type="dxa"/>
            <w:vAlign w:val="bottom"/>
          </w:tcPr>
          <w:p>
            <w:pPr>
              <w:spacing w:after="0"/>
              <w:rPr>
                <w:sz w:val="1"/>
                <w:szCs w:val="1"/>
                <w:color w:val="auto"/>
              </w:rPr>
            </w:pPr>
          </w:p>
        </w:tc>
      </w:tr>
      <w:tr>
        <w:trPr>
          <w:trHeight w:val="33"/>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2016 and July 31, 2015, its results of operations and comprehensive income (loss) for the three and nine months ended April 30, 2016 and 2015, and cash flows for the nine months ended April 30, 2016 and 2015. The consolidated balance sheet as of July 31, 2015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2015.</w:t>
      </w:r>
    </w:p>
    <w:p>
      <w:pPr>
        <w:spacing w:after="0" w:line="13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results of operations of the Company's Die-Cut business have been reported as discontinued operations within the condensed consolidated statements of earnings for the nine months ended April 30, 2015. A portion of the Die-Cut business was divested in fiscal 2014 and the remainder was divested in the first quarter of fiscal 2015. In accordance with the authoritative literature, the Company has elected to not separately disclose the cash flows or other comprehensive income related to discontinued operations. Refer to Note J, "Discontinued Operations" for further discussion regarding the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nine months ended April 30, 2016,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2015</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382,786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50,413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433,199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Translation 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4,128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2,992</w:t>
            </w: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April 30, 2016</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386,914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49,277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436,191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Goodwill at April 30, 2016 and July 31, 2015 included $118,637 and $209,392 of accumulated impairment losses within the Identification Solutions ("IDS") and Workplace Safety ("WPS") segments, respectively, for a total of $328,029. There were no impairment charges recorded during the nine months ended April 30, 2016. The increase in the carrying amount of Goodwill as of April 30, 2016 compared to July 31, 2015 was due to the effect of currency fluctuations during the nine-month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April 30, 2016</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2015</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12,218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(10,989)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1,229</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12,073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(10,641)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746</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137,520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(100,621)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36,899</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136,693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(94,537)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42,156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9,184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23,370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23,370</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23,352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23,352</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196,751</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(134,491)</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62,260</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195,569</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(126,681)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68,888</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the gross carrying amount of other intangible assets as of April 30, 2016 compared to July 31, 2015 was primarily due to the effect of currency fluctuations during the nine-month period.</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on intangible assets was $1,838 and $2,900 for the three months ended April 30, 2016 and 2015, respectively, and $7,066 and $9,251 for the nine months ended April 30, 2016 and 2015, respectively. The amortization expense over each of the next five fiscal years is projected to be $8,881, $7,175, $6,471, $6,181 and $5,628 for the fiscal years ending July 31, 2016, 2017, 2018, 2019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Income (Loss)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income (loss) ("OCI")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nine months ended April 30, 2016:</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Unrealized (loss)</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gain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(45,034)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4,634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4,264</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April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(43,847)</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(42,396)</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decrease in accumulated other comprehensive loss as of April 30, 2016 compared to July 31, 2015 was primarily due to the depreciation of the U.S. dollar against certain other currencies during the nine-month period. The foreign currency translation adjustments column in the table above includes the impact of foreign currency translation, foreign currency translation on intercompany notes, and the settlements of net investment hedges, net of tax. Of the total $1,626 in amounts reclassified from accumulated other comprehensive loss, the $106 gain on cash flow hedges was reclassified into cost of products sold, and the $1,520 gain on post-retirement plans was reclassified into selling, general and administrative expenses ("SG&amp;A") on the condensed consolidated statement of earnings for the nine months ended April 30, 2016.</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The changes in accumulated other comprehensive income (loss) by component, net of tax, for the nine months ended April 30, 2015 were as follows: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Unrealized gain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Accumulated other</w:t>
            </w: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(loss)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color w:val="auto"/>
                <w:w w:val="90"/>
              </w:rPr>
              <w:t>comprehensive</w:t>
            </w:r>
          </w:p>
        </w:tc>
      </w:tr>
      <w:tr>
        <w:trPr>
          <w:trHeight w:val="206"/>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92"/>
              </w:rPr>
              <w:t>income (loss)</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64,156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(54,730)</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(37,365)</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April 30,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4,162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(32,679)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(27,939)</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decrease in accumulated other comprehensive income (loss) as of April 30, 2015 compared to July 31, 2014 was primarily due the appreciation of the U.S. dollar against other currencies, most of which was realized during the six month period ended January 31, 2015. The decrease was also attributable to the accumulated foreign currency translation gains in the China Die-Cut businesses, which were reclassified into net earnings upon the completion of the second phase of the Die-Cut divestiture during the three months ended October 31, 2014. The foreign currency translation adjustments column in the table above includes the impact of foreign currency translation, foreign currency translation on intercompany notes, and the settlements of net investment hedges, net of tax. Of the total $37,365 in amounts reclassified from accumulated other comprehensive income (loss), the $34,697 gain was reclassified to the net loss on the sale of the Die-Cut business, the $337 gain on cash flow hedges was reclassified into cost of products sold, and the $2,331 gain due to curtailment of the post-retirement medical benefit plan was reclassified into SG&amp;A on the condensed consolidated statement of earnings for the nine months ended April 30, 2015.</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income tax expense on the components of other comprehensive income (loss)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2016 and 2015:</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Income tax benefit (expense) related to items of other comprehensive income</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1,456</w:t>
            </w:r>
          </w:p>
        </w:tc>
        <w:tc>
          <w:tcPr>
            <w:tcW w:w="12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(8,125)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Income tax benefit (expense) related to items of other comprehensive income</w:t>
            </w:r>
          </w:p>
        </w:tc>
        <w:tc>
          <w:tcPr>
            <w:tcW w:w="960" w:type="dxa"/>
            <w:vAlign w:val="bottom"/>
            <w:vMerge w:val="restart"/>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99"/>
              </w:rPr>
              <w:t>1,313</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(7,730)</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80" w:type="dxa"/>
            <w:vAlign w:val="bottom"/>
            <w:gridSpan w:val="6"/>
          </w:tcPr>
          <w:p>
            <w:pPr>
              <w:ind w:left="50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Earnings from continuing operations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20,981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17,213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54,974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44,296</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7"/>
              </w:rPr>
              <w:t>Numerator for basic and diluted earnings from continuing operations</w:t>
            </w: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20,981</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17,213</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54,190</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43,501</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per Class B Voting Common Share</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w w:val="96"/>
              </w:rPr>
              <w:t>Denominator for basic earnings from continuing operations per share</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50,251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51,301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50,602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51,275</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4"/>
              </w:rPr>
              <w:t>Denominator for diluted earnings from continuing operations per share</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50,505</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51,450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50,747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51,370</w:t>
            </w:r>
          </w:p>
        </w:tc>
        <w:tc>
          <w:tcPr>
            <w:tcW w:w="0" w:type="dxa"/>
            <w:vAlign w:val="bottom"/>
          </w:tcPr>
          <w:p>
            <w:pPr>
              <w:spacing w:after="0"/>
              <w:rPr>
                <w:sz w:val="1"/>
                <w:szCs w:val="1"/>
                <w:color w:val="auto"/>
              </w:rPr>
            </w:pPr>
          </w:p>
        </w:tc>
      </w:tr>
      <w:tr>
        <w:trPr>
          <w:trHeight w:val="206"/>
        </w:trPr>
        <w:tc>
          <w:tcPr>
            <w:tcW w:w="5120" w:type="dxa"/>
            <w:vAlign w:val="bottom"/>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86295"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19748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0.86</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0.86</w:t>
            </w:r>
          </w:p>
        </w:tc>
      </w:tr>
      <w:tr>
        <w:trPr>
          <w:trHeight w:val="224"/>
        </w:trPr>
        <w:tc>
          <w:tcPr>
            <w:tcW w:w="5020" w:type="dxa"/>
            <w:vAlign w:val="bottom"/>
          </w:tcPr>
          <w:p>
            <w:pPr>
              <w:ind w:left="40"/>
              <w:spacing w:after="0"/>
              <w:rPr>
                <w:sz w:val="20"/>
                <w:szCs w:val="20"/>
                <w:color w:val="auto"/>
              </w:rPr>
            </w:pPr>
            <w:r>
              <w:rPr>
                <w:rFonts w:ascii="Arial" w:cs="Arial" w:eastAsia="Arial" w:hAnsi="Arial"/>
                <w:sz w:val="16"/>
                <w:szCs w:val="16"/>
                <w:color w:val="auto"/>
                <w:w w:val="96"/>
              </w:rPr>
              <w:t>Earnings from continuing operations per Class B Voting Common Share:</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0.34</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0.85</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0.85</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Loss from discontinued operations per Class A Nonvoting Common Share:</w:t>
            </w: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w w:val="98"/>
              </w:rPr>
              <w:t>Loss from discontinued operations per Class B Voting Common Share:</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0.83</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0.83</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0.34</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0.81</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0.81</w:t>
            </w:r>
          </w:p>
        </w:tc>
      </w:tr>
    </w:tbl>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Options to purchase approximately 2,480,000 and 2,836,000 shares of Class A Nonvoting Common Stock for the three months ended April 30, 2016 and 2015, respectively, and 3,525,000 and 3,531,000 shares for the nine months ended April 30, 2016 and 2015, respectively, were not included in the computation of diluted net earnings or loss per share because the option exercise price was greater than the average market price of the common shares and, therefore, the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organized and managed on a global basis within three business platforms, ID Solutions, Workplace Safety, and People Identification ("PeopleID"), which aggregate into two reportable segments: IDS and WPS.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Each business platform has a President or Vice-President that reports directly to the Company's chief operating decision maker, its Chief Executive Officer. Each platform has its own distinct operations, which are managed locally by its own management team, maintains its own financial reports and is evaluated based on global segment profit. The Company has determined that these business platforms comprise its three operating segments, which aggregate into two reportable segments based on the information used by the Chief Executive Officer to allocate resources and assess performance.</w:t>
      </w:r>
    </w:p>
    <w:p>
      <w:pPr>
        <w:spacing w:after="0" w:line="1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following is a summary of segment information for the three and nine months ended April 30, 2016 and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196,953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200,786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578,160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604,948</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260,359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278,147</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286,816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290,227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838,519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883,095</w:t>
            </w:r>
          </w:p>
        </w:tc>
      </w:tr>
      <w:tr>
        <w:trPr>
          <w:trHeight w:val="73"/>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46,445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41,614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123,451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120,800</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40,607</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60,204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53,906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167,269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161,407</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earnings from continuing operations before income taxes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30, 2016 and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167,269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161,407</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(79,347)</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(13,991)</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(8,394)</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60,643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RSUs issued under the plan have an issuance price equal to the fair market value of the underlying stock at the date of grant. The RSUs granted under the plan generally vest over a three-year service period, with one-third becoming exercisable one year after the grant date and one-third additional in each of the succeeding two years. Shares issued under the plan are referred to herein as "service-based" RSUs.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April 30, 2016, the Company has reserved 4,630,354 shares of Class A Nonvoting Common Stock for outstanding stock options, RSUs, and restricted shares and 2,368,731 shares of Class A Nonvoting Common Stock remain for future issuance of stock options, RSUs, and restricted and unrestricted shares under the active plan. The Company uses treasury stock or will issue new Class A Nonvoting Common Stock to deliver shares under the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April 30, 2016 and 2015, was $1,678 ($1,040 net of taxes) and $1,085 ($673 net of taxes), respectively. Expense recognized during the nine months ended April 30, 2016 and 2015, was $6,247 ($3,873 net of taxes) and $3,556 ($2,205 net of taxes), respectively.</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April 30, 2016, total unrecognized compensation cost related to stock-based compensation awards was $17,206 pre-tax, net of estimated forfeitures, which the Company expects to recognize over a weighted-average period of 2.6 years.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fair value of its service-based stock option awards granted during the nine months ended April 30, 2016 and 2015,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9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6.06</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34.05%</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22.73</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22.73</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200" w:lineRule="exact"/>
        <w:rPr>
          <w:sz w:val="20"/>
          <w:szCs w:val="20"/>
          <w:color w:val="auto"/>
        </w:rPr>
      </w:pPr>
    </w:p>
    <w:p>
      <w:pPr>
        <w:spacing w:after="0" w:line="3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stock option activity under the Company’s share-based compensation plans for the nine months ended April 30, 2016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3,500,951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881,744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(449,029)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3,904,884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7,963,025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April 30, 2016</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2,679,527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30.09</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1,483,578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were 2,679,527 and 2,706,566 options exercisable with a weighted average exercise price of $30.09 and $30.84 at April 30, 2016 and 2015, respectively. The cash received from the exercise of options during the three months ended April 30, 2016 and 2015 was $610 and $744, respectively. The cash received from the exercise of options during the nine months ended April 30, 2016 and 2015 was $663 and $1,591, respectively. The tax benefit on options exercised during the three months ended April 30, 2016 and 2015 was $37 and $35, respectively. The tax benefit on options exercised during the nine months ended April 30, 2016 and 2015 was $40 and $79,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during the nine months ended April 30, 2016 and 2015, based upon the average market price at the time of exercise during the period, was $105 and $202, respectively. The total fair value of stock options vested during the nine months ended April 30, 2016 and 2015, was $3,193 and $3,909,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the RSU activity under the Company's share-based compensation plans for the nine months ended April 30, 2016:</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677,454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173,394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20.07</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(53,214)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23.77</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April 30, 2016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725,470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23.64</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service-based RSUs granted during the nine months ended April 30, 2015 had a weighted-average grant date fair value of $23.59.</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aggregate intrinsic value of unvested RSUs expected to vest at April 30, 2016 was $19,218. The total fair value of RSUs vested during the nine months ended April 30, 2016 and 2015, was $1,471 and $805,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G – Employee Benefit Plans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net periodic postretirement benefit cost for the three and nine months ended April 30, 2016 and 2015 were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5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r>
      <w:tr>
        <w:trPr>
          <w:trHeight w:val="33"/>
        </w:trPr>
        <w:tc>
          <w:tcPr>
            <w:tcW w:w="5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postretirement benefit cost:</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20" w:type="dxa"/>
            <w:vAlign w:val="bottom"/>
          </w:tcPr>
          <w:p>
            <w:pPr>
              <w:ind w:left="340"/>
              <w:spacing w:after="0"/>
              <w:rPr>
                <w:sz w:val="20"/>
                <w:szCs w:val="20"/>
                <w:color w:val="auto"/>
              </w:rPr>
            </w:pPr>
            <w:r>
              <w:rPr>
                <w:rFonts w:ascii="Arial" w:cs="Arial" w:eastAsia="Arial" w:hAnsi="Arial"/>
                <w:sz w:val="16"/>
                <w:szCs w:val="16"/>
                <w:color w:val="auto"/>
              </w:rPr>
              <w:t>Service cost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203</w:t>
            </w:r>
          </w:p>
        </w:tc>
      </w:tr>
      <w:tr>
        <w:trPr>
          <w:trHeight w:val="33"/>
        </w:trPr>
        <w:tc>
          <w:tcPr>
            <w:tcW w:w="5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Amortization of prior service credit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33"/>
        </w:trPr>
        <w:tc>
          <w:tcPr>
            <w:tcW w:w="5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net actuarial gain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Curtailment gain</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(4,296)</w:t>
            </w:r>
          </w:p>
        </w:tc>
      </w:tr>
      <w:tr>
        <w:trPr>
          <w:trHeight w:val="33"/>
        </w:trPr>
        <w:tc>
          <w:tcPr>
            <w:tcW w:w="5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postretirement benefit cost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March 2015, the Company announced the elimination of postretirement medical benefits for eligible domestic employees retiring on or after January 1, 2016. This amendment resulted in a decrease in the accumulated postretirement benefit obligation liability of $4,490 and a curtailment gain of $4,296. The curtailment gain was recognized in SG&amp;A on the condensed consolidated statements of earnings, during the three months ended April 30,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by level within the fair value hierarchy our financial assets and liabilities that were accounted for at fair value on a recurring basis at April 30, 2016 and July 31, 2015, according to the valuation techniques the Company used to determine their fair values.</w:t>
      </w:r>
    </w:p>
    <w:p>
      <w:pPr>
        <w:spacing w:after="0" w:line="117"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April 30, 2016</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13,567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13,567</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13,567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14,422</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2015</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16,041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with observable inputs, such as interest rates, yield curves and foreign exchange rates. See Note I,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nine months ended April 30, 2016 and 2015. In addition, the Company had no significant measurements of assets or liabilities at fair value on a nonrecurring basis subsequent to their initial recognition during the nine months ended April 30, 2016.</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2015, goodwill with carrying amounts of $26,246 and $10,866 in the WPS APAC and WPS Americas reporting units, respectively, was written off entirely, resulting in impairment charges of $37,112.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it was determined there was no excess fair value of the reporting units over the implied fair value of goodwill and thus, the remaining goodwill balances were impaired in fiscal 2015. The goodwill balances represented a Level 3 asset measured at fair value on a nonrecurring basis subsequent to their original recognition.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fiscal 2015, management evaluated other indefinite-lived intangible assets for recoverability using the income approach. The valuation was based upon current sales projections and profitability for each asset group, and the relief from royalty method was applied. Management evaluated other finite-lived intangible assets for recoverability using an undiscounted cash flow analysis based upon current sales projections and profitability for each asset group. This analysis resulted in an amount that was less than the carrying value of certain finite-lived intangible assets. Management measured the impairment loss of both indefinite and finite-lived intangible assets as the amount by which the carrying amount of the assets exceeded their fair value. As a result, other intangible assets with a carrying amount of $26,194 were written down to their estimated fair value of $19,543. These represented Level 3 assets measured at fair value on a nonrecurring basis subsequent to their original recognition. These items resulted in a total impairment charge of $6,651 in fiscal 2015.</w:t>
      </w:r>
    </w:p>
    <w:p>
      <w:pPr>
        <w:spacing w:after="0" w:line="13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and other liabilities. The fair values of these financial instruments approximated carrying values because of their short-term nature.</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fair value of the Company’s short-term and long-term debt obligations, excluding notes payable, based on the quoted market prices for similar issues and on the current rates offered for debt of similar maturities was $243,800 and $252,254 at April 30, 2016 and July 31, 2015, respectively, as compared to the carrying value of $236,310 and $243,288 at April 30, 2016 and July 31, 2015,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I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April 30, 2016 and July 31, 2015, the notional amount of outstanding forward exchange contracts was $127,105 and $139,300,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exposures using forward exchange contracts. Main exposures are related to transactions denominated in the British Pound, the Euro, Canadian Dollar, Australian Dollar, Mexican Peso, and Singapore Dollar. Generally, these risk management transactions will involve the use of foreign currency derivatives to minimize the impact of currency movements on non-functional currency transactions.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OCI and reclassified into earnings in the same period or periods during which the hedged transaction affects earnings. As of April 30, 2016 and 2015, unrealized losses of $605 and unrealized gains of $813 have been included in OCI, respectively. Balances are reclassified from OCI to earnings when the hedged transactions impact earnings. For the three months ended April 30, 2016 and 2015, the Company reclassified losses of $169 and gains of $457 from OCI into earnings, respectively. For the nine months ended April 30, 2016 and 2015, the Company reclassified gains of $174 and $552 from OCI into earnings, respectively. At April 30, 2016, the U.S. dollar equivalent of these outstanding forward foreign exchange contracts totaled $42,850, including contracts to sell Euros, Canadian Dollars, Australian Dollars, and U.S. Dollars.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At April 30, 2016, the Company designated £25,036 of intercompany loans as net investment hedges to hedge portions of its net investment in British foreign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operations. The Company’s foreign denominated debt obligations are valued under a market approach using publicized spot prices.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nine months ended April 30, 2016, the Company recognized gains of $1,410 and $897 respectively, in “Investment and other income” on the condensed consolidated statements of earnings related to non-designated hedges. For the three and nine months ended April 30, 2015, the Company recognized losses of $667 and gains of $1,287, respectively.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April 30, 2016</w:t>
            </w: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w w:val="97"/>
              </w:rPr>
              <w:t>July 31, 2015</w:t>
            </w: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tcBorders>
              <w:bottom w:val="single" w:sz="8" w:color="auto"/>
            </w:tcBorders>
            <w:gridSpan w:val="3"/>
            <w:shd w:val="clear" w:color="auto" w:fill="CCEEFF"/>
          </w:tcPr>
          <w:p>
            <w:pPr>
              <w:ind w:left="680"/>
              <w:spacing w:after="0"/>
              <w:rPr>
                <w:sz w:val="20"/>
                <w:szCs w:val="20"/>
                <w:color w:val="auto"/>
              </w:rPr>
            </w:pPr>
            <w:r>
              <w:rPr>
                <w:rFonts w:ascii="Arial" w:cs="Arial" w:eastAsia="Arial" w:hAnsi="Arial"/>
                <w:sz w:val="14"/>
                <w:szCs w:val="14"/>
                <w:b w:val="1"/>
                <w:bCs w:val="1"/>
                <w:color w:val="auto"/>
                <w:w w:val="99"/>
              </w:rPr>
              <w:t>April 30, 2016</w:t>
            </w: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July 31, 2015</w:t>
            </w: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121,705</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121,514</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122,373</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122,251</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528</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J — Discontinued Operations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it was divested on August 1, 2014. The operating results have been reported as discontinued operations for the three and nine month periods ended April 30,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operating results of discontinued operations for the nine months ended April 30,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April 30, 2015</w:t>
            </w:r>
          </w:p>
        </w:tc>
      </w:tr>
      <w:tr>
        <w:trPr>
          <w:trHeight w:val="33"/>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Loss from operations of discontinued businesses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(1,201)</w:t>
            </w:r>
          </w:p>
        </w:tc>
      </w:tr>
      <w:tr>
        <w:trPr>
          <w:trHeight w:val="33"/>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Loss on sale of discontinued operations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33"/>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on sale of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57"/>
        </w:trPr>
        <w:tc>
          <w:tcPr>
            <w:tcW w:w="762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income tax</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w:t>
            </w: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assets or liabilities held for sale as of April 30, 2016 or July 31, 2015. In accordance with authoritative literature, accumulated other comprehensive income of $34,697 was reclassified to the condensed consolidated statements of earnings upon the closing of the second phase of the Die-Cut divestiture during the three months ended October 31,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K — New Accounting Pronouncements</w:t>
      </w:r>
    </w:p>
    <w:p>
      <w:pPr>
        <w:spacing w:after="0" w:line="3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March 2016, the FASB issued ASU 2016-09, "Stock Compensation: Improvements to Employee Share-Based Payment Accounting," which will simplify several aspects of accounting for share-based payment transactions. The update will require, among other items, that all excess tax deficiencies or benefits be recorded as income tax expense or benefit in the statement of earnings, and not in additional paid-in capital (APIC). This guidance is effective for annual periods beginning after December 15, 2016, and interim periods within those annual periods. Early adoption of the ASU is permitted and the prospective transition method should be applied. The Company is currently evaluating the impact of this update on its consolidated financial statements.</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February 2016, the FASB issued ASU 2016-02, "Leases," which replaces the current lease accounting standard. The update will require, among other items, lessees to recognize the assets and liabilities that arise from most leases on the balance sheet. This guidance is effective for annual periods beginning after December 15, 2018, and interim periods within those annual periods. The ASU must be adopted using a modified retrospective approach and early adoption is permitted. The Company is currently evaluating the impact of this update on its consolidated financial statements.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which requires companies to classify deferred tax assets and liabilities as non-current on the balance sheet. This guidance is effective for annual periods beginning after December 15, 2016, and interim periods within those annual periods. The ASU may be applied either prospectively or retrospectively and early adoption is permitted. The Company does not expect this update to have a meaningful impact on its consolidated financial statements.</w:t>
      </w:r>
    </w:p>
    <w:p>
      <w:pPr>
        <w:spacing w:after="0" w:line="13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w:t>
      </w:r>
    </w:p>
    <w:p>
      <w:pPr>
        <w:spacing w:after="0" w:line="2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March 2016, the FASB issued ASU 2016-08, "Revenue from Contracts with Customers - Principal versus Agent Considerations (Reporting Revenue Gross versus Net)", which amends the principal-versus-agent implementation guidance in ASU 2014-09. ASU 2016-08 clarifies the principal-versus-agent guidance in ASU 2014-09 and requires an entity to determine whether the nature of its promise to provide goods or services to a customer is performed in a principal or agent capacity and to recognize revenue in a gross or net manner based on that designation.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May 2016, the FASB issued ASU 2016-12, "Revenue from Contracts with Customers - Narrow-Scope Improvements and Practical Expedients", which amends the transition, collectibility, and non-cash consideration guidance in ASU 2014-09. ASU 2016-08 clarifies clarify that, for a contract to be considered completed at transition, substantially all of the revenue must have been recognized under legacy GAAP. The amendments also clarify how an entity should evaluate the collectibility threshold and when an entity can recognize nonrefundable consideration received as revenue if an arrangement does not meet the standard’s contract criteria.</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ASU 2014-09 (and related updates) is effective for the Company beginning in fiscal 2019. Entities have the option of using either a full retrospective or a modified retrospective approach for the adoption of the standard. The Company is currently evaluating the impact of this update on its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L — Subsequent Events</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18, 2016, the Board of Directors declared a quarterly cash dividend to shareholders of the Company’s Class A and Class B Common Stock of $0.2025 per share payable on July 29, 2016, to shareholders of record at the close of business on July 8, 2016.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40% and 70%, respectively.</w:t>
      </w:r>
    </w:p>
    <w:p>
      <w:pPr>
        <w:spacing w:after="0" w:line="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and increased investment in digital capabilities.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targeting the following key initiatives in fiscal 2016:</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efficiency within our manufacturing facilities and throughout the organization to improve profitability.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Focusing on operational excellence and providing the Company's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innovation development process to deliver high-value, innovative products that align with the Company's target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Performing comprehensive product reviews to optimize the Company's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our digital presence with a heightened focus on mobile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through focused sales and marketing efforts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nine months ended April 30, 2016 and 2015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9"/>
          </w:tcPr>
          <w:p>
            <w:pPr>
              <w:ind w:left="360"/>
              <w:spacing w:after="0"/>
              <w:rPr>
                <w:sz w:val="20"/>
                <w:szCs w:val="20"/>
                <w:color w:val="auto"/>
              </w:rPr>
            </w:pPr>
            <w:r>
              <w:rPr>
                <w:rFonts w:ascii="Arial" w:cs="Arial" w:eastAsia="Arial" w:hAnsi="Arial"/>
                <w:sz w:val="16"/>
                <w:szCs w:val="16"/>
                <w:b w:val="1"/>
                <w:bCs w:val="1"/>
                <w:color w:val="auto"/>
              </w:rPr>
              <w:t>Three months ended April 30,</w:t>
            </w:r>
          </w:p>
        </w:tc>
        <w:tc>
          <w:tcPr>
            <w:tcW w:w="140" w:type="dxa"/>
            <w:vAlign w:val="bottom"/>
          </w:tcPr>
          <w:p>
            <w:pPr>
              <w:spacing w:after="0"/>
              <w:rPr>
                <w:sz w:val="18"/>
                <w:szCs w:val="18"/>
                <w:color w:val="auto"/>
              </w:rPr>
            </w:pPr>
          </w:p>
        </w:tc>
        <w:tc>
          <w:tcPr>
            <w:tcW w:w="2920" w:type="dxa"/>
            <w:vAlign w:val="bottom"/>
            <w:gridSpan w:val="8"/>
          </w:tcPr>
          <w:p>
            <w:pPr>
              <w:jc w:val="right"/>
              <w:ind w:right="43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2"/>
              </w:rPr>
              <w:t>% Sales</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286,816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290,227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838,519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883,095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145,443</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140,999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417,684</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429,363</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8,865</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8,928</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26,531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27,507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105,794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102,952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306,678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319,796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37"/>
        </w:trPr>
        <w:tc>
          <w:tcPr>
            <w:tcW w:w="298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4,834</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13,991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114,659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116,714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333,209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361,294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1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30,784</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24,285</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84,475</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68,069</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Sales for the three months ended April 30, 2016, decreased 1.2% to $286.8 million, compared to $290.2 million in the same period of the prior year, which consisted of an organic sales decline of 0.1% and a negative currency impact of 1.1% due to the strengthening of the U.S. Dollar against other major currencies when compared against the prior year. Organic sales declined 0.8% in the IDS segment and grew 1.2% in the WPS segment.</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for the nine months ended April 30, 2016, decreased 5.0% to $838.5 million, compared to $883.1 million in the same period of the prior year, which consisted of an organic sales decline of 0.7% and a negative currency impact of 4.3%. Organic sales declined 0.9% in the IDS segment and 0.2% in the WPS segment.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Gross margin as a percentage of sales continued its trend from the preceding quarters and increased to 50.7% for the three months ended April 30, 2016, compared to 48.6% in the same period of the prior year, and increased to 49.8% for the nine months ended April 30, 2016, from 48.6% in the same period of the prior year. The increase in gross profit margin was primarily due to an improvement in operational efficiencies in our recently consolidated facilities in the Americas and EMEA, as we incurred reduced supplies and labor costs compared to the same periods in the prior year.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R&amp;D expenses for the three months ended April 30, 2016 and 2015 were $8.9 million or 3.1% of sales. R&amp;D expenses decreased 3.6% to $26.5 million for the nine months ended April 30, 2016, compared to $27.5 million for the same period in the prior year. The decrease in R&amp;D expenses for the nine-month period was primarily due to efficiency gains within the R&amp;D function and the strengthening of the U.S. dollar, which were partially offset by an increase in our investment in new products within the IDS segment to drive top line growth. R&amp;D expenses as a percentage of sales for the nine months ended April 30, 2016 and 2015 were consistent at 3.2% and 3.1%, respectively.</w:t>
      </w:r>
    </w:p>
    <w:p>
      <w:pPr>
        <w:spacing w:after="0" w:line="18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SG&amp;A increased 2.8% to $105.8 million from $103.0 million for the three months ended April 30, 2016, compared to the same period in the prior year. During the three months ended April 30, 2015, the Company recognized a curtailment gain of $4.3 million due to the discontinuation of a postretirement medical plan. Excluding the curtailment gain recognized in the prior year, SG&amp;A expense would have been $107.3 million. As a percentage of sales, SG&amp;A was 36.9% for the three months ended April 30, 2016, compared to 35.5% for the same period in the prior year. Excluding the curtailment gain recognized in the prior year, SG&amp;A as a percentage of sales would have been 37.0%. The decrease in SG&amp;A excluding the curtailment gain from the prior period was due to efficiencies achieved in selling costs and reduced amortization expense.</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SG&amp;A decreased 4.1% to $306.7 million from $319.8 million for the nine months ended April 30, 2016, compared to the same period in the prior year. As a percentage of sales, SG&amp;A was 36.6% for the nine months ended April 30, 2016, compared to 36.2% for the same period in the prior year. Excluding the curtailment gain of $4.3 million recognized in the prior year, SG&amp;A as a percentage of sales would have been 36.7%. The decrease in SG&amp;A expense in the nine-month period is primarily due to the strengthening of the U.S. Dollar as well as efficiencies in selling costs, reduced amortization expenses and our continued efforts to control general and administrative costs.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fiscal 2014, the Company announced a restructuring plan to consolidate facilities in the Americas, Europe and Asia. The Company implemented this restructuring plan to enhance customer service, improve efficiency of operations and reduce operating expenses. Restructuring activities related to the facility consolidation plan were complete at the end of fiscal 2015. The Company expects to realize operational savings from these actions over the longer-term.</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No restructuring charges were incurred by the Company during the three and nine months ended April 30, 2016. Restructuring charges were $4.8 million and $14.0 million during the three and nine months ended April 30, 2015, respectively, which consisted primarily of employee separation costs, facility closure costs, and contract termination costs. Of the $4.8 million of restructuring charges recognized during the three-month period ended April 30, 2015, $3.5 million was incurred within the IDS segment and $1.3 million was incurred within the WPS segment. Of the $14.0 million of restructuring charges recognized during the nine-month period ended April 30, 2015, $9.9 million was incurred within IDS and $4.1 million was incurred within WPS.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income was $30.8 million for the three months ended April 30, 2016, and $84.5 million for the nine months ended April 30, 2016, compared to $24.3 million and $68.1 million, respectively, in the same periods of the prior year. Excluding restructuring charges of $4.8 million and $14.0 million from the same periods in the prior year, operating income was $29.1 million and $82.1 million for the three and nine months ended April 30, 2015, respectively. The increase in operating income in the current three and nine month periods was due to the improvement in gross profit margin primarily in the IDS segment as well as reduced SG&amp;A primarily in the WPS segment. The increase in the three and nine month periods was partially offset by the negative impact of currency fluctuations.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3360" w:type="dxa"/>
            <w:vAlign w:val="bottom"/>
            <w:gridSpan w:val="8"/>
          </w:tcPr>
          <w:p>
            <w:pPr>
              <w:ind w:left="600"/>
              <w:spacing w:after="0"/>
              <w:rPr>
                <w:sz w:val="20"/>
                <w:szCs w:val="20"/>
                <w:color w:val="auto"/>
              </w:rPr>
            </w:pPr>
            <w:r>
              <w:rPr>
                <w:rFonts w:ascii="Arial" w:cs="Arial" w:eastAsia="Arial" w:hAnsi="Arial"/>
                <w:sz w:val="16"/>
                <w:szCs w:val="16"/>
                <w:b w:val="1"/>
                <w:bCs w:val="1"/>
                <w:color w:val="auto"/>
              </w:rPr>
              <w:t>Three months ended April 30,</w:t>
            </w:r>
          </w:p>
        </w:tc>
        <w:tc>
          <w:tcPr>
            <w:tcW w:w="3260" w:type="dxa"/>
            <w:vAlign w:val="bottom"/>
            <w:gridSpan w:val="7"/>
          </w:tcPr>
          <w:p>
            <w:pPr>
              <w:jc w:val="right"/>
              <w:ind w:right="539"/>
              <w:spacing w:after="0"/>
              <w:rPr>
                <w:sz w:val="20"/>
                <w:szCs w:val="20"/>
                <w:color w:val="auto"/>
              </w:rPr>
            </w:pPr>
            <w:r>
              <w:rPr>
                <w:rFonts w:ascii="Arial" w:cs="Arial" w:eastAsia="Arial" w:hAnsi="Arial"/>
                <w:sz w:val="16"/>
                <w:szCs w:val="16"/>
                <w:b w:val="1"/>
                <w:bCs w:val="1"/>
                <w:color w:val="auto"/>
              </w:rPr>
              <w:t>Nine months ended April 30,</w:t>
            </w:r>
          </w:p>
        </w:tc>
      </w:tr>
      <w:tr>
        <w:trPr>
          <w:trHeight w:val="3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 Sales</w:t>
            </w:r>
          </w:p>
        </w:tc>
        <w:tc>
          <w:tcPr>
            <w:tcW w:w="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 Sales</w:t>
            </w: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$ 30,784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$ 24,285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$ 84,475</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$ 68,069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2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25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5"/>
              </w:rPr>
              <w:t>Investment and other (expense)</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25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(6,119)</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(8,394)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income tax</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29,667</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22,216</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77,326</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60,643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6.9 %</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8,686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22,352</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16,347</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$ 20,981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$ 17,213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$ 54,974</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$ 44,296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20"/>
        </w:trPr>
        <w:tc>
          <w:tcPr>
            <w:tcW w:w="2580" w:type="dxa"/>
            <w:vAlign w:val="bottom"/>
          </w:tcPr>
          <w:p>
            <w:pPr>
              <w:ind w:left="40"/>
              <w:spacing w:after="0"/>
              <w:rPr>
                <w:sz w:val="20"/>
                <w:szCs w:val="20"/>
                <w:color w:val="auto"/>
              </w:rPr>
            </w:pPr>
            <w:r>
              <w:rPr>
                <w:rFonts w:ascii="Arial" w:cs="Arial" w:eastAsia="Arial" w:hAnsi="Arial"/>
                <w:sz w:val="16"/>
                <w:szCs w:val="16"/>
                <w:color w:val="auto"/>
                <w:w w:val="91"/>
              </w:rPr>
              <w:t>Loss from discontinued operations, net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2580" w:type="dxa"/>
            <w:vAlign w:val="bottom"/>
          </w:tcPr>
          <w:p>
            <w:pPr>
              <w:ind w:left="40"/>
              <w:spacing w:after="0"/>
              <w:rPr>
                <w:sz w:val="20"/>
                <w:szCs w:val="20"/>
                <w:color w:val="auto"/>
              </w:rPr>
            </w:pPr>
            <w:r>
              <w:rPr>
                <w:rFonts w:ascii="Arial" w:cs="Arial" w:eastAsia="Arial" w:hAnsi="Arial"/>
                <w:sz w:val="16"/>
                <w:szCs w:val="16"/>
                <w:color w:val="auto"/>
              </w:rPr>
              <w:t>of income taxes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00"/>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$ 20,981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$ 17,213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$ 54,974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$ 42,381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0"/>
        </w:trPr>
        <w:tc>
          <w:tcPr>
            <w:tcW w:w="2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income was $0.7 million for the three months, and expense of $1.0 million for the nine months ended April 30, 2016, compared to other income of $0.4 million and $1.0 million, respectively, in the same periods of the prior year. The change during the three-month period was primarily due to foreign currency gains and increased interest income. The change during the nine-month period was primarily due to foreign currency losses and a decline in market value of securities held in executive deferred compensation plans.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$1.8 million from $2.5 million for the three months, and decreased to $6.1 million from $8.4 million for the nine months ended April 30, 2016, compared to the same periods in the prior year. For both the three and nine month periods, the decrease was due to the Company’s declining total debt balance and a reduction in the weighted average interest rate.</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income tax rate on continuing operations was 29.3% for the three months and 28.9% for the nine months ended April 30, 2016, compared to 22.5% and 27.0% for the same periods of the prior year. The increase to the income tax rates for the three and nine month periods was due to fluctuations in geographic profit mix and adjustments to tax accruals and reserves. The tax rate for both the three and nine month periods are consistent with the Company's anticipated annual income tax rate, which is expected to be in the upper 20% range for fiscal year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organized and managed on a global basis within two business platforms: ID Solutions and Workplace Safety. The segment results have been adjusted to reflect continuing operations in all periods presented.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w w:val="95"/>
              </w:rPr>
              <w:t>Nine months ended April 30,</w:t>
            </w:r>
          </w:p>
        </w:tc>
      </w:tr>
      <w:tr>
        <w:trPr>
          <w:trHeight w:val="3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196,953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200,786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578,160</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604,948</w:t>
            </w: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89,863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89,441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260,359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278,147</w:t>
            </w: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286,816</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290,227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838,519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883,095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48985"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Workplace Safety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120,800</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13,759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12,292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43,818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40,607</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53,906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167,269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161,407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segment profit to earnings from continuing operations before income taxes for the three and nine months ended April 30, 2016 and 2015:</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8"/>
                <w:szCs w:val="18"/>
                <w:color w:val="auto"/>
              </w:rPr>
            </w:pPr>
          </w:p>
        </w:tc>
        <w:tc>
          <w:tcPr>
            <w:tcW w:w="23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5"/>
              </w:rPr>
              <w:t>Nine months ended April 30,</w:t>
            </w:r>
          </w:p>
        </w:tc>
      </w:tr>
      <w:tr>
        <w:trPr>
          <w:trHeight w:val="3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167,269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161,407</w:t>
            </w:r>
          </w:p>
        </w:tc>
      </w:tr>
      <w:tr>
        <w:trPr>
          <w:trHeight w:val="224"/>
        </w:trPr>
        <w:tc>
          <w:tcPr>
            <w:tcW w:w="40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(79,347)</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(13,991)</w:t>
            </w: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(8,394)</w:t>
            </w:r>
          </w:p>
        </w:tc>
      </w:tr>
      <w:tr>
        <w:trPr>
          <w:trHeight w:val="3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60,643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70% of net sales in the IDS segment were generated in the Americas region, 20% in Europe and 10% in Asia. IDS sales decreased 1.9% to $197.0 million for the three months ended April 30, 2016, compared to $200.8 million for the same period in the prior year, which consisted of a decline in organic sales of 0.8% and a negative currency impact of 1.1%. IDS sales decreased 4.4% to $578.2 million for the nine months ended April 30, 2016, compared to $604.9 million for the same period in the prior year. Organic sales declined 0.9% and currency fluctuations decreased sales by 3.5% during the nine months ended April 30, 2016.</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Organic sales in the Americas declined in the low-single digits for both the three and nine months ended April 30, 2016, compared to the same periods in the prior year. The decline in sales for both the three and nine month periods was primarily due to a slowdown in order patterns with certain of our customers in the United States and Canada which is reflective of a general slowdown in the industrial sector. In addition, we realized double-digit declines in OEM sales in Brazil for both the three and nine month periods due to weak economic conditions and increased competitive pressure.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IDS business in Europe realized low-single digit organic sales growth for both the three and nine months ended April 30, 2016, compared to the same periods in the prior year. The increase for both the three and nine month periods was primarily driven by our core IDS businesses in Western and Central Europe where we have increased our salesforce and expanded in focused geographies and accounts.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Asia declined in the mid-single digits for the three and nine months ended April 30, 2016, compared to the same periods in the prior year. The decline in sales for both the three and nine month periods was primarily due to reduced demand in the electronics industry in China as well as other regions within Asia, which we are addressing through focused additions to our sales organization within the region.</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Segment profit increased to $46.4 million from $41.6 million for the three months, and increased to $123.5 million from $120.8 million for the nine months ended April 30, 2016, compared to the same periods in the prior year. As a percentage of sales, segment profit increased to 23.6% from 20.7% for the three months, and increased to 21.4% from 20.0% for the nine months ended April 30, 2016, compared to the same periods of the prior year. The increases in segment profit were primarily driven by an improvement in operational efficiencies in our manufacturing processes in the Americas and Europe.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Approximately 50% of net sales in the WPS segment were generated in Europe, 35% in the Americas and 15% in Australia. WPS sales increased 0.5% to $89.9 million for the three months ended April 30, 2016, compared to $89.4 million for the same period in the prior year, which consisted of organic sales growth of 1.2%, and a negative currency impact of 0.7%. WPS sales decreased 6.4% to $260.4 million for the nine months ended April 30, 2016, compared to $278.1 million for the same period in the prior year. Organic sales declined 0.2% and currency fluctuations decreased sales by 6.2% during the nine months ended April 30, 2016. Since half of the WPS business is in Europe, the strengthening of the U.S. dollar against the Euro had a larger impact on the WPS segment than it did on the IDS segment during the nine months ended April 30, 2016.</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WPS business in Europe realized mid-single digit organic sales growth for the three months ended April 30, 2016, compared to the same period in the prior year. Organic sales grew in the low-single digits for the nine months ended April 30, 2016, compared to the same period in the prior year. The increase for both the three and nine month periods was primarily driven by Germany, France, and Belgium due to improvements in website functionality and key account management. Both traditional catalog and digital sales increased, with digital sales improving by double-digits in both the three and nine months ended April 30, 2016, as compared to the same periods in the prior year.</w:t>
      </w:r>
    </w:p>
    <w:p>
      <w:pPr>
        <w:spacing w:after="0" w:line="2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Americas declined in the low-single digits for the three and nine months ended April 30, 2016, compared to the same periods in the prior year. This decrease was primarily in North America due to reduced demand in the industrial end markets and a decrease in sales through traditional catalog channels. The decrease was partially offset by high single-digit growth in digital sales for the three months ended April 30, 2016, compared to the same period in the prior year.</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realized a low-single digit decline for the three months and a mid-single digit decline for the nine months ended April 30, 2016, compared to the same periods in the prior year. The decrease in the Australian business was due to its higher concentration in industries that are experiencing economic challenges which include manufacturing and mining production. We continue to focus on enhancing our expertise in these industries to drive sales growth as well as addressing our cost structure to improve profitability.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Segment profit increased to $13.8 million from $12.3 million for the three months, and increased to $43.8 million from $40.6 million for the nine months ended April 30, 2016, compared to the same periods in the prior year. As a percentage of sales, segment profit increased to 15.3% from 13.7% for the three months, and increased to 16.8% from 14.6% for the nine months ended April 30, 2016, compared to the same periods in the prior year. The increase in segment profit margin in both the three and nine month periods was mainly driven by a reduction in selling expenses and catalog advertising.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increased by $27.1 million and $18.6 million during the nine months ended April 30, 2016 and 2015, respectively.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7"/>
              </w:rPr>
              <w:t>Nine months ended April 30,</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33"/>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98,550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52,740</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(13,507)</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(10,829)</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(9,770)</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27,104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18,634</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cash provided by operating activities increased to $98.6 million for the nine months ended April 30, 2016, compared to $52.7 million in the same period of the prior year. The increase in cash provided by operating activities of $45.8 million was primarily due to an improvement in working capital of $30.4 million. Inventory was reduced from elevated levels in the prior year due to the facility consolidation, which generated $12.9 million in cash from operations in the current nine-month period. Accounts payable and other liabilities increased by $11.8 million in the current nine-month period due to higher accrued incentive compensation, which was partially offset by a decrease in accounts payable in the Americas and APAC regions compared to the prior nine-month period. The remainder of the increase in net cash provided by operating activities was primarily due to an increase in net earnings.</w:t>
      </w:r>
    </w:p>
    <w:p>
      <w:pPr>
        <w:spacing w:after="0" w:line="16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cash used in investing activities was $5.5 million for the nine months ended April 30, 2016, compared to $13.5 million in the same period of the prior year. The decrease in cash used in investing activities was due primarily to a decrease in capital expenditures of $16.1 million due to the completion of facility consolidation activities, partially offset by $6.1 million of cash received from the Die-Cut divestiture during the nine months ended April 30, 2015.</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financing activities was $69.2 million during the nine months ended April 30, 2016, compared to net cash used in financing activities of $10.8 million in the same period of the prior year. The increase in cash used in financing activities was primarily due to $23.6 million in share repurchases and $28.8 million in net borrowings on the revolving loan agreements during the nine months ended April 30, 2016, compared to $64.6 million in net borrowings on the revolving loan agreements in the same period of the prior year. The Company paid dividends of $30.6 million in both the nine months ended April 30, 2016 and 2015.</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Currency had a positive impact on cash of $3.3 million during the nine months ended April 30, 2016, due to the weakening of the U.S. Dollar against certain other major currencies.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fiscal 2007, the Company completed a private placement note issuance totaling $150 million in ten-year fixed rate notes to institutional investors at an interest rate of 5.33%. The notes must be repaid equally over seven years, with the final payments due in 2017, with interest payable on the notes due semiannually on various dates throughout the year. The notes have certain prepayment penalties for repaying them prior to the maturity date.</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The notes have certain prepayment penalties for repaying them prior to maturity.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25, 2015, the Company and certain of its subsidiaries entered into an unsecured $300 million multi-currency revolving loan agreement with a group of six banks that replaced and terminated the Company’s previous loan agreement that had been entered into on February 1, 2012. Under the new revolving loan agreement, which has a final maturity date of September 25, 2020, the Company has the option to select either a base interest rate (based upon the higher of the federal funds rate plus one-half of 1%, the prime rate of Bank of America plus a margin based on the Company’s consolidated leverage ratio, or the one-month LIBOR rate plus 1%) or a Eurocurrency interest rate (at the LIBOR rate plus a margin based on the Company’s consolidated leverage ratio). At the Company's option, and subject to certain conditions, the available amount under the revolving loan agreement may be increased from $300 million to $450 million. During the nine months ended April 30, 2016, the Company drew down an additional $33.0 million in order to fund general corporate needs. As of April 30, 2016, the outstanding balance on the credit facility was $135.0 million, which was also the maximum amount outstanding during the nine months ended April 30, 2016. The Company also had letters of credit outstanding under the loan agreement of $4.0 million as of April 30, 2016, and there was $161.0 million available for future borrowing, which can be increased to $311.0 million at the Company's option, subject to certain conditions.</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fiscal 2015, the Company entered into two unsecured $10.0 million multi-currency lines of credit in China. These lines of credit support USD-denominated or CNY-denominated borrowing to fund working capital and operations for the Company's Chinese entities and are due on demand. The borrowings under these facilities may be made for a period of up to one year with interest incurred equal to U.S. dollar LIBOR on the date of borrowing plus a margin based upon duration. The facilities are subject to periodic review and repricing. The Company is not required to comply with any financial covenants as part of this agreement. During the nine months ended April 30, 2016, the Company repaid $4.2 million of these borrowings. As of April 30, 2016, the aggregate outstanding balance was $6.2 million and there was $13.8 million available for future borrowing under these credit facilities. The maximum amount outstanding on these lines was $10.4 million during the nine months ended April 30, 2016.</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12 months EBITDA, as defined in the debt agreements, of not more than a 3.25 to 1.0 ratio (leverage ratio) and the trailing 12 months EBITDA to interest expense of not less than a 3.0 to 1.0 ratio (interest expense coverage). As of April 30, 2016, the Company was in compliance with these financial covenants, with the ratio of debt to EBITDA, as defined by the agreements, equal to 1.8 to 1.0 and the interest expense coverage ratio equal to 16.1 to 1.0.</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April 30, 2016, approximately 99%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12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May 18, 2016, the Board of Directors declared a quarterly cash dividend to shareholders of the Company’s Class A and Class B Common Stock of $0.2025 per share payable on July 29, 2016, to shareholders of record at the close of business on July 8,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technologically advanced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Brady's information technology systems;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restructuring plans and maintaining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ownership structure;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in our level of debt;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21, 2015.</w:t>
      </w:r>
    </w:p>
    <w:p>
      <w:pPr>
        <w:spacing w:after="0" w:line="1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2015. There has been no material change in this information since July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and Chief Executive Officer and Senior Vice President and Chief Financial Officer concluded that the Company’s disclosure controls and procedures are effective as of the end of the period covered by this report.</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1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of January 31, 2016, the Company had a share repurchase program with 1,661,421 shares of the Company's Class A Nonvoting Common Stock remaining to be purchased. On February 16, 2016, the Company's Board of Directors authorized an increase in the Company's share repurchase program to two million shares of the Company's Class A Common Stock available for repurchase as of that date, inclusive of the shares in the existing share buyback program. During the three months ended April 30, 2016, the Company purchased 7,418 shares of its Class A Nonvoting Common Stock under its share repurchase plan for $0.2 million. As of April 30, 2016, there remained 2,000,000 shares to purchase in connection with this plan.</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April 30,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of Shares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 As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Shares That</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Part of</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 Number</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Publicly</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Announced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Under the</w:t>
            </w:r>
          </w:p>
        </w:tc>
      </w:tr>
      <w:tr>
        <w:trPr>
          <w:trHeight w:val="210"/>
        </w:trPr>
        <w:tc>
          <w:tcPr>
            <w:tcW w:w="65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Purchased</w:t>
            </w: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Plans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Plans</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1, 2016 - February 29, 2016</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2,000,000</w:t>
            </w: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March 1, 2016 - March 31, 2016</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2,000,000</w:t>
            </w: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1, 2016 - April 30, 2016</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2,000,000</w:t>
            </w:r>
          </w:p>
        </w:tc>
      </w:tr>
      <w:tr>
        <w:trPr>
          <w:trHeight w:val="244"/>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7,418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7,418</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2,000,000</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Restricted Stock Unit Agreement, dated as of February 17, 2016, with Harold L. Sirkin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Restricted Stock Unit Agreement, dated as of February 17, 2016, with Harold L. Sirkin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8"/>
          <w:szCs w:val="18"/>
          <w:color w:val="auto"/>
        </w:rPr>
        <w:t>Date: May 19, 2016</w:t>
      </w:r>
      <w:r>
        <w:rPr>
          <w:sz w:val="20"/>
          <w:szCs w:val="20"/>
          <w:color w:val="auto"/>
        </w:rPr>
        <w:tab/>
      </w:r>
      <w:r>
        <w:rPr>
          <w:rFonts w:ascii="Arial" w:cs="Arial" w:eastAsia="Arial" w:hAnsi="Arial"/>
          <w:sz w:val="17"/>
          <w:szCs w:val="17"/>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31750</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8"/>
          <w:szCs w:val="18"/>
          <w:color w:val="auto"/>
        </w:rPr>
        <w:t>Date: May 19, 2016</w:t>
      </w:r>
      <w:r>
        <w:rPr>
          <w:sz w:val="20"/>
          <w:szCs w:val="20"/>
          <w:color w:val="auto"/>
        </w:rPr>
        <w:tab/>
      </w: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31750</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Senior Vice President, Chief Financial Officer and</w:t>
      </w:r>
    </w:p>
    <w:p>
      <w:pPr>
        <w:spacing w:after="0" w:line="3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RESTRICTED STOCK UNIT AGREEMENT</w:t>
      </w:r>
    </w:p>
    <w:p>
      <w:pPr>
        <w:spacing w:after="0" w:line="211"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This Amended and Restated Director Restricted Stock Unit Agreement (the “Agreement”) is entered into as of February 17, 2016. This Agreement amends and restates in its entirety the Director Restricted Stock Unit Agreement dated as of March 3, 2015 between Harold L. Sirkin (hereinafter called the “Director”) and Brady Corporation (the “Corporation”), pursuant to which the Corporation granted the Director a restricted stock unit award pursuant to the terms of the Corporation’s 2012 Omnibus Incentive Stock Plan (the “Plan”).</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grant date of the restricted stock unit award remains March 3, 2015. The Corporation’s records shall be the official record of the grant described herein and, in the event of any conflict between this description and the Corporation’s records, the Corporation’s records shall control.</w:t>
      </w:r>
    </w:p>
    <w:p>
      <w:pPr>
        <w:spacing w:after="0" w:line="14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7" w:lineRule="exact"/>
        <w:rPr>
          <w:rFonts w:ascii="Arial" w:cs="Arial" w:eastAsia="Arial" w:hAnsi="Arial"/>
          <w:sz w:val="18"/>
          <w:szCs w:val="18"/>
          <w:color w:val="auto"/>
        </w:rPr>
      </w:pPr>
    </w:p>
    <w:p>
      <w:pPr>
        <w:ind w:left="660" w:right="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Restricted Stock Unit Award applies to 1,450 shares of the presently authorized Class A Nonvoting Common Stock of the Corporation, $.01 par value (the “Restricted Stock Units”). </w:t>
      </w:r>
      <w:r>
        <w:rPr>
          <w:rFonts w:ascii="Arial" w:cs="Arial" w:eastAsia="Arial" w:hAnsi="Arial"/>
          <w:sz w:val="18"/>
          <w:szCs w:val="18"/>
          <w:color w:val="333300"/>
        </w:rPr>
        <w:t>The Restricted Stock Units granted under this Agreement are units that will be reflected in a book account</w:t>
      </w:r>
      <w:r>
        <w:rPr>
          <w:rFonts w:ascii="Arial" w:cs="Arial" w:eastAsia="Arial" w:hAnsi="Arial"/>
          <w:sz w:val="18"/>
          <w:szCs w:val="18"/>
          <w:color w:val="auto"/>
        </w:rPr>
        <w:t xml:space="preserve"> </w:t>
      </w:r>
      <w:r>
        <w:rPr>
          <w:rFonts w:ascii="Arial" w:cs="Arial" w:eastAsia="Arial" w:hAnsi="Arial"/>
          <w:sz w:val="18"/>
          <w:szCs w:val="18"/>
          <w:color w:val="333300"/>
        </w:rPr>
        <w:t>maintained by the Corporation until they become vested or have been forfeited.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7" w:lineRule="exact"/>
        <w:rPr>
          <w:rFonts w:ascii="Arial" w:cs="Arial" w:eastAsia="Arial" w:hAnsi="Arial"/>
          <w:sz w:val="18"/>
          <w:szCs w:val="18"/>
          <w:color w:val="auto"/>
        </w:rPr>
      </w:pPr>
    </w:p>
    <w:p>
      <w:pPr>
        <w:ind w:left="660" w:right="80"/>
        <w:spacing w:after="0" w:line="261"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83" w:lineRule="exact"/>
        <w:rPr>
          <w:rFonts w:ascii="Arial" w:cs="Arial" w:eastAsia="Arial" w:hAnsi="Arial"/>
          <w:sz w:val="18"/>
          <w:szCs w:val="18"/>
          <w:color w:val="auto"/>
        </w:rPr>
      </w:pPr>
    </w:p>
    <w:p>
      <w:pPr>
        <w:ind w:left="1300" w:right="140" w:hanging="644"/>
        <w:spacing w:after="0" w:line="25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the Director must continuously serve as a member of the Board of Directors of the Corporation through February 28, 2017.</w:t>
      </w:r>
    </w:p>
    <w:p>
      <w:pPr>
        <w:spacing w:after="0" w:line="1" w:lineRule="exact"/>
        <w:rPr>
          <w:rFonts w:ascii="Arial" w:cs="Arial" w:eastAsia="Arial" w:hAnsi="Arial"/>
          <w:sz w:val="18"/>
          <w:szCs w:val="18"/>
          <w:color w:val="auto"/>
        </w:rPr>
      </w:pPr>
    </w:p>
    <w:p>
      <w:pPr>
        <w:ind w:left="1300" w:right="120" w:hanging="644"/>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 Except as provided in Section 3, if the Director's service as a member of the Board of Directors of the Corporation terminates prior to the satisfaction of the vesting requirement set forth in Section 2(a) above, any unvested Restricted Stock Units shall immediately be forfeited. The period of time during which the Restricted Stock Units covered by this Award are forfeitable is referred to as the “Restricted Period.”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the Director's service as a member of the Board of Directors of the Corporation is terminated prior to the end of the Restricted Period due to death or Disability, the Restricted Stock Units shall become fully vested. 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2" w:lineRule="exact"/>
        <w:rPr>
          <w:rFonts w:ascii="Arial" w:cs="Arial" w:eastAsia="Arial" w:hAnsi="Arial"/>
          <w:sz w:val="18"/>
          <w:szCs w:val="18"/>
          <w:color w:val="auto"/>
        </w:rPr>
      </w:pPr>
    </w:p>
    <w:p>
      <w:pPr>
        <w:ind w:left="1300" w:right="160" w:hanging="644"/>
        <w:spacing w:after="0" w:line="25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the event the Director's service as a member of the Board of Directors of the Corporation is terminated prior to the end of the Restricted Period due to a Change in Control, the Restricted Stock Units shall become unrestricted and fully vested.</w:t>
      </w:r>
    </w:p>
    <w:p>
      <w:pPr>
        <w:spacing w:after="0" w:line="1"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55"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the Director's service as a member of the Board of Directors is involuntarily terminated (other than by reason of death or Disability).</w:t>
      </w:r>
    </w:p>
    <w:p>
      <w:pPr>
        <w:spacing w:after="0" w:line="181" w:lineRule="exact"/>
        <w:rPr>
          <w:sz w:val="20"/>
          <w:szCs w:val="20"/>
          <w:color w:val="auto"/>
        </w:rPr>
      </w:pPr>
    </w:p>
    <w:p>
      <w:pPr>
        <w:ind w:left="1300" w:right="120" w:hanging="644"/>
        <w:spacing w:after="0" w:line="25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2" w:lineRule="exact"/>
        <w:rPr>
          <w:rFonts w:ascii="Arial" w:cs="Arial" w:eastAsia="Arial" w:hAnsi="Arial"/>
          <w:sz w:val="18"/>
          <w:szCs w:val="18"/>
          <w:color w:val="auto"/>
        </w:rPr>
      </w:pPr>
    </w:p>
    <w:p>
      <w:pPr>
        <w:ind w:left="1300" w:right="580" w:hanging="644"/>
        <w:spacing w:after="0" w:line="261"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Director as a result of Section 280G of the Code, the Corporation shall pay the Director an amount equal to such excise tax.</w:t>
      </w:r>
    </w:p>
    <w:p>
      <w:pPr>
        <w:sectPr>
          <w:pgSz w:w="11900" w:h="16838" w:orient="portrait"/>
          <w:cols w:equalWidth="0" w:num="1">
            <w:col w:w="11420"/>
          </w:cols>
          <w:pgMar w:left="240" w:top="580" w:right="239" w:bottom="1440" w:gutter="0" w:footer="0" w:header="0"/>
        </w:sectPr>
      </w:pPr>
    </w:p>
    <w:bookmarkStart w:id="30" w:name="page31"/>
    <w:bookmarkEnd w:id="30"/>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7" w:lineRule="exact"/>
        <w:rPr>
          <w:rFonts w:ascii="Arial" w:cs="Arial" w:eastAsia="Arial" w:hAnsi="Arial"/>
          <w:sz w:val="18"/>
          <w:szCs w:val="18"/>
          <w:color w:val="auto"/>
        </w:rPr>
      </w:pPr>
    </w:p>
    <w:p>
      <w:pPr>
        <w:ind w:left="652" w:right="60"/>
        <w:spacing w:after="0" w:line="290"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Director one share of the Corporation's Class A Nonvoting Common Stock, $.01 par value ("Corporation Stock") for each Restricted Stock Unit which becomes vested.</w:t>
      </w:r>
    </w:p>
    <w:p>
      <w:pPr>
        <w:spacing w:after="0" w:line="157"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7" w:lineRule="exact"/>
        <w:rPr>
          <w:rFonts w:ascii="Arial" w:cs="Arial" w:eastAsia="Arial" w:hAnsi="Arial"/>
          <w:sz w:val="18"/>
          <w:szCs w:val="18"/>
          <w:color w:val="auto"/>
        </w:rPr>
      </w:pPr>
    </w:p>
    <w:p>
      <w:pPr>
        <w:ind w:left="652" w:right="180"/>
        <w:spacing w:after="0" w:line="255"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7" w:lineRule="exact"/>
        <w:rPr>
          <w:rFonts w:ascii="Arial" w:cs="Arial" w:eastAsia="Arial" w:hAnsi="Arial"/>
          <w:sz w:val="18"/>
          <w:szCs w:val="18"/>
          <w:color w:val="auto"/>
        </w:rPr>
      </w:pPr>
    </w:p>
    <w:p>
      <w:pPr>
        <w:ind w:left="652" w:right="60"/>
        <w:spacing w:after="0" w:line="252"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Directors, in satisfaction of all withholding taxes (including, without limitation, Federal income, FICA (Social Security and Medicare) and any state and local income taxes) payable as a result of such vesting, may elect, subject to such rules and regulations as the Corporation may adopt from time to time, to have the Corporation withhold that number of shares of Corporation Stock (valued at Fair Market Value on the date of vesting and rounded upward) required to settle such withholding taxes.</w:t>
      </w:r>
    </w:p>
    <w:p>
      <w:pPr>
        <w:spacing w:after="0" w:line="189"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Director</w:t>
      </w:r>
    </w:p>
    <w:p>
      <w:pPr>
        <w:spacing w:after="0" w:line="27" w:lineRule="exact"/>
        <w:rPr>
          <w:rFonts w:ascii="Arial" w:cs="Arial" w:eastAsia="Arial" w:hAnsi="Arial"/>
          <w:sz w:val="18"/>
          <w:szCs w:val="18"/>
          <w:color w:val="auto"/>
        </w:rPr>
      </w:pPr>
    </w:p>
    <w:p>
      <w:pPr>
        <w:ind w:left="652" w:right="140"/>
        <w:spacing w:after="0" w:line="255"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Director, the shares of Corporation Stock shall be issued and paid to the estate of the Director unless the Corporation shall have theretofore received in writing a beneficiary designation, in which event they shall be issued and paid to the designated beneficiary.</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7" w:lineRule="exact"/>
        <w:rPr>
          <w:rFonts w:ascii="Arial" w:cs="Arial" w:eastAsia="Arial" w:hAnsi="Arial"/>
          <w:sz w:val="18"/>
          <w:szCs w:val="18"/>
          <w:color w:val="auto"/>
        </w:rPr>
      </w:pPr>
    </w:p>
    <w:p>
      <w:pPr>
        <w:ind w:left="652" w:right="240"/>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7" w:lineRule="exact"/>
        <w:rPr>
          <w:rFonts w:ascii="Arial" w:cs="Arial" w:eastAsia="Arial" w:hAnsi="Arial"/>
          <w:sz w:val="18"/>
          <w:szCs w:val="18"/>
          <w:color w:val="auto"/>
        </w:rPr>
      </w:pPr>
    </w:p>
    <w:p>
      <w:pPr>
        <w:ind w:left="652" w:right="80"/>
        <w:spacing w:after="0" w:line="277"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9"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7" w:lineRule="exact"/>
        <w:rPr>
          <w:rFonts w:ascii="Arial" w:cs="Arial" w:eastAsia="Arial" w:hAnsi="Arial"/>
          <w:sz w:val="18"/>
          <w:szCs w:val="18"/>
          <w:color w:val="auto"/>
        </w:rPr>
      </w:pPr>
    </w:p>
    <w:p>
      <w:pPr>
        <w:ind w:left="652"/>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Corporation to modify the terms of an Award grant and has done so herein. Terms defined in the Plan where used herein shall have the meanings as so defined. The Director acknowledges receipt of a copy of the Plan.</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7" w:lineRule="exact"/>
        <w:rPr>
          <w:rFonts w:ascii="Arial" w:cs="Arial" w:eastAsia="Arial" w:hAnsi="Arial"/>
          <w:sz w:val="18"/>
          <w:szCs w:val="18"/>
          <w:color w:val="auto"/>
        </w:rPr>
      </w:pPr>
    </w:p>
    <w:p>
      <w:pPr>
        <w:ind w:left="652" w:right="120"/>
        <w:spacing w:after="0" w:line="255"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ectPr>
          <w:pgSz w:w="11900" w:h="16838" w:orient="portrait"/>
          <w:cols w:equalWidth="0" w:num="1">
            <w:col w:w="11372"/>
          </w:cols>
          <w:pgMar w:left="248" w:top="580" w:right="27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IN WITNESS WHEREOF, the parties have executed this Agreement as of the date first above written.</w:t>
      </w:r>
    </w:p>
    <w:p>
      <w:pPr>
        <w:sectPr>
          <w:pgSz w:w="11900" w:h="16838" w:orient="portrait"/>
          <w:cols w:equalWidth="0" w:num="1">
            <w:col w:w="9559"/>
          </w:cols>
          <w:pgMar w:left="900" w:top="1016" w:right="1440" w:bottom="1440" w:gutter="0" w:footer="0" w:header="0"/>
        </w:sectPr>
      </w:pPr>
    </w:p>
    <w:p>
      <w:pPr>
        <w:spacing w:after="0" w:line="24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-10160</wp:posOffset>
            </wp:positionV>
            <wp:extent cx="1444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4625"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DIRECTOR:</w:t>
      </w:r>
    </w:p>
    <w:p>
      <w:pPr>
        <w:spacing w:after="0" w:line="200" w:lineRule="exact"/>
        <w:rPr>
          <w:sz w:val="20"/>
          <w:szCs w:val="20"/>
          <w:color w:val="auto"/>
        </w:rPr>
      </w:pPr>
    </w:p>
    <w:p>
      <w:pPr>
        <w:spacing w:after="0" w:line="35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HAROLD L. SIRKIN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Print Name: Harold L. Sirkin</w:t>
      </w:r>
    </w:p>
    <w:p>
      <w:pPr>
        <w:sectPr>
          <w:pgSz w:w="11900" w:h="16838" w:orient="portrait"/>
          <w:cols w:equalWidth="0" w:num="1">
            <w:col w:w="9559"/>
          </w:cols>
          <w:pgMar w:left="900" w:top="1016" w:right="1440"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RESTRICTED STOCK UNIT AGREEMENT</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Amended and Restated Director Restricted Stock Unit Agreement (the “Agreement”) is entered into as of February 17, 2016. This Agreement amends and restates in its entirety the Director Restricted Stock Unit Agreement dated as of September 25, 2015 between Harold L. Sirkin (hereinafter called the “Director”) and Brady Corporation (the “Corporation”), pursuant to which the Corporation granted the Director a restricted stock unit award pursuant to the terms of the Corporation’s 2012 Omnibus Incentive Stock Plan (the “Plan”).</w:t>
      </w:r>
    </w:p>
    <w:p>
      <w:pPr>
        <w:spacing w:after="0" w:line="187"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grant date of the restricted stock unit award remains September 25, 2015. The Corporation’s records shall be the official record of the grant described herein and, in the event of any conflict between this description and the Corporation’s records, the Corporation’s records shall control.</w:t>
      </w:r>
    </w:p>
    <w:p>
      <w:pPr>
        <w:spacing w:after="0" w:line="12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7" w:lineRule="exact"/>
        <w:rPr>
          <w:rFonts w:ascii="Arial" w:cs="Arial" w:eastAsia="Arial" w:hAnsi="Arial"/>
          <w:sz w:val="18"/>
          <w:szCs w:val="18"/>
          <w:color w:val="auto"/>
        </w:rPr>
      </w:pPr>
    </w:p>
    <w:p>
      <w:pPr>
        <w:ind w:left="660" w:right="20"/>
        <w:spacing w:after="0" w:line="255" w:lineRule="auto"/>
        <w:rPr>
          <w:rFonts w:ascii="Arial" w:cs="Arial" w:eastAsia="Arial" w:hAnsi="Arial"/>
          <w:sz w:val="18"/>
          <w:szCs w:val="18"/>
          <w:color w:val="auto"/>
        </w:rPr>
      </w:pPr>
      <w:r>
        <w:rPr>
          <w:rFonts w:ascii="Arial" w:cs="Arial" w:eastAsia="Arial" w:hAnsi="Arial"/>
          <w:sz w:val="18"/>
          <w:szCs w:val="18"/>
          <w:color w:val="auto"/>
        </w:rPr>
        <w:t>This Restricted Stock Unit Award applies to 4,159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7" w:lineRule="exact"/>
        <w:rPr>
          <w:rFonts w:ascii="Arial" w:cs="Arial" w:eastAsia="Arial" w:hAnsi="Arial"/>
          <w:sz w:val="18"/>
          <w:szCs w:val="18"/>
          <w:color w:val="auto"/>
        </w:rPr>
      </w:pPr>
    </w:p>
    <w:p>
      <w:pPr>
        <w:ind w:left="660" w:right="80"/>
        <w:spacing w:after="0" w:line="261"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83" w:lineRule="exact"/>
        <w:rPr>
          <w:rFonts w:ascii="Arial" w:cs="Arial" w:eastAsia="Arial" w:hAnsi="Arial"/>
          <w:sz w:val="18"/>
          <w:szCs w:val="18"/>
          <w:color w:val="auto"/>
        </w:rPr>
      </w:pPr>
    </w:p>
    <w:p>
      <w:pPr>
        <w:ind w:left="1300" w:right="140" w:hanging="644"/>
        <w:spacing w:after="0" w:line="258"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the Director must continuously serve as a member of the Board of Directors of the Corporation through February 28, 2017.</w:t>
      </w:r>
    </w:p>
    <w:p>
      <w:pPr>
        <w:spacing w:after="0" w:line="1" w:lineRule="exact"/>
        <w:rPr>
          <w:rFonts w:ascii="Arial" w:cs="Arial" w:eastAsia="Arial" w:hAnsi="Arial"/>
          <w:sz w:val="18"/>
          <w:szCs w:val="18"/>
          <w:color w:val="auto"/>
        </w:rPr>
      </w:pPr>
    </w:p>
    <w:p>
      <w:pPr>
        <w:ind w:left="1300" w:right="120" w:hanging="644"/>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 Except as provided in Section 3, if the Director's service as a member of the Board of Directors of the Corporation terminates prior to the satisfaction of the vesting requirement set forth in Section 2(a) above, any unvested Restricted Stock Units shall immediately be forfeited. The period of time during which the Restricted Stock Units covered by this Award are forfeitable is referred to as the “Restricted Period.”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the Director's service as a member of the Board of Directors of the Corporation is terminated prior to the end of the Restricted Period due to death or Disability, the Restricted Stock Units shall become fully vested. 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2"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In the event the Director's service as a member of the Board of Directors of the Corporation is terminated prior to the end of the Restricted</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Period due to a Change in Control, the Restricted Stock Units shall become unrestricted and fully vested.</w:t>
      </w:r>
    </w:p>
    <w:p>
      <w:pPr>
        <w:spacing w:after="0" w:line="9"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55"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the Director's service as a member of the Board of Directors is involuntarily terminated (other than by reason of death or Disability).</w:t>
      </w:r>
    </w:p>
    <w:p>
      <w:pPr>
        <w:spacing w:after="0" w:line="181" w:lineRule="exact"/>
        <w:rPr>
          <w:sz w:val="20"/>
          <w:szCs w:val="20"/>
          <w:color w:val="auto"/>
        </w:rPr>
      </w:pPr>
    </w:p>
    <w:p>
      <w:pPr>
        <w:ind w:left="1300" w:right="120" w:hanging="644"/>
        <w:spacing w:after="0" w:line="25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2" w:lineRule="exact"/>
        <w:rPr>
          <w:rFonts w:ascii="Arial" w:cs="Arial" w:eastAsia="Arial" w:hAnsi="Arial"/>
          <w:sz w:val="18"/>
          <w:szCs w:val="18"/>
          <w:color w:val="auto"/>
        </w:rPr>
      </w:pPr>
    </w:p>
    <w:p>
      <w:pPr>
        <w:ind w:left="1300" w:right="580" w:hanging="644"/>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Director as a result of Section 280G of the Code, the Corporation shall pay the Director an amount equal to such excise tax.</w:t>
      </w:r>
    </w:p>
    <w:p>
      <w:pPr>
        <w:sectPr>
          <w:pgSz w:w="11900" w:h="16838" w:orient="portrait"/>
          <w:cols w:equalWidth="0" w:num="1">
            <w:col w:w="11420"/>
          </w:cols>
          <w:pgMar w:left="240" w:top="580" w:right="239" w:bottom="1440" w:gutter="0" w:footer="0" w:header="0"/>
        </w:sectPr>
      </w:pPr>
    </w:p>
    <w:bookmarkStart w:id="33" w:name="page34"/>
    <w:bookmarkEnd w:id="33"/>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7" w:lineRule="exact"/>
        <w:rPr>
          <w:rFonts w:ascii="Arial" w:cs="Arial" w:eastAsia="Arial" w:hAnsi="Arial"/>
          <w:sz w:val="18"/>
          <w:szCs w:val="18"/>
          <w:color w:val="auto"/>
        </w:rPr>
      </w:pPr>
    </w:p>
    <w:p>
      <w:pPr>
        <w:ind w:left="652" w:right="60"/>
        <w:spacing w:after="0" w:line="290"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Director one share of the Corporation's Class A Nonvoting Common Stock, $.01 par value ("Corporation Stock") for each Restricted Stock Unit which becomes vested.</w:t>
      </w:r>
    </w:p>
    <w:p>
      <w:pPr>
        <w:spacing w:after="0" w:line="157"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7" w:lineRule="exact"/>
        <w:rPr>
          <w:rFonts w:ascii="Arial" w:cs="Arial" w:eastAsia="Arial" w:hAnsi="Arial"/>
          <w:sz w:val="18"/>
          <w:szCs w:val="18"/>
          <w:color w:val="auto"/>
        </w:rPr>
      </w:pPr>
    </w:p>
    <w:p>
      <w:pPr>
        <w:ind w:left="652" w:right="180"/>
        <w:spacing w:after="0" w:line="255"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7" w:lineRule="exact"/>
        <w:rPr>
          <w:rFonts w:ascii="Arial" w:cs="Arial" w:eastAsia="Arial" w:hAnsi="Arial"/>
          <w:sz w:val="18"/>
          <w:szCs w:val="18"/>
          <w:color w:val="auto"/>
        </w:rPr>
      </w:pPr>
    </w:p>
    <w:p>
      <w:pPr>
        <w:ind w:left="652" w:right="60"/>
        <w:spacing w:after="0" w:line="252"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Directors, in satisfaction of all withholding taxes (including, without limitation, Federal income, FICA (Social Security and Medicare) and any state and local income taxes) payable as a result of such vesting, may elect, subject to such rules and regulations as the Corporation may adopt from time to time, to have the Corporation withhold that number of shares of Corporation Stock (valued at Fair Market Value on the date of vesting and rounded upward) required to settle such withholding taxes.</w:t>
      </w:r>
    </w:p>
    <w:p>
      <w:pPr>
        <w:spacing w:after="0" w:line="189"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Director</w:t>
      </w:r>
    </w:p>
    <w:p>
      <w:pPr>
        <w:spacing w:after="0" w:line="27" w:lineRule="exact"/>
        <w:rPr>
          <w:rFonts w:ascii="Arial" w:cs="Arial" w:eastAsia="Arial" w:hAnsi="Arial"/>
          <w:sz w:val="18"/>
          <w:szCs w:val="18"/>
          <w:color w:val="auto"/>
        </w:rPr>
      </w:pPr>
    </w:p>
    <w:p>
      <w:pPr>
        <w:ind w:left="652" w:right="140"/>
        <w:spacing w:after="0" w:line="255"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Director, the shares of Corporation Stock shall be issued and paid to the estate of the Director unless the Corporation shall have theretofore received in writing a beneficiary designation, in which event they shall be issued and paid to the designated beneficiary.</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7" w:lineRule="exact"/>
        <w:rPr>
          <w:rFonts w:ascii="Arial" w:cs="Arial" w:eastAsia="Arial" w:hAnsi="Arial"/>
          <w:sz w:val="18"/>
          <w:szCs w:val="18"/>
          <w:color w:val="auto"/>
        </w:rPr>
      </w:pPr>
    </w:p>
    <w:p>
      <w:pPr>
        <w:ind w:left="652" w:right="240"/>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7" w:lineRule="exact"/>
        <w:rPr>
          <w:rFonts w:ascii="Arial" w:cs="Arial" w:eastAsia="Arial" w:hAnsi="Arial"/>
          <w:sz w:val="18"/>
          <w:szCs w:val="18"/>
          <w:color w:val="auto"/>
        </w:rPr>
      </w:pPr>
    </w:p>
    <w:p>
      <w:pPr>
        <w:ind w:left="652" w:right="80"/>
        <w:spacing w:after="0" w:line="277"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9"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7" w:lineRule="exact"/>
        <w:rPr>
          <w:rFonts w:ascii="Arial" w:cs="Arial" w:eastAsia="Arial" w:hAnsi="Arial"/>
          <w:sz w:val="18"/>
          <w:szCs w:val="18"/>
          <w:color w:val="auto"/>
        </w:rPr>
      </w:pPr>
    </w:p>
    <w:p>
      <w:pPr>
        <w:ind w:left="652"/>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Corporation to modify the terms of an Award grant and has done so herein. Terms defined in the Plan where used herein shall have the meanings as so defined. The Director acknowledges receipt of a copy of the Plan.</w:t>
      </w:r>
    </w:p>
    <w:p>
      <w:pPr>
        <w:spacing w:after="0" w:line="185"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06" w:lineRule="exact"/>
        <w:rPr>
          <w:rFonts w:ascii="Arial" w:cs="Arial" w:eastAsia="Arial" w:hAnsi="Arial"/>
          <w:sz w:val="18"/>
          <w:szCs w:val="18"/>
          <w:color w:val="auto"/>
        </w:rPr>
      </w:pPr>
    </w:p>
    <w:p>
      <w:pPr>
        <w:ind w:left="652" w:hanging="652"/>
        <w:spacing w:after="0"/>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7" w:lineRule="exact"/>
        <w:rPr>
          <w:rFonts w:ascii="Arial" w:cs="Arial" w:eastAsia="Arial" w:hAnsi="Arial"/>
          <w:sz w:val="18"/>
          <w:szCs w:val="18"/>
          <w:color w:val="auto"/>
        </w:rPr>
      </w:pPr>
    </w:p>
    <w:p>
      <w:pPr>
        <w:ind w:left="652" w:right="120"/>
        <w:spacing w:after="0" w:line="255"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ectPr>
          <w:pgSz w:w="11900" w:h="16838" w:orient="portrait"/>
          <w:cols w:equalWidth="0" w:num="1">
            <w:col w:w="11372"/>
          </w:cols>
          <w:pgMar w:left="248" w:top="580" w:right="27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IN WITNESS WHEREOF, the parties have executed this Agreement as of the date first above written.</w:t>
      </w:r>
    </w:p>
    <w:p>
      <w:pPr>
        <w:sectPr>
          <w:pgSz w:w="11900" w:h="16838" w:orient="portrait"/>
          <w:cols w:equalWidth="0" w:num="1">
            <w:col w:w="9559"/>
          </w:cols>
          <w:pgMar w:left="900" w:top="1017" w:right="1440" w:bottom="1440" w:gutter="0" w:footer="0" w:header="0"/>
        </w:sectPr>
      </w:pPr>
    </w:p>
    <w:p>
      <w:pPr>
        <w:spacing w:after="0" w:line="24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 MICHAEL NAUMAN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Its: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DIRECTOR:</w:t>
      </w:r>
    </w:p>
    <w:p>
      <w:pPr>
        <w:spacing w:after="0" w:line="200" w:lineRule="exact"/>
        <w:rPr>
          <w:sz w:val="20"/>
          <w:szCs w:val="20"/>
          <w:color w:val="auto"/>
        </w:rPr>
      </w:pPr>
    </w:p>
    <w:p>
      <w:pPr>
        <w:spacing w:after="0" w:line="35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HAROLD L. SIRKIN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Print Name: Harold L. Sirkin</w:t>
      </w:r>
    </w:p>
    <w:p>
      <w:pPr>
        <w:sectPr>
          <w:pgSz w:w="11900" w:h="16838" w:orient="portrait"/>
          <w:cols w:equalWidth="0" w:num="1">
            <w:col w:w="9559"/>
          </w:cols>
          <w:pgMar w:left="900" w:top="1017" w:right="1440"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19,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19,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2016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19,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2016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19,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Accounting Officer</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lvl w:ilvl="1">
      <w:lvlJc w:val="left"/>
      <w:lvlText w:val="(%2)"/>
      <w:numFmt w:val="lowerLetter"/>
      <w:start w:val="1"/>
    </w:lvl>
  </w:abstractNum>
  <w:abstractNum w:abstractNumId="5">
    <w:nsid w:val="3352255A"/>
    <w:multiLevelType w:val="hybridMultilevel"/>
    <w:lvl w:ilvl="0">
      <w:lvlJc w:val="left"/>
      <w:lvlText w:val="(%1)"/>
      <w:numFmt w:val="lowerLetter"/>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decimal"/>
      <w:start w:val="1"/>
    </w:lvl>
    <w:lvl w:ilvl="1">
      <w:lvlJc w:val="left"/>
      <w:lvlText w:val="(%2)"/>
      <w:numFmt w:val="lowerLetter"/>
      <w:start w:val="1"/>
    </w:lvl>
  </w:abstractNum>
  <w:abstractNum w:abstractNumId="8">
    <w:nsid w:val="7FDCC233"/>
    <w:multiLevelType w:val="hybridMultilevel"/>
    <w:lvl w:ilvl="0">
      <w:lvlJc w:val="left"/>
      <w:lvlText w:val="(%1)"/>
      <w:numFmt w:val="lowerLetter"/>
      <w:start w:val="3"/>
    </w:lvl>
  </w:abstractNum>
  <w:abstractNum w:abstractNumId="9">
    <w:nsid w:val="1BEFD79F"/>
    <w:multiLevelType w:val="hybridMultilevel"/>
    <w:lvl w:ilvl="0">
      <w:lvlJc w:val="left"/>
      <w:lvlText w:val="%1."/>
      <w:numFmt w:val="decimal"/>
      <w:start w:val="4"/>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2019-12-29T11:27:20Z</dcterms:created>
  <dcterms:modified xsi:type="dcterms:W3CDTF">2019-12-29T11:27:20Z</dcterms:modified>
</cp:coreProperties>
</file>