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1"/>
          <w:szCs w:val="21"/>
          <w:b w:val="1"/>
          <w:bCs w:val="1"/>
          <w:color w:val="auto"/>
        </w:rPr>
        <w:t>Date of Report (Date of earliest event reported): November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20"/>
          </w:cols>
          <w:pgMar w:left="240" w:top="314" w:right="639" w:bottom="1440" w:gutter="0" w:footer="0" w:header="0"/>
        </w:sectPr>
      </w:pPr>
    </w:p>
    <w:p>
      <w:pPr>
        <w:spacing w:after="0" w:line="212"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39-0971239</w:t>
      </w:r>
    </w:p>
    <w:p>
      <w:pPr>
        <w:spacing w:after="0" w:line="47" w:lineRule="exact"/>
        <w:rPr>
          <w:sz w:val="24"/>
          <w:szCs w:val="24"/>
          <w:color w:val="auto"/>
        </w:rPr>
      </w:pPr>
    </w:p>
    <w:p>
      <w:pPr>
        <w:sectPr>
          <w:pgSz w:w="11900" w:h="16838" w:orient="portrait"/>
          <w:cols w:equalWidth="0" w:num="2">
            <w:col w:w="7480" w:space="720"/>
            <w:col w:w="2820"/>
          </w:cols>
          <w:pgMar w:left="240" w:top="314" w:right="639" w:bottom="1440" w:gutter="0" w:footer="0" w:header="0"/>
          <w:type w:val="continuous"/>
        </w:sectPr>
      </w:pPr>
    </w:p>
    <w:p>
      <w:pPr>
        <w:jc w:val="center"/>
        <w:ind w:right="1640"/>
        <w:spacing w:after="0"/>
        <w:rPr>
          <w:sz w:val="20"/>
          <w:szCs w:val="20"/>
          <w:color w:val="auto"/>
        </w:rPr>
      </w:pPr>
      <w:r>
        <w:rPr>
          <w:rFonts w:ascii="Arial" w:cs="Arial" w:eastAsia="Arial" w:hAnsi="Arial"/>
          <w:sz w:val="14"/>
          <w:szCs w:val="14"/>
          <w:b w:val="1"/>
          <w:bCs w:val="1"/>
          <w:color w:val="auto"/>
        </w:rPr>
        <w:t>(State of</w:t>
      </w:r>
    </w:p>
    <w:p>
      <w:pPr>
        <w:jc w:val="center"/>
        <w:ind w:right="164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4"/>
          <w:szCs w:val="14"/>
          <w:b w:val="1"/>
          <w:bCs w:val="1"/>
          <w:color w:val="auto"/>
        </w:rPr>
        <w:t>(IRS Employer</w:t>
      </w:r>
    </w:p>
    <w:p>
      <w:pPr>
        <w:jc w:val="center"/>
        <w:ind w:right="1860"/>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380" w:space="720"/>
            <w:col w:w="2920"/>
          </w:cols>
          <w:pgMar w:left="240" w:top="314" w:right="639" w:bottom="1440" w:gutter="0" w:footer="0" w:header="0"/>
          <w:type w:val="continuous"/>
        </w:sectPr>
      </w:pPr>
    </w:p>
    <w:p>
      <w:pPr>
        <w:ind w:left="466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Milwaukee, Wisconsin 53223</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and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color w:val="auto"/>
        </w:rPr>
        <w:t>RESULTS OF OPERATIONS AND FINANCIAL CONDITION</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On November 15, 2012, Brady Corporation (the “Corporation”) issued a press release announcing its fiscal 2013 first quarter financial results. A copy of the press release is being furnished to the Securities and Exchange Commission as Exhibit 99.1 attached hereto and is incorporated herein by reference.</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5.07</w:t>
      </w:r>
      <w:r>
        <w:rPr>
          <w:sz w:val="20"/>
          <w:szCs w:val="20"/>
          <w:color w:val="auto"/>
        </w:rPr>
        <w:tab/>
      </w:r>
      <w:r>
        <w:rPr>
          <w:rFonts w:ascii="Arial" w:cs="Arial" w:eastAsia="Arial" w:hAnsi="Arial"/>
          <w:sz w:val="16"/>
          <w:szCs w:val="16"/>
          <w:color w:val="auto"/>
        </w:rPr>
        <w:t>SUBMISSIONS OF MATTERS TO A VOTE OF SECURITY HOLDERS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14, 2012, at the Corporation’s Annual Shareholders’ Meeting, the holders of all of the 3,538,628 shares of the Corporation’s Class B Common Stock voted unanimously in favor of electing the following persons to serve as the Corporation’s directors until the next annual meeting of shareholders and until their successors have been elected: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Patrick W. Allender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Gary S. Balkema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 W. Galbato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Conrad G. Goodkind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Elizabeth P. Pungello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C. Richardson</w:t>
      </w:r>
    </w:p>
    <w:p>
      <w:pPr>
        <w:spacing w:after="0" w:line="2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November 15, 2012, the Corporation hosted a conference call related to its fiscal 2013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No.</w:t>
            </w:r>
          </w:p>
        </w:tc>
        <w:tc>
          <w:tcPr>
            <w:tcW w:w="800" w:type="dxa"/>
            <w:vAlign w:val="bottom"/>
          </w:tcPr>
          <w:p>
            <w:pPr>
              <w:spacing w:after="0"/>
              <w:rPr>
                <w:sz w:val="14"/>
                <w:szCs w:val="14"/>
                <w:color w:val="auto"/>
              </w:rPr>
            </w:pPr>
          </w:p>
        </w:tc>
        <w:tc>
          <w:tcPr>
            <w:tcW w:w="9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Press Release of Brady Corporation, dated November 15, 2012, relating to first quarter fiscal 2013 financial results.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6"/>
              </w:rPr>
              <w:t>Informational slides provided by Brady Corporation, dated November 15, 2012, relating to first quarter fiscal 2013 financial results.</w:t>
            </w:r>
          </w:p>
        </w:tc>
      </w:tr>
    </w:tbl>
    <w:p>
      <w:pPr>
        <w:sectPr>
          <w:pgSz w:w="11900" w:h="16838" w:orient="portrait"/>
          <w:cols w:equalWidth="0" w:num="1">
            <w:col w:w="11420"/>
          </w:cols>
          <w:pgMar w:left="240" w:top="2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2012</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240" w:top="280"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20" w:type="dxa"/>
            <w:vAlign w:val="bottom"/>
          </w:tcPr>
          <w:p>
            <w:pPr>
              <w:ind w:left="3660"/>
              <w:spacing w:after="0"/>
              <w:rPr>
                <w:sz w:val="20"/>
                <w:szCs w:val="20"/>
                <w:color w:val="auto"/>
              </w:rPr>
            </w:pPr>
            <w:r>
              <w:rPr>
                <w:rFonts w:ascii="Arial" w:cs="Arial" w:eastAsia="Arial" w:hAnsi="Arial"/>
                <w:sz w:val="18"/>
                <w:szCs w:val="18"/>
                <w:color w:val="auto"/>
              </w:rPr>
              <w:t>EXHIBIT INDEX</w:t>
            </w:r>
          </w:p>
        </w:tc>
      </w:tr>
      <w:tr>
        <w:trPr>
          <w:trHeight w:val="342"/>
        </w:trPr>
        <w:tc>
          <w:tcPr>
            <w:tcW w:w="620" w:type="dxa"/>
            <w:vAlign w:val="bottom"/>
          </w:tcPr>
          <w:p>
            <w:pPr>
              <w:spacing w:after="0"/>
              <w:rPr>
                <w:sz w:val="20"/>
                <w:szCs w:val="20"/>
                <w:color w:val="auto"/>
              </w:rPr>
            </w:pPr>
            <w:r>
              <w:rPr>
                <w:rFonts w:ascii="Arial" w:cs="Arial" w:eastAsia="Arial" w:hAnsi="Arial"/>
                <w:sz w:val="14"/>
                <w:szCs w:val="14"/>
                <w:color w:val="auto"/>
              </w:rPr>
              <w:t>EXHIBIT</w:t>
            </w:r>
          </w:p>
        </w:tc>
        <w:tc>
          <w:tcPr>
            <w:tcW w:w="780" w:type="dxa"/>
            <w:vAlign w:val="bottom"/>
          </w:tcPr>
          <w:p>
            <w:pPr>
              <w:spacing w:after="0"/>
              <w:rPr>
                <w:sz w:val="24"/>
                <w:szCs w:val="24"/>
                <w:color w:val="auto"/>
              </w:rPr>
            </w:pPr>
          </w:p>
        </w:tc>
        <w:tc>
          <w:tcPr>
            <w:tcW w:w="10020" w:type="dxa"/>
            <w:vAlign w:val="bottom"/>
          </w:tcPr>
          <w:p>
            <w:pPr>
              <w:spacing w:after="0"/>
              <w:rPr>
                <w:sz w:val="24"/>
                <w:szCs w:val="24"/>
                <w:color w:val="auto"/>
              </w:rPr>
            </w:pPr>
          </w:p>
        </w:tc>
      </w:tr>
      <w:tr>
        <w:trPr>
          <w:trHeight w:val="159"/>
        </w:trPr>
        <w:tc>
          <w:tcPr>
            <w:tcW w:w="620" w:type="dxa"/>
            <w:vAlign w:val="bottom"/>
          </w:tcPr>
          <w:p>
            <w:pPr>
              <w:spacing w:after="0" w:line="159" w:lineRule="exact"/>
              <w:rPr>
                <w:sz w:val="20"/>
                <w:szCs w:val="20"/>
                <w:color w:val="auto"/>
              </w:rPr>
            </w:pPr>
            <w:r>
              <w:rPr>
                <w:rFonts w:ascii="Arial" w:cs="Arial" w:eastAsia="Arial" w:hAnsi="Arial"/>
                <w:sz w:val="14"/>
                <w:szCs w:val="14"/>
                <w:color w:val="auto"/>
                <w:w w:val="98"/>
              </w:rPr>
              <w:t>NUMBER</w:t>
            </w:r>
          </w:p>
        </w:tc>
        <w:tc>
          <w:tcPr>
            <w:tcW w:w="10800" w:type="dxa"/>
            <w:vAlign w:val="bottom"/>
            <w:gridSpan w:val="2"/>
          </w:tcPr>
          <w:p>
            <w:pPr>
              <w:ind w:left="780"/>
              <w:spacing w:after="0" w:line="159" w:lineRule="exact"/>
              <w:rPr>
                <w:sz w:val="20"/>
                <w:szCs w:val="20"/>
                <w:color w:val="auto"/>
              </w:rPr>
            </w:pPr>
            <w:r>
              <w:rPr>
                <w:rFonts w:ascii="Arial" w:cs="Arial" w:eastAsia="Arial" w:hAnsi="Arial"/>
                <w:sz w:val="14"/>
                <w:szCs w:val="14"/>
                <w:color w:val="auto"/>
              </w:rPr>
              <w:t>DESCRIPTION</w:t>
            </w:r>
          </w:p>
        </w:tc>
      </w:tr>
      <w:tr>
        <w:trPr>
          <w:trHeight w:val="27"/>
        </w:trPr>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20" w:type="dxa"/>
            <w:vAlign w:val="bottom"/>
            <w:shd w:val="clear" w:color="auto" w:fill="000000"/>
          </w:tcPr>
          <w:p>
            <w:pPr>
              <w:spacing w:after="0"/>
              <w:rPr>
                <w:sz w:val="2"/>
                <w:szCs w:val="2"/>
                <w:color w:val="auto"/>
              </w:rPr>
            </w:pPr>
          </w:p>
        </w:tc>
      </w:tr>
      <w:tr>
        <w:trPr>
          <w:trHeight w:val="309"/>
        </w:trPr>
        <w:tc>
          <w:tcPr>
            <w:tcW w:w="620" w:type="dxa"/>
            <w:vAlign w:val="bottom"/>
          </w:tcPr>
          <w:p>
            <w:pPr>
              <w:spacing w:after="0"/>
              <w:rPr>
                <w:sz w:val="20"/>
                <w:szCs w:val="20"/>
                <w:color w:val="auto"/>
              </w:rPr>
            </w:pPr>
            <w:r>
              <w:rPr>
                <w:rFonts w:ascii="Arial" w:cs="Arial" w:eastAsia="Arial" w:hAnsi="Arial"/>
                <w:sz w:val="18"/>
                <w:szCs w:val="18"/>
                <w:color w:val="auto"/>
              </w:rPr>
              <w:t>99.1</w:t>
            </w:r>
          </w:p>
        </w:tc>
        <w:tc>
          <w:tcPr>
            <w:tcW w:w="10800" w:type="dxa"/>
            <w:vAlign w:val="bottom"/>
            <w:gridSpan w:val="2"/>
          </w:tcPr>
          <w:p>
            <w:pPr>
              <w:ind w:left="780"/>
              <w:spacing w:after="0"/>
              <w:rPr>
                <w:sz w:val="20"/>
                <w:szCs w:val="20"/>
                <w:color w:val="auto"/>
              </w:rPr>
            </w:pPr>
            <w:r>
              <w:rPr>
                <w:rFonts w:ascii="Arial" w:cs="Arial" w:eastAsia="Arial" w:hAnsi="Arial"/>
                <w:sz w:val="18"/>
                <w:szCs w:val="18"/>
                <w:color w:val="auto"/>
              </w:rPr>
              <w:t>Press Release of Brady Corporation, dated November 15, 2012, relating to first quarter fiscal 2013 financial results.</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99.2</w:t>
            </w:r>
          </w:p>
        </w:tc>
        <w:tc>
          <w:tcPr>
            <w:tcW w:w="10800" w:type="dxa"/>
            <w:vAlign w:val="bottom"/>
            <w:gridSpan w:val="2"/>
          </w:tcPr>
          <w:p>
            <w:pPr>
              <w:ind w:left="780"/>
              <w:spacing w:after="0"/>
              <w:rPr>
                <w:sz w:val="20"/>
                <w:szCs w:val="20"/>
                <w:color w:val="auto"/>
              </w:rPr>
            </w:pPr>
            <w:r>
              <w:rPr>
                <w:rFonts w:ascii="Arial" w:cs="Arial" w:eastAsia="Arial" w:hAnsi="Arial"/>
                <w:sz w:val="18"/>
                <w:szCs w:val="18"/>
                <w:color w:val="auto"/>
                <w:w w:val="96"/>
              </w:rPr>
              <w:t>Informational slides provided by Brady Corporation, dated November 15, 2012, relating to first quarter fiscal 2013 financial results.</w:t>
            </w:r>
          </w:p>
        </w:tc>
      </w:tr>
    </w:tbl>
    <w:p>
      <w:pPr>
        <w:ind w:left="78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2013 First Quarter Results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MILWAUKEE (November 15, 2012)—Brady Corporation (NYSE: BRC) (“Brady” or “Company”), a world leader in identification solutions, today reported its financial results for the fiscal 2013 first quarter ended October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October 31, 2012 Financial Results:</w:t>
      </w:r>
    </w:p>
    <w:p>
      <w:pPr>
        <w:spacing w:after="0" w:line="96"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Sales for the fiscal 2013 first quarter ended October 31, 2012, were down 3.4 percent to $337.6 million compared to $349.5 million in the first quarter of fiscal 2012. Organic sales were down 1.9 percent, the impact of foreign currency translation decreased sales by 2.1 percent, and acquisitions, net of divestitures added 0.6 percent. By segment, organic sales decreased 0.7 percent in the Americas, 3.2 percent in EMEA and 2.5 percent in the Asia-Pacific region.</w:t>
      </w:r>
    </w:p>
    <w:p>
      <w:pPr>
        <w:spacing w:after="0" w:line="8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Net income in the fiscal 2013 first quarter was down 16.9 percent to $27.2 million compared to $32.7 million in the same quarter last year. Excluding the losses in the first quarter of fiscal 2013 from the sales of Brady Medical, a medical die-cut business headquartered in Texas, and Varitronics, a business headquartered in Minnesota serving the education market, net income was down 7.1 percent to $30.4 million.</w:t>
      </w:r>
    </w:p>
    <w:p>
      <w:pPr>
        <w:spacing w:after="0" w:line="107"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Earnings per diluted Class A Common Share were down 14.5 percent to $0.53 in the first quarter of fiscal 2013 compared to $0.62 in the same quarter last year. Diluted Earnings per Class A Common Share excluding losses on the sales of businesses were down 4.8 percent to $0.59 in the first quarter of fiscal 2013.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 am pleased with our performance in the quarter as our business in the Americas and Asia-Pacific showed improved results over last quarter. In Asia in particular we benefited from several new product wins in the mobile handset and tablet computer space,” said Brady’s President and Chief Executive Officer, Frank M. Jaehnert. “Europe continues to be impacted by a difficult economic environment, and we are shifting resources to higher growth opportunities in Central Europe, the Middle East, and Africa. In addition, we are continuing to prune our portfolio of businesses. As we look to the remainder of fiscal 2013, we believe there is limited likelihood that the macro-economy will provide a tailwind. We therefore will continue on the path to create our own growth story by further investing in geographic expansion; expanding globally in certain focus markets, such as aerospace and mass transit, chemical, oil and gas, and food and beverage processing; new product development; customer conversion; and expansion of our digital capabilities to provide the best overall buying experience for our customers.”</w:t>
      </w:r>
    </w:p>
    <w:p>
      <w:pPr>
        <w:sectPr>
          <w:pgSz w:w="11900" w:h="16838" w:orient="portrait"/>
          <w:cols w:equalWidth="0" w:num="1">
            <w:col w:w="11420"/>
          </w:cols>
          <w:pgMar w:left="240" w:top="125" w:right="239" w:bottom="1440" w:gutter="0" w:footer="0" w:header="0"/>
        </w:sectPr>
      </w:pPr>
    </w:p>
    <w:bookmarkStart w:id="5" w:name="page6"/>
    <w:bookmarkEnd w:id="5"/>
    <w:p>
      <w:pPr>
        <w:ind w:right="2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anticipate approximately flat organic sales growth for the full fiscal year 2013, with sales growth in the second half of the year driven by our initiatives,” said Brady’s Chief Financial Officer Thomas J. Felmer. “We are reiterating our full-year fiscal 2013 earnings per diluted Class A Common Share guidance of between $2.20 and $2.40, exclusive of after-tax restructuring charges and gains or losses on the sales of any businesses. This guidance is based on exchange rates as of October 31, 2012, and a full-year income tax rate in the mid-to-upper 20 percent range.”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webcast regarding Brady’s fiscal 2013 first quarter financial results will be available at </w:t>
      </w:r>
      <w:r>
        <w:rPr>
          <w:rFonts w:ascii="Arial" w:cs="Arial" w:eastAsia="Arial" w:hAnsi="Arial"/>
          <w:sz w:val="16"/>
          <w:szCs w:val="16"/>
          <w:u w:val="single" w:color="auto"/>
          <w:color w:val="auto"/>
        </w:rPr>
        <w:t>www.bradycorp.com</w:t>
      </w:r>
      <w:r>
        <w:rPr>
          <w:rFonts w:ascii="Arial" w:cs="Arial" w:eastAsia="Arial" w:hAnsi="Arial"/>
          <w:sz w:val="16"/>
          <w:szCs w:val="16"/>
          <w:color w:val="auto"/>
        </w:rPr>
        <w:t xml:space="preserve"> beginning at 9:30 a.m. Central Time today.</w:t>
      </w:r>
    </w:p>
    <w:p>
      <w:pPr>
        <w:spacing w:after="0" w:line="19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as of July 31, 2012 employed approximately 6,900 people at operations in the Americas, EMEA and Asia-Pacific. Brady’s fiscal 2012 sales were approximately $1.32 billion.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 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increased usage of e-commerce allowing for ease of price transparency; future financial performance of major markets Brady serves, which include, without limitation, telecommunications, hard disk drive, manufacturing, electrical, construction, laboratory, education, governmental, public utility, computer,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difficulties in making and integrating acquisitions; risks associated with newly acquired businesses; risks associated with restructuring plans; environmental, health and safety compliance costs and liabilities;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2012.</w:t>
      </w:r>
    </w:p>
    <w:p>
      <w:pPr>
        <w:spacing w:after="0" w:line="13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(Unaudited)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5"/>
          </w:tcPr>
          <w:p>
            <w:pPr>
              <w:jc w:val="right"/>
              <w:ind w:right="13"/>
              <w:spacing w:after="0" w:line="131" w:lineRule="exact"/>
              <w:rPr>
                <w:sz w:val="20"/>
                <w:szCs w:val="20"/>
                <w:color w:val="auto"/>
              </w:rPr>
            </w:pPr>
            <w:r>
              <w:rPr>
                <w:rFonts w:ascii="Arial" w:cs="Arial" w:eastAsia="Arial" w:hAnsi="Arial"/>
                <w:sz w:val="14"/>
                <w:szCs w:val="14"/>
                <w:color w:val="auto"/>
                <w:w w:val="86"/>
              </w:rPr>
              <w:t>Three Months Ended October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3"/>
              <w:spacing w:after="0" w:line="159" w:lineRule="exact"/>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349,508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Cost of products sold</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181,677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167,831</w:t>
            </w: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108,261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sales of businesses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120,184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118,741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49,090</w:t>
            </w: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Other income and (expense):</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and other income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27,188</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32,732</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Diluted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18"/>
                <w:szCs w:val="18"/>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0.185</w:t>
            </w: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Per Class B Voting Common Share:</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Diluted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Pr>
          <w:p>
            <w:pPr>
              <w:spacing w:after="0"/>
              <w:rPr>
                <w:sz w:val="18"/>
                <w:szCs w:val="18"/>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0.168</w:t>
            </w: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52,954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(Unaudited)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color w:val="auto"/>
              </w:rPr>
              <w:t>October 31, 2012</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8"/>
              </w:rPr>
              <w:t>July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CCEEFF"/>
            </w:tcBorders>
            <w:shd w:val="clear" w:color="auto" w:fill="CCEEFF"/>
          </w:tcPr>
          <w:p>
            <w:pPr>
              <w:spacing w:after="0"/>
              <w:rPr>
                <w:sz w:val="13"/>
                <w:szCs w:val="13"/>
                <w:color w:val="auto"/>
              </w:rPr>
            </w:pPr>
          </w:p>
        </w:tc>
        <w:tc>
          <w:tcPr>
            <w:tcW w:w="4840" w:type="dxa"/>
            <w:vAlign w:val="bottom"/>
            <w:tcBorders>
              <w:top w:val="single" w:sz="8" w:color="CCEEFF"/>
            </w:tcBorders>
            <w:gridSpan w:val="3"/>
            <w:shd w:val="clear" w:color="auto" w:fill="CCEEFF"/>
          </w:tcPr>
          <w:p>
            <w:pPr>
              <w:jc w:val="center"/>
              <w:ind w:right="4200"/>
              <w:spacing w:after="0" w:line="156" w:lineRule="exact"/>
              <w:rPr>
                <w:sz w:val="20"/>
                <w:szCs w:val="20"/>
                <w:color w:val="auto"/>
              </w:rPr>
            </w:pPr>
            <w:r>
              <w:rPr>
                <w:rFonts w:ascii="Arial" w:cs="Arial" w:eastAsia="Arial" w:hAnsi="Arial"/>
                <w:sz w:val="18"/>
                <w:szCs w:val="18"/>
                <w:b w:val="1"/>
                <w:bCs w:val="1"/>
                <w:color w:val="auto"/>
                <w:w w:val="88"/>
              </w:rPr>
              <w:t>ASSETS</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9040" w:type="dxa"/>
            <w:vAlign w:val="bottom"/>
            <w:gridSpan w:val="6"/>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321,309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Accounts receivable—net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218,246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860"/>
              <w:spacing w:after="0"/>
              <w:rPr>
                <w:sz w:val="20"/>
                <w:szCs w:val="20"/>
                <w:color w:val="auto"/>
              </w:rPr>
            </w:pPr>
            <w:r>
              <w:rPr>
                <w:rFonts w:ascii="Arial" w:cs="Arial" w:eastAsia="Arial" w:hAnsi="Arial"/>
                <w:sz w:val="18"/>
                <w:szCs w:val="18"/>
                <w:color w:val="auto"/>
              </w:rPr>
              <w:t>Finished products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67,992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Work-in-process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5"/>
          </w:tcPr>
          <w:p>
            <w:pPr>
              <w:ind w:left="860"/>
              <w:spacing w:after="0"/>
              <w:rPr>
                <w:sz w:val="20"/>
                <w:szCs w:val="20"/>
                <w:color w:val="auto"/>
              </w:rPr>
            </w:pPr>
            <w:r>
              <w:rPr>
                <w:rFonts w:ascii="Arial" w:cs="Arial" w:eastAsia="Arial" w:hAnsi="Arial"/>
                <w:sz w:val="18"/>
                <w:szCs w:val="18"/>
                <w:color w:val="auto"/>
              </w:rPr>
              <w:t>Raw materials and supplies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110,527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692,482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650,854</w:t>
            </w:r>
          </w:p>
        </w:tc>
        <w:tc>
          <w:tcPr>
            <w:tcW w:w="0" w:type="dxa"/>
            <w:vAlign w:val="bottom"/>
          </w:tcPr>
          <w:p>
            <w:pPr>
              <w:spacing w:after="0"/>
              <w:rPr>
                <w:sz w:val="1"/>
                <w:szCs w:val="1"/>
                <w:color w:val="auto"/>
              </w:rPr>
            </w:pPr>
          </w:p>
        </w:tc>
      </w:tr>
      <w:tr>
        <w:trPr>
          <w:trHeight w:val="323"/>
        </w:trPr>
        <w:tc>
          <w:tcPr>
            <w:tcW w:w="9040" w:type="dxa"/>
            <w:vAlign w:val="bottom"/>
            <w:gridSpan w:val="6"/>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680,595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80,983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21,577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8,892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128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102,592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296,561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5"/>
          </w:tcPr>
          <w:p>
            <w:pPr>
              <w:ind w:left="128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418,109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413,160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288,949</w:t>
            </w: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Property, plant and equipment—net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129,160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gridSpan w:val="6"/>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1,651,424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1,607,719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340" w:type="dxa"/>
            <w:vAlign w:val="bottom"/>
            <w:tcBorders>
              <w:bottom w:val="single" w:sz="8" w:color="CCEEFF"/>
            </w:tcBorders>
            <w:shd w:val="clear" w:color="auto" w:fill="CCEEFF"/>
          </w:tcPr>
          <w:p>
            <w:pPr>
              <w:spacing w:after="0"/>
              <w:rPr>
                <w:sz w:val="16"/>
                <w:szCs w:val="16"/>
                <w:color w:val="auto"/>
              </w:rPr>
            </w:pPr>
          </w:p>
        </w:tc>
        <w:tc>
          <w:tcPr>
            <w:tcW w:w="4320" w:type="dxa"/>
            <w:vAlign w:val="bottom"/>
            <w:tcBorders>
              <w:bottom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rPr>
              <w:t>LIABILITIES AND STOCKHOLDERS’ INVESTMENT</w:t>
            </w:r>
          </w:p>
        </w:tc>
        <w:tc>
          <w:tcPr>
            <w:tcW w:w="2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9040" w:type="dxa"/>
            <w:vAlign w:val="bottom"/>
            <w:gridSpan w:val="6"/>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105,348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Wages and amounts withheld from employees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40,529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Taxes, other than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12,153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Current maturities on long-term debt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272,191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267,018</w:t>
            </w:r>
          </w:p>
        </w:tc>
        <w:tc>
          <w:tcPr>
            <w:tcW w:w="0" w:type="dxa"/>
            <w:vAlign w:val="bottom"/>
          </w:tcPr>
          <w:p>
            <w:pPr>
              <w:spacing w:after="0"/>
              <w:rPr>
                <w:sz w:val="1"/>
                <w:szCs w:val="1"/>
                <w:color w:val="auto"/>
              </w:rPr>
            </w:pPr>
          </w:p>
        </w:tc>
      </w:tr>
      <w:tr>
        <w:trPr>
          <w:trHeight w:val="322"/>
        </w:trPr>
        <w:tc>
          <w:tcPr>
            <w:tcW w:w="9040" w:type="dxa"/>
            <w:vAlign w:val="bottom"/>
            <w:gridSpan w:val="6"/>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259,729</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254,944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610,458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598,366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w w:val="89"/>
              </w:rPr>
              <w:t>Class A nonvoting common stock—Issued 51,261,487 and 51,261,487 shares, respectively and outstanding</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gridSpan w:val="5"/>
            <w:shd w:val="clear" w:color="auto" w:fill="CCEEFF"/>
          </w:tcPr>
          <w:p>
            <w:pPr>
              <w:ind w:left="1500"/>
              <w:spacing w:after="0"/>
              <w:rPr>
                <w:sz w:val="20"/>
                <w:szCs w:val="20"/>
                <w:color w:val="auto"/>
              </w:rPr>
            </w:pPr>
            <w:r>
              <w:rPr>
                <w:rFonts w:ascii="Arial" w:cs="Arial" w:eastAsia="Arial" w:hAnsi="Arial"/>
                <w:sz w:val="18"/>
                <w:szCs w:val="18"/>
                <w:color w:val="auto"/>
              </w:rPr>
              <w:t>47,563,704 and 47,630,926 shares, respectively</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1280"/>
              <w:spacing w:after="0"/>
              <w:rPr>
                <w:sz w:val="20"/>
                <w:szCs w:val="20"/>
                <w:color w:val="auto"/>
              </w:rPr>
            </w:pPr>
            <w:r>
              <w:rPr>
                <w:rFonts w:ascii="Arial" w:cs="Arial" w:eastAsia="Arial" w:hAnsi="Arial"/>
                <w:sz w:val="18"/>
                <w:szCs w:val="18"/>
                <w:color w:val="auto"/>
              </w:rPr>
              <w:t>Class B voting common stock—Issued and outstanding, 3,538,628 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314,896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Earnings retained in the business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749,773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Treasury stock—3,387,783 and 3,245,561 shares, respectively of Class A nonvoting common stock, at cost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(93,535)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72,178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gridSpan w:val="5"/>
          </w:tcPr>
          <w:p>
            <w:pPr>
              <w:ind w:left="1280"/>
              <w:spacing w:after="0"/>
              <w:rPr>
                <w:sz w:val="20"/>
                <w:szCs w:val="20"/>
                <w:color w:val="auto"/>
              </w:rPr>
            </w:pPr>
            <w:r>
              <w:rPr>
                <w:rFonts w:ascii="Arial" w:cs="Arial" w:eastAsia="Arial" w:hAnsi="Arial"/>
                <w:sz w:val="18"/>
                <w:szCs w:val="18"/>
                <w:b w:val="1"/>
                <w:bCs w:val="1"/>
                <w:color w:val="auto"/>
              </w:rPr>
              <w:t>Total stockholders’ investment</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1,040,966</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1,009,353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1,651,424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1,607,719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color w:val="auto"/>
                <w:w w:val="90"/>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center"/>
              <w:ind w:right="220"/>
              <w:spacing w:after="0" w:line="149" w:lineRule="exact"/>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center"/>
              <w:ind w:right="200"/>
              <w:spacing w:after="0" w:line="149" w:lineRule="exact"/>
              <w:rPr>
                <w:sz w:val="20"/>
                <w:szCs w:val="20"/>
                <w:color w:val="auto"/>
              </w:rPr>
            </w:pPr>
            <w:r>
              <w:rPr>
                <w:rFonts w:ascii="Arial" w:cs="Arial" w:eastAsia="Arial" w:hAnsi="Arial"/>
                <w:sz w:val="14"/>
                <w:szCs w:val="14"/>
                <w:color w:val="auto"/>
                <w:w w:val="87"/>
              </w:rPr>
              <w:t>October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27,188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10,675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Non-cash portion of stock-based compensation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sales of businesses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(net of effects of business acquisitions/divestitures):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(18,426)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net investment hedges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Sales of businesses, net of cash retained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(9,704)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Income tax benefit from the exercise of stock options and deferred compensation distribution, and other</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(12,741)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(20,860)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322"/>
        </w:trPr>
        <w:tc>
          <w:tcPr>
            <w:tcW w:w="86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15,409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(18,377)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389,971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321,309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371,594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net of capitalized interest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Income taxes, net of refunds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by regional segment for the three months ended October 31, 2012 and 2011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4"/>
              <w:spacing w:after="0"/>
              <w:rPr>
                <w:sz w:val="20"/>
                <w:szCs w:val="20"/>
                <w:color w:val="auto"/>
              </w:rPr>
            </w:pPr>
            <w:r>
              <w:rPr>
                <w:rFonts w:ascii="Arial" w:cs="Arial" w:eastAsia="Arial" w:hAnsi="Arial"/>
                <w:sz w:val="14"/>
                <w:szCs w:val="14"/>
                <w:color w:val="auto"/>
                <w:w w:val="96"/>
              </w:rPr>
              <w:t>Corporate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340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164"/>
              <w:spacing w:after="0" w:line="149"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4"/>
                <w:szCs w:val="14"/>
                <w:color w:val="auto"/>
                <w:w w:val="89"/>
              </w:rPr>
              <w:t>Americas</w:t>
            </w:r>
          </w:p>
        </w:tc>
        <w:tc>
          <w:tcPr>
            <w:tcW w:w="380" w:type="dxa"/>
            <w:vAlign w:val="bottom"/>
          </w:tcPr>
          <w:p>
            <w:pPr>
              <w:spacing w:after="0"/>
              <w:rPr>
                <w:sz w:val="14"/>
                <w:szCs w:val="14"/>
                <w:color w:val="auto"/>
              </w:rPr>
            </w:pPr>
          </w:p>
        </w:tc>
        <w:tc>
          <w:tcPr>
            <w:tcW w:w="940" w:type="dxa"/>
            <w:vAlign w:val="bottom"/>
            <w:gridSpan w:val="2"/>
          </w:tcPr>
          <w:p>
            <w:pPr>
              <w:jc w:val="center"/>
              <w:ind w:right="380"/>
              <w:spacing w:after="0" w:line="146" w:lineRule="exact"/>
              <w:rPr>
                <w:sz w:val="20"/>
                <w:szCs w:val="20"/>
                <w:color w:val="auto"/>
              </w:rPr>
            </w:pPr>
            <w:r>
              <w:rPr>
                <w:rFonts w:ascii="Arial" w:cs="Arial" w:eastAsia="Arial" w:hAnsi="Arial"/>
                <w:sz w:val="14"/>
                <w:szCs w:val="14"/>
                <w:color w:val="auto"/>
              </w:rPr>
              <w:t>EMEA</w:t>
            </w:r>
          </w:p>
        </w:tc>
        <w:tc>
          <w:tcPr>
            <w:tcW w:w="10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Asia-Pacific</w:t>
            </w:r>
          </w:p>
        </w:tc>
        <w:tc>
          <w:tcPr>
            <w:tcW w:w="1080" w:type="dxa"/>
            <w:vAlign w:val="bottom"/>
            <w:gridSpan w:val="2"/>
          </w:tcPr>
          <w:p>
            <w:pPr>
              <w:spacing w:after="0" w:line="146" w:lineRule="exact"/>
              <w:rPr>
                <w:sz w:val="20"/>
                <w:szCs w:val="20"/>
                <w:color w:val="auto"/>
              </w:rPr>
            </w:pPr>
            <w:r>
              <w:rPr>
                <w:rFonts w:ascii="Arial" w:cs="Arial" w:eastAsia="Arial" w:hAnsi="Arial"/>
                <w:sz w:val="14"/>
                <w:szCs w:val="14"/>
                <w:color w:val="auto"/>
              </w:rPr>
              <w:t>Total Region</w:t>
            </w:r>
          </w:p>
        </w:tc>
        <w:tc>
          <w:tcPr>
            <w:tcW w:w="700" w:type="dxa"/>
            <w:vAlign w:val="bottom"/>
          </w:tcPr>
          <w:p>
            <w:pPr>
              <w:jc w:val="right"/>
              <w:spacing w:after="0" w:line="146" w:lineRule="exact"/>
              <w:rPr>
                <w:sz w:val="20"/>
                <w:szCs w:val="20"/>
                <w:color w:val="auto"/>
              </w:rPr>
            </w:pPr>
            <w:r>
              <w:rPr>
                <w:rFonts w:ascii="Arial" w:cs="Arial" w:eastAsia="Arial" w:hAnsi="Arial"/>
                <w:sz w:val="14"/>
                <w:szCs w:val="14"/>
                <w:color w:val="auto"/>
                <w:w w:val="90"/>
              </w:rPr>
              <w:t>Eliminations</w:t>
            </w:r>
          </w:p>
        </w:tc>
        <w:tc>
          <w:tcPr>
            <w:tcW w:w="280" w:type="dxa"/>
            <w:vAlign w:val="bottom"/>
          </w:tcPr>
          <w:p>
            <w:pPr>
              <w:spacing w:after="0"/>
              <w:rPr>
                <w:sz w:val="14"/>
                <w:szCs w:val="14"/>
                <w:color w:val="auto"/>
              </w:rPr>
            </w:pPr>
          </w:p>
        </w:tc>
        <w:tc>
          <w:tcPr>
            <w:tcW w:w="90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SALES TO EXTERNAL CUSTOMERS</w:t>
            </w:r>
          </w:p>
        </w:tc>
        <w:tc>
          <w:tcPr>
            <w:tcW w:w="1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31, 2012</w:t>
            </w:r>
          </w:p>
        </w:tc>
        <w:tc>
          <w:tcPr>
            <w:tcW w:w="1860" w:type="dxa"/>
            <w:vAlign w:val="bottom"/>
            <w:gridSpan w:val="2"/>
            <w:shd w:val="clear" w:color="auto" w:fill="CCEEFF"/>
          </w:tcPr>
          <w:p>
            <w:pPr>
              <w:jc w:val="center"/>
              <w:ind w:left="1092"/>
              <w:spacing w:after="0"/>
              <w:rPr>
                <w:sz w:val="20"/>
                <w:szCs w:val="20"/>
                <w:color w:val="auto"/>
              </w:rPr>
            </w:pPr>
            <w:r>
              <w:rPr>
                <w:rFonts w:ascii="Arial" w:cs="Arial" w:eastAsia="Arial" w:hAnsi="Arial"/>
                <w:sz w:val="18"/>
                <w:szCs w:val="18"/>
                <w:color w:val="auto"/>
                <w:w w:val="90"/>
              </w:rPr>
              <w:t>$148,692</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$93,233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95,721</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$ 337,646</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$337,646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ind w:left="440"/>
              <w:spacing w:after="0"/>
              <w:rPr>
                <w:sz w:val="20"/>
                <w:szCs w:val="20"/>
                <w:color w:val="auto"/>
              </w:rPr>
            </w:pPr>
            <w:r>
              <w:rPr>
                <w:rFonts w:ascii="Arial" w:cs="Arial" w:eastAsia="Arial" w:hAnsi="Arial"/>
                <w:sz w:val="18"/>
                <w:szCs w:val="18"/>
                <w:color w:val="auto"/>
              </w:rPr>
              <w:t>October 31, 2011</w:t>
            </w:r>
          </w:p>
        </w:tc>
        <w:tc>
          <w:tcPr>
            <w:tcW w:w="1860" w:type="dxa"/>
            <w:vAlign w:val="bottom"/>
            <w:gridSpan w:val="2"/>
          </w:tcPr>
          <w:p>
            <w:pPr>
              <w:jc w:val="center"/>
              <w:ind w:left="1092"/>
              <w:spacing w:after="0"/>
              <w:rPr>
                <w:sz w:val="20"/>
                <w:szCs w:val="20"/>
                <w:color w:val="auto"/>
              </w:rPr>
            </w:pPr>
            <w:r>
              <w:rPr>
                <w:rFonts w:ascii="Arial" w:cs="Arial" w:eastAsia="Arial" w:hAnsi="Arial"/>
                <w:sz w:val="18"/>
                <w:szCs w:val="18"/>
                <w:color w:val="auto"/>
                <w:w w:val="90"/>
              </w:rPr>
              <w:t>$153,863</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$97,356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98,289</w:t>
            </w:r>
          </w:p>
        </w:tc>
        <w:tc>
          <w:tcPr>
            <w:tcW w:w="1080" w:type="dxa"/>
            <w:vAlign w:val="bottom"/>
            <w:gridSpan w:val="2"/>
          </w:tcPr>
          <w:p>
            <w:pPr>
              <w:spacing w:after="0"/>
              <w:rPr>
                <w:sz w:val="20"/>
                <w:szCs w:val="20"/>
                <w:color w:val="auto"/>
              </w:rPr>
            </w:pPr>
            <w:r>
              <w:rPr>
                <w:rFonts w:ascii="Arial" w:cs="Arial" w:eastAsia="Arial" w:hAnsi="Arial"/>
                <w:sz w:val="18"/>
                <w:szCs w:val="18"/>
                <w:color w:val="auto"/>
              </w:rPr>
              <w:t>$ 349,508</w:t>
            </w:r>
          </w:p>
        </w:tc>
        <w:tc>
          <w:tcPr>
            <w:tcW w:w="7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$349,508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GROWTH INFORMATION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Three months ended October 31, 2012: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Currency</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Acquisitions/Divestitures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October 31, 2011: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Base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Acquisitions/Divestitures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2"/>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SEGMENT PROFIT (LOSS)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October 31, 2012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44,633</w:t>
            </w:r>
          </w:p>
        </w:tc>
        <w:tc>
          <w:tcPr>
            <w:tcW w:w="26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$23,567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
              <w:spacing w:after="0"/>
              <w:rPr>
                <w:sz w:val="20"/>
                <w:szCs w:val="20"/>
                <w:color w:val="auto"/>
              </w:rPr>
            </w:pPr>
            <w:r>
              <w:rPr>
                <w:rFonts w:ascii="Arial" w:cs="Arial" w:eastAsia="Arial" w:hAnsi="Arial"/>
                <w:sz w:val="18"/>
                <w:szCs w:val="18"/>
                <w:color w:val="auto"/>
                <w:w w:val="94"/>
              </w:rPr>
              <w:t>12,055</w:t>
            </w: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72"/>
              <w:spacing w:after="0"/>
              <w:rPr>
                <w:sz w:val="20"/>
                <w:szCs w:val="20"/>
                <w:color w:val="auto"/>
              </w:rPr>
            </w:pPr>
            <w:r>
              <w:rPr>
                <w:rFonts w:ascii="Arial" w:cs="Arial" w:eastAsia="Arial" w:hAnsi="Arial"/>
                <w:sz w:val="18"/>
                <w:szCs w:val="18"/>
                <w:color w:val="auto"/>
                <w:w w:val="94"/>
              </w:rPr>
              <w:t>80,255</w:t>
            </w:r>
          </w:p>
        </w:tc>
        <w:tc>
          <w:tcPr>
            <w:tcW w:w="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center"/>
              <w:spacing w:after="0"/>
              <w:rPr>
                <w:sz w:val="20"/>
                <w:szCs w:val="20"/>
                <w:color w:val="auto"/>
              </w:rPr>
            </w:pPr>
            <w:r>
              <w:rPr>
                <w:rFonts w:ascii="Arial" w:cs="Arial" w:eastAsia="Arial" w:hAnsi="Arial"/>
                <w:sz w:val="18"/>
                <w:szCs w:val="18"/>
                <w:color w:val="auto"/>
                <w:w w:val="87"/>
              </w:rPr>
              <w:t>(1,973)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78,282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October 31, 2011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43,230</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$26,299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w w:val="94"/>
              </w:rPr>
              <w:t>13,304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w w:val="94"/>
              </w:rPr>
              <w:t>82,833</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7"/>
              </w:rPr>
              <w:t>(3,263)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79,570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860"/>
              <w:spacing w:after="0"/>
              <w:rPr>
                <w:sz w:val="20"/>
                <w:szCs w:val="20"/>
                <w:color w:val="auto"/>
              </w:rPr>
            </w:pPr>
            <w:r>
              <w:rPr>
                <w:rFonts w:ascii="Arial" w:cs="Arial" w:eastAsia="Arial" w:hAnsi="Arial"/>
                <w:sz w:val="18"/>
                <w:szCs w:val="18"/>
                <w:i w:val="1"/>
                <w:iCs w:val="1"/>
                <w:color w:val="auto"/>
              </w:rPr>
              <w:t>Percentage increase (decrease)</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51"/>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color w:val="auto"/>
                <w:w w:val="97"/>
              </w:rPr>
              <w:t>Three months ended:</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6"/>
          </w:tcPr>
          <w:p>
            <w:pPr>
              <w:jc w:val="right"/>
              <w:ind w:right="120"/>
              <w:spacing w:after="0" w:line="131" w:lineRule="exact"/>
              <w:rPr>
                <w:sz w:val="20"/>
                <w:szCs w:val="20"/>
                <w:color w:val="auto"/>
              </w:rPr>
            </w:pPr>
            <w:r>
              <w:rPr>
                <w:rFonts w:ascii="Arial" w:cs="Arial" w:eastAsia="Arial" w:hAnsi="Arial"/>
                <w:sz w:val="14"/>
                <w:szCs w:val="14"/>
                <w:color w:val="auto"/>
                <w:w w:val="81"/>
              </w:rPr>
              <w:t>October 31,</w:t>
            </w:r>
          </w:p>
        </w:tc>
        <w:tc>
          <w:tcPr>
            <w:tcW w:w="340" w:type="dxa"/>
            <w:vAlign w:val="bottom"/>
          </w:tcPr>
          <w:p>
            <w:pPr>
              <w:spacing w:after="0"/>
              <w:rPr>
                <w:sz w:val="11"/>
                <w:szCs w:val="11"/>
                <w:color w:val="auto"/>
              </w:rPr>
            </w:pPr>
          </w:p>
        </w:tc>
        <w:tc>
          <w:tcPr>
            <w:tcW w:w="780" w:type="dxa"/>
            <w:vAlign w:val="bottom"/>
            <w:gridSpan w:val="5"/>
          </w:tcPr>
          <w:p>
            <w:pPr>
              <w:jc w:val="right"/>
              <w:spacing w:after="0" w:line="131" w:lineRule="exact"/>
              <w:rPr>
                <w:sz w:val="20"/>
                <w:szCs w:val="20"/>
                <w:color w:val="auto"/>
              </w:rPr>
            </w:pPr>
            <w:r>
              <w:rPr>
                <w:rFonts w:ascii="Arial" w:cs="Arial" w:eastAsia="Arial" w:hAnsi="Arial"/>
                <w:sz w:val="14"/>
                <w:szCs w:val="14"/>
                <w:color w:val="auto"/>
              </w:rPr>
              <w:t>October 31,</w:t>
            </w:r>
          </w:p>
        </w:tc>
        <w:tc>
          <w:tcPr>
            <w:tcW w:w="48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w w:val="76"/>
              </w:rPr>
              <w:t>2012</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112"/>
              <w:spacing w:after="0" w:line="159" w:lineRule="exact"/>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profit for reportable segments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80,255</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$ 82,833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(1,973)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(3,263)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0" w:type="dxa"/>
            <w:vAlign w:val="bottom"/>
          </w:tcPr>
          <w:p>
            <w:pPr>
              <w:ind w:left="440"/>
              <w:spacing w:after="0"/>
              <w:rPr>
                <w:sz w:val="20"/>
                <w:szCs w:val="20"/>
                <w:color w:val="auto"/>
              </w:rPr>
            </w:pPr>
            <w:r>
              <w:rPr>
                <w:rFonts w:ascii="Arial" w:cs="Arial" w:eastAsia="Arial" w:hAnsi="Arial"/>
                <w:sz w:val="18"/>
                <w:szCs w:val="18"/>
                <w:color w:val="auto"/>
              </w:rPr>
              <w:t>Administrative costs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(30,408)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2"/>
              </w:rPr>
              <w:t>(30,480)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(gain) on sales of businesses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(3,438)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0" w:type="dxa"/>
            <w:vAlign w:val="bottom"/>
          </w:tcPr>
          <w:p>
            <w:pPr>
              <w:ind w:left="440"/>
              <w:spacing w:after="0"/>
              <w:rPr>
                <w:sz w:val="20"/>
                <w:szCs w:val="20"/>
                <w:color w:val="auto"/>
              </w:rPr>
            </w:pPr>
            <w:r>
              <w:rPr>
                <w:rFonts w:ascii="Arial" w:cs="Arial" w:eastAsia="Arial" w:hAnsi="Arial"/>
                <w:sz w:val="18"/>
                <w:szCs w:val="18"/>
                <w:color w:val="auto"/>
                <w:w w:val="98"/>
              </w:rPr>
              <w:t>Investment and other income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(4,163)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gridSpan w:val="2"/>
          </w:tcPr>
          <w:p>
            <w:pPr>
              <w:ind w:left="136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8"/>
              </w:rPr>
              <w:t>40,670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43,841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9"/>
              </w:rPr>
              <w:t>(13,482)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(11,109)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0" w:type="dxa"/>
            <w:vAlign w:val="bottom"/>
            <w:vMerge w:val="restart"/>
          </w:tcPr>
          <w:p>
            <w:pPr>
              <w:ind w:left="86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8"/>
              </w:rPr>
              <w:t>27,188</w:t>
            </w:r>
          </w:p>
        </w:tc>
        <w:tc>
          <w:tcPr>
            <w:tcW w:w="120" w:type="dxa"/>
            <w:vAlign w:val="bottom"/>
          </w:tcPr>
          <w:p>
            <w:pPr>
              <w:spacing w:after="0"/>
              <w:rPr>
                <w:sz w:val="19"/>
                <w:szCs w:val="19"/>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$ 32,732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MEASURES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96"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Brady is presenting EBITDA because it is used by many of our investors and lenders, and is presented as a convenience to them. EBITDA represents net income before interest expense, income taxes, depreciation and amortization. EBITDA is not a calculation based on generally accepted accounting principles ("GAAP"). The amounts included in the EBITDA calculation, however, are derived from amounts included in the Condensed Consolidated Statements of Income data.</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Fiscal 2013</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2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Q1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Q3</w:t>
            </w: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20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720" w:type="dxa"/>
            <w:vAlign w:val="bottom"/>
            <w:gridSpan w:val="3"/>
          </w:tcPr>
          <w:p>
            <w:pPr>
              <w:jc w:val="right"/>
              <w:ind w:right="140"/>
              <w:spacing w:after="0"/>
              <w:rPr>
                <w:sz w:val="20"/>
                <w:szCs w:val="20"/>
                <w:color w:val="auto"/>
              </w:rPr>
            </w:pPr>
            <w:r>
              <w:rPr>
                <w:rFonts w:ascii="Arial" w:cs="Arial" w:eastAsia="Arial" w:hAnsi="Arial"/>
                <w:sz w:val="18"/>
                <w:szCs w:val="18"/>
                <w:color w:val="auto"/>
              </w:rPr>
              <w:t>$27,188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27,188</w:t>
            </w:r>
          </w:p>
        </w:tc>
      </w:tr>
      <w:tr>
        <w:trPr>
          <w:trHeight w:val="216"/>
        </w:trPr>
        <w:tc>
          <w:tcPr>
            <w:tcW w:w="5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2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w:t>
            </w:r>
          </w:p>
        </w:tc>
      </w:tr>
      <w:tr>
        <w:trPr>
          <w:trHeight w:val="216"/>
        </w:trPr>
        <w:tc>
          <w:tcPr>
            <w:tcW w:w="502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2720" w:type="dxa"/>
            <w:vAlign w:val="bottom"/>
            <w:gridSpan w:val="3"/>
          </w:tcPr>
          <w:p>
            <w:pPr>
              <w:jc w:val="right"/>
              <w:ind w:right="140"/>
              <w:spacing w:after="0"/>
              <w:rPr>
                <w:sz w:val="20"/>
                <w:szCs w:val="20"/>
                <w:color w:val="auto"/>
              </w:rPr>
            </w:pPr>
            <w:r>
              <w:rPr>
                <w:rFonts w:ascii="Arial" w:cs="Arial" w:eastAsia="Arial" w:hAnsi="Arial"/>
                <w:sz w:val="18"/>
                <w:szCs w:val="18"/>
                <w:color w:val="auto"/>
              </w:rPr>
              <w:t>13,482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13,482</w:t>
            </w:r>
          </w:p>
        </w:tc>
      </w:tr>
      <w:tr>
        <w:trPr>
          <w:trHeight w:val="216"/>
        </w:trPr>
        <w:tc>
          <w:tcPr>
            <w:tcW w:w="5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w:t>
            </w:r>
          </w:p>
        </w:tc>
        <w:tc>
          <w:tcPr>
            <w:tcW w:w="20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00" w:type="dxa"/>
            <w:vAlign w:val="bottom"/>
            <w:shd w:val="clear" w:color="auto" w:fill="CCEEFF"/>
          </w:tcPr>
          <w:p>
            <w:pPr>
              <w:spacing w:after="0"/>
              <w:rPr>
                <w:sz w:val="18"/>
                <w:szCs w:val="18"/>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EBITDA (non-GAAP measure)</w:t>
            </w:r>
          </w:p>
        </w:tc>
        <w:tc>
          <w:tcPr>
            <w:tcW w:w="272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55,508</w:t>
            </w:r>
          </w:p>
        </w:tc>
      </w:tr>
      <w:tr>
        <w:trPr>
          <w:trHeight w:val="20"/>
        </w:trPr>
        <w:tc>
          <w:tcPr>
            <w:tcW w:w="5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5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Fiscal 2012</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2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Q1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Q3</w:t>
            </w: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20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2720" w:type="dxa"/>
            <w:vAlign w:val="bottom"/>
            <w:gridSpan w:val="3"/>
          </w:tcPr>
          <w:p>
            <w:pPr>
              <w:jc w:val="right"/>
              <w:ind w:right="140"/>
              <w:spacing w:after="0"/>
              <w:rPr>
                <w:sz w:val="20"/>
                <w:szCs w:val="20"/>
                <w:color w:val="auto"/>
              </w:rPr>
            </w:pPr>
            <w:r>
              <w:rPr>
                <w:rFonts w:ascii="Arial" w:cs="Arial" w:eastAsia="Arial" w:hAnsi="Arial"/>
                <w:sz w:val="18"/>
                <w:szCs w:val="18"/>
                <w:color w:val="auto"/>
              </w:rPr>
              <w:t>$32,732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(89,954)</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$27,652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11,659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(17,911)</w:t>
            </w:r>
          </w:p>
        </w:tc>
      </w:tr>
      <w:tr>
        <w:trPr>
          <w:trHeight w:val="216"/>
        </w:trPr>
        <w:tc>
          <w:tcPr>
            <w:tcW w:w="5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2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19,090</w:t>
            </w:r>
          </w:p>
        </w:tc>
      </w:tr>
      <w:tr>
        <w:trPr>
          <w:trHeight w:val="216"/>
        </w:trPr>
        <w:tc>
          <w:tcPr>
            <w:tcW w:w="502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2720" w:type="dxa"/>
            <w:vAlign w:val="bottom"/>
            <w:gridSpan w:val="3"/>
          </w:tcPr>
          <w:p>
            <w:pPr>
              <w:jc w:val="right"/>
              <w:ind w:right="140"/>
              <w:spacing w:after="0"/>
              <w:rPr>
                <w:sz w:val="20"/>
                <w:szCs w:val="20"/>
                <w:color w:val="auto"/>
              </w:rPr>
            </w:pPr>
            <w:r>
              <w:rPr>
                <w:rFonts w:ascii="Arial" w:cs="Arial" w:eastAsia="Arial" w:hAnsi="Arial"/>
                <w:sz w:val="18"/>
                <w:szCs w:val="18"/>
                <w:color w:val="auto"/>
              </w:rPr>
              <w:t>11,109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9,676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40,661</w:t>
            </w:r>
          </w:p>
        </w:tc>
      </w:tr>
      <w:tr>
        <w:trPr>
          <w:trHeight w:val="216"/>
        </w:trPr>
        <w:tc>
          <w:tcPr>
            <w:tcW w:w="5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w:t>
            </w:r>
          </w:p>
        </w:tc>
        <w:tc>
          <w:tcPr>
            <w:tcW w:w="2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11,241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10,745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43,987</w:t>
            </w:r>
          </w:p>
        </w:tc>
      </w:tr>
      <w:tr>
        <w:trPr>
          <w:trHeight w:val="223"/>
        </w:trPr>
        <w:tc>
          <w:tcPr>
            <w:tcW w:w="5020" w:type="dxa"/>
            <w:vAlign w:val="bottom"/>
          </w:tcPr>
          <w:p>
            <w:pPr>
              <w:ind w:left="880"/>
              <w:spacing w:after="0"/>
              <w:rPr>
                <w:sz w:val="20"/>
                <w:szCs w:val="20"/>
                <w:color w:val="auto"/>
              </w:rPr>
            </w:pPr>
            <w:r>
              <w:rPr>
                <w:rFonts w:ascii="Arial" w:cs="Arial" w:eastAsia="Arial" w:hAnsi="Arial"/>
                <w:sz w:val="18"/>
                <w:szCs w:val="18"/>
                <w:color w:val="auto"/>
              </w:rPr>
              <w:t>Impairment charge</w:t>
            </w:r>
          </w:p>
        </w:tc>
        <w:tc>
          <w:tcPr>
            <w:tcW w:w="2000" w:type="dxa"/>
            <w:vAlign w:val="bottom"/>
          </w:tcPr>
          <w:p>
            <w:pPr>
              <w:spacing w:after="0"/>
              <w:rPr>
                <w:sz w:val="19"/>
                <w:szCs w:val="19"/>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115,688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115,688</w:t>
            </w:r>
          </w:p>
        </w:tc>
        <w:tc>
          <w:tcPr>
            <w:tcW w:w="100" w:type="dxa"/>
            <w:vAlign w:val="bottom"/>
          </w:tcPr>
          <w:p>
            <w:pPr>
              <w:spacing w:after="0"/>
              <w:rPr>
                <w:sz w:val="19"/>
                <w:szCs w:val="19"/>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EBITDA (non-GAAP measure)</w:t>
            </w:r>
          </w:p>
        </w:tc>
        <w:tc>
          <w:tcPr>
            <w:tcW w:w="2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50,237</w:t>
            </w: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38,341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201,515</w:t>
            </w:r>
          </w:p>
        </w:tc>
      </w:tr>
      <w:tr>
        <w:trPr>
          <w:trHeight w:val="20"/>
        </w:trPr>
        <w:tc>
          <w:tcPr>
            <w:tcW w:w="5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Excluding Losses on the Sales of Businesses:</w:t>
      </w:r>
    </w:p>
    <w:p>
      <w:pPr>
        <w:spacing w:after="0" w:line="9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This is a measure of the Company’s diluted net earnings per share excluding current year losses on the sales of businesses. We do not view these items to be part of our sustainable results. We believe this earnings per share measure provides an important perspective of underlying business trends and results and provides a more comparable measure of year-on-year earnings per share growth. The table below provides a reconciliation of diluted earnings per share to diluted earnings per share excluding losses on the sales of businesses: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ind w:left="140"/>
              <w:spacing w:after="0"/>
              <w:rPr>
                <w:sz w:val="20"/>
                <w:szCs w:val="20"/>
                <w:color w:val="auto"/>
              </w:rPr>
            </w:pPr>
            <w:r>
              <w:rPr>
                <w:rFonts w:ascii="Arial" w:cs="Arial" w:eastAsia="Arial" w:hAnsi="Arial"/>
                <w:sz w:val="14"/>
                <w:szCs w:val="14"/>
                <w:color w:val="auto"/>
              </w:rPr>
              <w:t>Three Months Ended</w:t>
            </w:r>
          </w:p>
        </w:tc>
      </w:tr>
      <w:tr>
        <w:trPr>
          <w:trHeight w:val="159"/>
        </w:trPr>
        <w:tc>
          <w:tcPr>
            <w:tcW w:w="7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October 31,</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2012</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Share</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$ 0.53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Loss on the sale of Brady Medical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the sale of Varitronics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b w:val="1"/>
                <w:bCs w:val="1"/>
                <w:color w:val="auto"/>
              </w:rPr>
              <w:t>Diluted Earnings per Share Excluding Losses on the Sales of Businesses</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$ 0.59</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reconciling items are presented net of tax. Tax effects are calculated consistent with the nature of the underlying transaction.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Excluding Losses on the Sales of Businesses:</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This is a measure of the Company’s net income excluding current year losses on the sales of businesses. We do not view these items to be part of our sustainable results. We believe this net income measure provides an important perspective of underlying business trends and results and provides a more comparable measure of year-on-year net income growth. The table below provides a reconciliation of net income to net income excluding the losses on the sales of businesses:</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4"/>
                <w:szCs w:val="14"/>
                <w:color w:val="auto"/>
                <w:w w:val="87"/>
              </w:rPr>
              <w:t>Three Months Ended</w:t>
            </w:r>
          </w:p>
        </w:tc>
      </w:tr>
      <w:tr>
        <w:trPr>
          <w:trHeight w:val="159"/>
        </w:trPr>
        <w:tc>
          <w:tcPr>
            <w:tcW w:w="6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4"/>
          </w:tcPr>
          <w:p>
            <w:pPr>
              <w:jc w:val="center"/>
              <w:ind w:right="120"/>
              <w:spacing w:after="0" w:line="159" w:lineRule="exact"/>
              <w:rPr>
                <w:sz w:val="20"/>
                <w:szCs w:val="20"/>
                <w:color w:val="auto"/>
              </w:rPr>
            </w:pPr>
            <w:r>
              <w:rPr>
                <w:rFonts w:ascii="Arial" w:cs="Arial" w:eastAsia="Arial" w:hAnsi="Arial"/>
                <w:sz w:val="14"/>
                <w:szCs w:val="14"/>
                <w:color w:val="auto"/>
                <w:w w:val="87"/>
              </w:rPr>
              <w:t>October 31,</w:t>
            </w: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color w:val="auto"/>
              </w:rPr>
              <w:t>2012</w:t>
            </w:r>
          </w:p>
        </w:tc>
        <w:tc>
          <w:tcPr>
            <w:tcW w:w="1020" w:type="dxa"/>
            <w:vAlign w:val="bottom"/>
            <w:tcBorders>
              <w:top w:val="single" w:sz="8" w:color="auto"/>
            </w:tcBorders>
            <w:gridSpan w:val="2"/>
          </w:tcPr>
          <w:p>
            <w:pPr>
              <w:jc w:val="center"/>
              <w:ind w:left="372"/>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$27,188</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$32,732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Loss on the sale of Brady Medical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2,577</w:t>
            </w:r>
          </w:p>
        </w:tc>
        <w:tc>
          <w:tcPr>
            <w:tcW w:w="4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the sale of Varitronics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b w:val="1"/>
                <w:bCs w:val="1"/>
                <w:color w:val="auto"/>
              </w:rPr>
              <w:t>Net Income Excluding Losses on the Sales of Businesses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30,403</w:t>
            </w: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32,732</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reconciling items are presented net of tax. Tax effects are calculated consistent with the nature of the underlying transaction.</w:t>
      </w:r>
    </w:p>
    <w:p>
      <w:pPr>
        <w:sectPr>
          <w:pgSz w:w="11900" w:h="16838" w:orient="portrait"/>
          <w:cols w:equalWidth="0" w:num="1">
            <w:col w:w="11420"/>
          </w:cols>
          <w:pgMar w:left="240" w:top="274" w:right="239" w:bottom="1440" w:gutter="0" w:footer="0" w:header="0"/>
        </w:sectPr>
      </w:pPr>
    </w:p>
    <w:bookmarkStart w:id="11" w:name="page12"/>
    <w:bookmarkEnd w:id="11"/>
    <w:p>
      <w:pPr>
        <w:ind w:left="922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130175</wp:posOffset>
            </wp:positionV>
            <wp:extent cx="6174740" cy="9321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2019-12-09T09:26:37Z</dcterms:created>
  <dcterms:modified xsi:type="dcterms:W3CDTF">2019-12-09T09:26:37Z</dcterms:modified>
</cp:coreProperties>
</file>