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11,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927" w:right="359" w:bottom="1440" w:gutter="0" w:footer="0" w:header="0"/>
          <w:type w:val="continuous"/>
        </w:sectPr>
      </w:pPr>
    </w:p>
    <w:p>
      <w:pPr>
        <w:spacing w:after="0" w:line="234"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On September 12, 2007, Brady Corporation (the “Corporation”) issued a press release announcing its fiscal 2007 fourth quarter financial results. A copy of the press release is being furnished to the Securities and Exchange Commission as Exhibit 99.1 attached hereto and is incorporated herein by reference.</w:t>
      </w:r>
    </w:p>
    <w:p>
      <w:pPr>
        <w:spacing w:after="0" w:line="1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62" w:lineRule="exact"/>
        <w:rPr>
          <w:sz w:val="20"/>
          <w:szCs w:val="20"/>
          <w:color w:val="auto"/>
        </w:rPr>
      </w:pPr>
    </w:p>
    <w:p>
      <w:pPr>
        <w:ind w:right="80" w:firstLine="8"/>
        <w:spacing w:after="0" w:line="273"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September 12, 2007, the Corporation amended the Brady Corporation Deferred Compensation Plan, Brady Corporation Directors’ Deferred Compensation Plan, and Brady Corporation Restoration Plan so that the plans remain compliant with the regulations recently issued under Section 409A of the Internal Revenue Code. The amendments, which are technical in nature and are not intended to materially alter the content of the plans, become effective on January 1, 2008. The foregoing description of the amendments does not purport to be complete and is qualified in its entirety by reference to the full text of the Brady Corporation Deferred Compensation Plan, Brady Corporation Directors’ Deferred Compensation Plan, and Brady Corporation Restoration Plan, copies of which are filed herewith as Exhibit 10.1, 10.2 and 10.3, respectively, and are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jc w:val="both"/>
        <w:ind w:right="260" w:firstLine="225"/>
        <w:spacing w:after="0" w:line="286" w:lineRule="auto"/>
        <w:rPr>
          <w:sz w:val="20"/>
          <w:szCs w:val="20"/>
          <w:color w:val="auto"/>
        </w:rPr>
      </w:pPr>
      <w:r>
        <w:rPr>
          <w:rFonts w:ascii="Arial" w:cs="Arial" w:eastAsia="Arial" w:hAnsi="Arial"/>
          <w:sz w:val="17"/>
          <w:szCs w:val="17"/>
          <w:color w:val="auto"/>
        </w:rPr>
        <w:t>On September 11, 2007, the Corporation announced that its Board of Directors had increased the quarterly cash dividend on its Class A Common Stock from $0.14 to $0.15 per share. The dividend will be paid on October 31, 2007, to shareholders of record as of the close of business on October 10, 2007. A copy of the press release regarding the dividend is attached hereto as Exhibit 99.2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7"/>
              </w:rPr>
              <w:t>Exhibit No.</w:t>
            </w:r>
          </w:p>
        </w:tc>
        <w:tc>
          <w:tcPr>
            <w:tcW w:w="560" w:type="dxa"/>
            <w:vAlign w:val="bottom"/>
          </w:tcPr>
          <w:p>
            <w:pPr>
              <w:spacing w:after="0"/>
              <w:rPr>
                <w:sz w:val="14"/>
                <w:szCs w:val="14"/>
                <w:color w:val="auto"/>
              </w:rPr>
            </w:pPr>
          </w:p>
        </w:tc>
        <w:tc>
          <w:tcPr>
            <w:tcW w:w="10040" w:type="dxa"/>
            <w:vAlign w:val="bottom"/>
            <w:tcBorders>
              <w:bottom w:val="single" w:sz="8" w:color="auto"/>
            </w:tcBorders>
          </w:tcPr>
          <w:p>
            <w:pPr>
              <w:ind w:left="4380"/>
              <w:spacing w:after="0"/>
              <w:rPr>
                <w:sz w:val="20"/>
                <w:szCs w:val="20"/>
                <w:color w:val="auto"/>
              </w:rPr>
            </w:pPr>
            <w:r>
              <w:rPr>
                <w:rFonts w:ascii="Arial" w:cs="Arial" w:eastAsia="Arial" w:hAnsi="Arial"/>
                <w:sz w:val="14"/>
                <w:szCs w:val="14"/>
                <w:color w:val="auto"/>
              </w:rPr>
              <w:t>Description of Exhibit</w:t>
            </w:r>
          </w:p>
        </w:tc>
      </w:tr>
      <w:tr>
        <w:trPr>
          <w:trHeight w:val="426"/>
        </w:trPr>
        <w:tc>
          <w:tcPr>
            <w:tcW w:w="820" w:type="dxa"/>
            <w:vAlign w:val="bottom"/>
          </w:tcPr>
          <w:p>
            <w:pPr>
              <w:jc w:val="right"/>
              <w:ind w:right="153"/>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Brady Corporation Deferred Compensation Plan, as amended.</w:t>
            </w:r>
          </w:p>
        </w:tc>
      </w:tr>
      <w:tr>
        <w:trPr>
          <w:trHeight w:val="432"/>
        </w:trPr>
        <w:tc>
          <w:tcPr>
            <w:tcW w:w="820" w:type="dxa"/>
            <w:vAlign w:val="bottom"/>
          </w:tcPr>
          <w:p>
            <w:pPr>
              <w:jc w:val="right"/>
              <w:ind w:right="153"/>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Brady Corporation Directors’ Deferred Compensation Plan, as amended.</w:t>
            </w:r>
          </w:p>
        </w:tc>
      </w:tr>
      <w:tr>
        <w:trPr>
          <w:trHeight w:val="432"/>
        </w:trPr>
        <w:tc>
          <w:tcPr>
            <w:tcW w:w="820" w:type="dxa"/>
            <w:vAlign w:val="bottom"/>
          </w:tcPr>
          <w:p>
            <w:pPr>
              <w:jc w:val="right"/>
              <w:ind w:right="153"/>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Brady Corporation Restoration Plan, as amended.</w:t>
            </w:r>
          </w:p>
        </w:tc>
      </w:tr>
      <w:tr>
        <w:trPr>
          <w:trHeight w:val="432"/>
        </w:trPr>
        <w:tc>
          <w:tcPr>
            <w:tcW w:w="820" w:type="dxa"/>
            <w:vAlign w:val="bottom"/>
          </w:tcPr>
          <w:p>
            <w:pPr>
              <w:jc w:val="right"/>
              <w:ind w:right="153"/>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September 12, 2007, relating to fourth quarter fiscal 2007 financial results.</w:t>
            </w:r>
          </w:p>
        </w:tc>
      </w:tr>
      <w:tr>
        <w:trPr>
          <w:trHeight w:val="432"/>
        </w:trPr>
        <w:tc>
          <w:tcPr>
            <w:tcW w:w="820" w:type="dxa"/>
            <w:vAlign w:val="bottom"/>
          </w:tcPr>
          <w:p>
            <w:pPr>
              <w:jc w:val="right"/>
              <w:ind w:right="153"/>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September 11, 2007, relating to increase in quarterly dividend.</w:t>
            </w:r>
          </w:p>
        </w:tc>
      </w:tr>
      <w:tr>
        <w:trPr>
          <w:trHeight w:val="632"/>
        </w:trPr>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17, 2007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Mathieson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2" w:right="379" w:bottom="144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ind w:left="3680"/>
              <w:spacing w:after="0"/>
              <w:rPr>
                <w:sz w:val="20"/>
                <w:szCs w:val="20"/>
                <w:color w:val="auto"/>
              </w:rPr>
            </w:pPr>
            <w:r>
              <w:rPr>
                <w:rFonts w:ascii="Arial" w:cs="Arial" w:eastAsia="Arial" w:hAnsi="Arial"/>
                <w:sz w:val="18"/>
                <w:szCs w:val="18"/>
                <w:color w:val="auto"/>
              </w:rPr>
              <w:t>EXHIBIT INDEX</w:t>
            </w:r>
          </w:p>
        </w:tc>
      </w:tr>
      <w:tr>
        <w:trPr>
          <w:trHeight w:val="346"/>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60" w:type="dxa"/>
            <w:vAlign w:val="bottom"/>
          </w:tcPr>
          <w:p>
            <w:pPr>
              <w:spacing w:after="0"/>
              <w:rPr>
                <w:sz w:val="14"/>
                <w:szCs w:val="14"/>
                <w:color w:val="auto"/>
              </w:rPr>
            </w:pPr>
          </w:p>
        </w:tc>
        <w:tc>
          <w:tcPr>
            <w:tcW w:w="10040" w:type="dxa"/>
            <w:vAlign w:val="bottom"/>
            <w:tcBorders>
              <w:bottom w:val="single" w:sz="8" w:color="auto"/>
            </w:tcBorders>
          </w:tcPr>
          <w:p>
            <w:pPr>
              <w:ind w:left="4560"/>
              <w:spacing w:after="0"/>
              <w:rPr>
                <w:sz w:val="20"/>
                <w:szCs w:val="20"/>
                <w:color w:val="auto"/>
              </w:rPr>
            </w:pPr>
            <w:r>
              <w:rPr>
                <w:rFonts w:ascii="Arial" w:cs="Arial" w:eastAsia="Arial" w:hAnsi="Arial"/>
                <w:sz w:val="14"/>
                <w:szCs w:val="14"/>
                <w:color w:val="auto"/>
              </w:rPr>
              <w:t>DESCRIPTION</w:t>
            </w:r>
          </w:p>
        </w:tc>
      </w:tr>
      <w:tr>
        <w:trPr>
          <w:trHeight w:val="426"/>
        </w:trPr>
        <w:tc>
          <w:tcPr>
            <w:tcW w:w="820" w:type="dxa"/>
            <w:vAlign w:val="bottom"/>
          </w:tcPr>
          <w:p>
            <w:pPr>
              <w:jc w:val="right"/>
              <w:ind w:right="155"/>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Brady Corporation Deferred Compensation Plan, as amended.</w:t>
            </w:r>
          </w:p>
        </w:tc>
      </w:tr>
      <w:tr>
        <w:trPr>
          <w:trHeight w:val="432"/>
        </w:trPr>
        <w:tc>
          <w:tcPr>
            <w:tcW w:w="820" w:type="dxa"/>
            <w:vAlign w:val="bottom"/>
          </w:tcPr>
          <w:p>
            <w:pPr>
              <w:jc w:val="right"/>
              <w:ind w:right="155"/>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Brady Corporation Directors’ Deferred Compensation Plan, as amended.</w:t>
            </w:r>
          </w:p>
        </w:tc>
      </w:tr>
      <w:tr>
        <w:trPr>
          <w:trHeight w:val="432"/>
        </w:trPr>
        <w:tc>
          <w:tcPr>
            <w:tcW w:w="820" w:type="dxa"/>
            <w:vAlign w:val="bottom"/>
          </w:tcPr>
          <w:p>
            <w:pPr>
              <w:jc w:val="right"/>
              <w:ind w:right="155"/>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Brady Corporation Restoration Plan, as amended.</w:t>
            </w:r>
          </w:p>
        </w:tc>
      </w:tr>
      <w:tr>
        <w:trPr>
          <w:trHeight w:val="432"/>
        </w:trPr>
        <w:tc>
          <w:tcPr>
            <w:tcW w:w="820" w:type="dxa"/>
            <w:vAlign w:val="bottom"/>
          </w:tcPr>
          <w:p>
            <w:pPr>
              <w:jc w:val="right"/>
              <w:ind w:right="155"/>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September 12, 2007, relating to fourth quarter fiscal 2007 financial results.</w:t>
            </w:r>
          </w:p>
        </w:tc>
      </w:tr>
      <w:tr>
        <w:trPr>
          <w:trHeight w:val="432"/>
        </w:trPr>
        <w:tc>
          <w:tcPr>
            <w:tcW w:w="820" w:type="dxa"/>
            <w:vAlign w:val="bottom"/>
          </w:tcPr>
          <w:p>
            <w:pPr>
              <w:jc w:val="right"/>
              <w:ind w:right="155"/>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Brady Corporation, dated September 11, 2007, relating to increase in quarterly dividend.</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DEFERRED COMPENSATION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For periods prior to calendar year 2005, Brady Corporation has maintained the Brady Corporation Executive Deferred Compensation Plan by means of a series of individual deferred compensation agreements with covered executives. Amounts deferred prior to January 1, 2005 (which were all fully vested under Plan terms), including past and future earnings credited thereon, shall remain subject to the terms of those individual agreements as previously in effect (the “Frozen Agreements”) but no further amounts shall be deferred under the Frozen Agreements. All deferrals to the Plan for periods on or after January 1, 2005 shall be governed by the terms and provisions of this document. Except as provided in Sections 4.2(b)(x) and 6.1(a)(iii)(C) below, nothing in this document shall apply to amounts deferred prior to 2005 and past and future earnings credited thereon.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account credited from time to time with bookkeeping amounts equal to the portions of a Participant’s compensation deferred pursuant to Section 3.2 and earnings credited on such amounts in accordance with Article IV.</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Compensation Committee of the Board of Directors of Brady Corporation.</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Beneficiary</w:t>
      </w:r>
      <w:r>
        <w:rPr>
          <w:rFonts w:ascii="Arial" w:cs="Arial" w:eastAsia="Arial" w:hAnsi="Arial"/>
          <w:sz w:val="18"/>
          <w:szCs w:val="18"/>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220"/>
        <w:spacing w:after="0" w:line="264" w:lineRule="auto"/>
        <w:rPr>
          <w:sz w:val="20"/>
          <w:szCs w:val="20"/>
          <w:color w:val="auto"/>
        </w:rPr>
      </w:pPr>
      <w:r>
        <w:rPr>
          <w:rFonts w:ascii="Arial" w:cs="Arial" w:eastAsia="Arial" w:hAnsi="Arial"/>
          <w:sz w:val="18"/>
          <w:szCs w:val="18"/>
          <w:color w:val="auto"/>
        </w:rPr>
        <w:t>provided, however, that the Corporation may reject any such instrument tendered for filing if it contains successive beneficiaries or contingencies unacceptable to it. If all Beneficiaries who survive the Participant shall die before receiving the full amounts payable hereunder, then the payments shall be paid to the estate of the Beneficiary last to die.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including any subsequent amendments.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Corporation</w:t>
      </w:r>
      <w:r>
        <w:rPr>
          <w:rFonts w:ascii="Arial" w:cs="Arial" w:eastAsia="Arial" w:hAnsi="Arial"/>
          <w:sz w:val="16"/>
          <w:szCs w:val="16"/>
          <w:color w:val="auto"/>
        </w:rPr>
        <w:t>” means Brady Corporation, and each of its affiliates which has adopted the Plan or may adopt the Plan. Currently, the additional sponsoring affiliates are Tricor Direct, Inc. and Brady Worldwide, Inc. The term “Corporation” as used throughout this Plan shall include references to those affiliates of Brady Corporation which have also adopted the Plan; provided, however, that for purposes of the power to amend or terminate the Plan or take any other action under or with respect to the Plan, except for the payment of benefits, the term “Corporation” shall refer only to Brady Corporation.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2.6 “</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January 1, 2008. This document describes how this Plan has been administered for periods after 2004 and prior to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and how it shall be administered for periods after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including any subsequent amendments.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period beginning August 1 and ending July 31.</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key management or highly compensated employee designated as eligible to participate in the Plan for a Plan Year under Section 3.1 (such persons shall be known as “Active Participants” for such Plan Year) and any person who previously participated in the Plan and is entitled to benefits.</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Performance Based Bonus</w:t>
      </w:r>
      <w:r>
        <w:rPr>
          <w:rFonts w:ascii="Arial" w:cs="Arial" w:eastAsia="Arial" w:hAnsi="Arial"/>
          <w:sz w:val="16"/>
          <w:szCs w:val="16"/>
          <w:color w:val="auto"/>
        </w:rPr>
        <w:t>” means bonus compensation, the amount of which or entitlement to, is based on services performed over a period of at least 12 consecutive months which is contingent on the satisfaction of pre-established organizational or individual performance criteria, which performance criteria are not substantially certain to be met at the time a deferral election is permitted. Performance Based Bonus compensation may include payments based upon subjective performance criteria, but (i) any subjective performance criteria must relate to the performance of the Participant service provider, a group of service providers that includes the Participant service provider, or a business unit for which the Participant provides services (which may include the entire organization) and (ii) the determination that any subjective performance criteria have been met must not be made by the Participant or a family member of the Participant (as defined in Code Section 267(c)(4) applied as if the family of an individual includes the spouse of any family member).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A Performance Based Bonus may include payments based on performance criteria that are not approved by the Administrator or by the stockholders of the Corporation. A Performance Based Bonus shall not include any amount or portion of any amount that will be paid either regardless of performance, or based upon a level of performance that is substantially certain to be met at the time the criteria are established. Whether a bonus is performance based shall be determined in accordance with the requirements of IRS Reg. Section 1.409A-1 (e) which are summarized in part in this Section 2.10.</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left="240"/>
        <w:spacing w:after="0"/>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Plan</w:t>
      </w:r>
      <w:r>
        <w:rPr>
          <w:rFonts w:ascii="Arial" w:cs="Arial" w:eastAsia="Arial" w:hAnsi="Arial"/>
          <w:sz w:val="16"/>
          <w:szCs w:val="16"/>
          <w:color w:val="auto"/>
        </w:rPr>
        <w:t>” means the Brady Corporation Executive Deferred Compensation Plan, as set forth herein, as applicable to amounts deferred after calendar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and as it may be amended from time to time.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have the meaning set forth in IRS Regulation Section 1.409A-1 the requirements of which are summarized in part as follows:</w:t>
      </w:r>
    </w:p>
    <w:p>
      <w:pPr>
        <w:spacing w:after="0" w:line="62" w:lineRule="exact"/>
        <w:rPr>
          <w:sz w:val="20"/>
          <w:szCs w:val="20"/>
          <w:color w:val="auto"/>
        </w:rPr>
      </w:pPr>
    </w:p>
    <w:p>
      <w:pPr>
        <w:ind w:left="240" w:right="20" w:firstLine="221"/>
        <w:spacing w:after="0" w:line="269" w:lineRule="auto"/>
        <w:tabs>
          <w:tab w:leader="none" w:pos="71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The Participant shall have a Separation from Service with the Corporation if the Participant dies, retires, or otherwise has a termination of employment with the Corporation. However, for purposes of this Section 2.13,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Corporation under an applicable statute or by contract. For purposes of this paragraph (a) of this Section 2.13, a leave of absence constitutes a bona fide leave of absence only if there is a reasonable expectation that the Participant will return to perform services for the Corporation.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may be substituted for such six-month period.</w:t>
      </w:r>
    </w:p>
    <w:p>
      <w:pPr>
        <w:spacing w:after="0" w:line="74" w:lineRule="exact"/>
        <w:rPr>
          <w:rFonts w:ascii="Arial" w:cs="Arial" w:eastAsia="Arial" w:hAnsi="Arial"/>
          <w:sz w:val="17"/>
          <w:szCs w:val="17"/>
          <w:color w:val="auto"/>
        </w:rPr>
      </w:pPr>
    </w:p>
    <w:p>
      <w:pPr>
        <w:ind w:left="240" w:right="40" w:firstLine="221"/>
        <w:spacing w:after="0" w:line="285"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Whether a termination of employment has occurred is determined based on whether the facts and circumstances indicate that the Corporation and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Corporation if the Participant has been providing services to the Corporation less than</w:t>
      </w:r>
    </w:p>
    <w:p>
      <w:pPr>
        <w:spacing w:after="0" w:line="2" w:lineRule="exact"/>
        <w:rPr>
          <w:rFonts w:ascii="Arial" w:cs="Arial" w:eastAsia="Arial" w:hAnsi="Arial"/>
          <w:sz w:val="16"/>
          <w:szCs w:val="16"/>
          <w:color w:val="auto"/>
        </w:rPr>
      </w:pPr>
    </w:p>
    <w:p>
      <w:pPr>
        <w:ind w:left="240"/>
        <w:spacing w:after="0" w:line="251" w:lineRule="auto"/>
        <w:rPr>
          <w:rFonts w:ascii="Arial" w:cs="Arial" w:eastAsia="Arial" w:hAnsi="Arial"/>
          <w:sz w:val="16"/>
          <w:szCs w:val="16"/>
          <w:color w:val="auto"/>
        </w:rPr>
      </w:pPr>
      <w:r>
        <w:rPr>
          <w:rFonts w:ascii="Arial" w:cs="Arial" w:eastAsia="Arial" w:hAnsi="Arial"/>
          <w:sz w:val="18"/>
          <w:szCs w:val="18"/>
          <w:color w:val="auto"/>
        </w:rPr>
        <w:t>36 months). Facts and circumstances to be considered in making this determination include, but are not limited to, whether the Participant continues to be treated as an employee for other purposes (such as continuation of salary and participation in employee benefit programs), whether similarly situated service providers have been treated consistently, and whether the Participant is permitted, and realistically available, to perform services for other service recipients in the same line of business. The Participant is presumed to have Separated from Service where the level of bona fide services performed decreases to a level equal to 20 percent or less of the average level of services performed by the employee during the immediately preceding 36-month period. The Participant will be presumed not to have Separated from Service where the level of bona fide services performed continues at a level that is 50 percent or more of the average level of service performed by the Participant during the immediately preceding 36-month period. No presumption applies to a decrease in the level of bona fide services performed to a level that is more than 20 percent and less than 50 percent of the average level of bona fide services performed during the immediately preceding 36-month period. The presumption is rebuttable by demonstrating that the Corporation and the Participant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60"/>
        <w:spacing w:after="0" w:line="268" w:lineRule="auto"/>
        <w:rPr>
          <w:sz w:val="20"/>
          <w:szCs w:val="20"/>
          <w:color w:val="auto"/>
        </w:rPr>
      </w:pPr>
      <w:r>
        <w:rPr>
          <w:rFonts w:ascii="Arial" w:cs="Arial" w:eastAsia="Arial" w:hAnsi="Arial"/>
          <w:sz w:val="17"/>
          <w:szCs w:val="17"/>
          <w:color w:val="auto"/>
        </w:rPr>
        <w:t>reasonably anticipated that as of a certain date the level of bona fide services would be reduced permanently to a level less than or equal to 20 percent of the average level of bona fide services provided during the immediately preceding 36-month period or the full period of services to the Corporation if the Participant has been providing services to the Corporation less than 36 months (or that the level of bona fide services would not be so reduced). For example, the Participant may demonstrate that the Corporation and the Participant reasonably anticipated that the Participant would cease providing services, but that, after the original cessation of services, business circumstances such as termination of the Participant’s replacement caused the Participant to return to employment. Although the Participant’s return to employment may cause the Participant to be presumed to have continued in employment because the Participant is providing services at a rate equal to the rate at which the Participant was providing services before the termination of employment, the facts and circumstances in this case would demonstrate that at the time the Participant originally ceased to provide services, the Corporation reasonably anticipated that the Participant would not provide services in the future. For purposes of this paragraph (b), for periods during which the Participant is on a paid bona fide leave of absence (as defined in paragraph (a) of this Section 2.13) and has not otherwise terminated employment pursuant to paragraph (a) of this Section 2.13, the Participant is treated as providing bona fide services at a level equal to the level of services that the Participant would have been required to perform to receive the compensation paid with respect to such leave of absence. Periods during which the Participant is on an unpaid bona fide leave of absence (as defined in paragraph (a) of this Section 2.13) and has not otherwise terminated employment pursuant to paragraph (a) of this Section 2.13, are disregarded for purposes of this paragraph (b) of this Section 2.13 (including for purposes of determining the applicable 36-month (or shorter) period).</w:t>
      </w:r>
    </w:p>
    <w:p>
      <w:pPr>
        <w:spacing w:after="0" w:line="75" w:lineRule="exact"/>
        <w:rPr>
          <w:sz w:val="20"/>
          <w:szCs w:val="20"/>
          <w:color w:val="auto"/>
        </w:rPr>
      </w:pPr>
    </w:p>
    <w:p>
      <w:pPr>
        <w:ind w:firstLine="221"/>
        <w:spacing w:after="0" w:line="270" w:lineRule="auto"/>
        <w:tabs>
          <w:tab w:leader="none" w:pos="47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Asset Purchase Transactions</w:t>
      </w:r>
      <w:r>
        <w:rPr>
          <w:rFonts w:ascii="Arial" w:cs="Arial" w:eastAsia="Arial" w:hAnsi="Arial"/>
          <w:sz w:val="17"/>
          <w:szCs w:val="17"/>
          <w:color w:val="auto"/>
        </w:rPr>
        <w:t>. Where as part of a sale or other disposition of assets by the Corporation as seller to an unrelated service recipient (buyer), a Participant of the Corporation would otherwise experience a Separation from Service with the Corporation, the Corporation and the buyer may retain the discretion to specify, and may specify, whether a Participant providing services to the Corporation immediately before the asset purchase transaction and providing services to the buyer after and in connection with the asset purchase transaction has experienced a Separation from Service, provided that the asset purchase transaction results from bona fide, arm’s length negotiations, all service providers providing services to the Corporation immediately before the asset purchase transaction and providing services to the buyer after and in connection with the asset purchase transaction are treated consistently (regardless of position at the Corporation) for purposes of applying the provisions of any nonqualified deferred compensation plan, and such treatment is specified in writing no later than the closing date of the asset purchase transaction. For purposes of this paragraph (c), references to a sale or other disposition of assets, or an asset purchase transaction, refer only to a transfer of substantial assets, such as a plant or division or substantially all the assets of a trade or business.</w:t>
      </w:r>
    </w:p>
    <w:p>
      <w:pPr>
        <w:spacing w:after="0" w:line="69" w:lineRule="exact"/>
        <w:rPr>
          <w:rFonts w:ascii="Arial" w:cs="Arial" w:eastAsia="Arial" w:hAnsi="Arial"/>
          <w:sz w:val="17"/>
          <w:szCs w:val="17"/>
          <w:color w:val="auto"/>
        </w:rPr>
      </w:pPr>
    </w:p>
    <w:p>
      <w:pPr>
        <w:ind w:right="200" w:firstLine="221"/>
        <w:spacing w:after="0" w:line="273"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Dual Status</w:t>
      </w:r>
      <w:r>
        <w:rPr>
          <w:rFonts w:ascii="Arial" w:cs="Arial" w:eastAsia="Arial" w:hAnsi="Arial"/>
          <w:sz w:val="17"/>
          <w:szCs w:val="17"/>
          <w:color w:val="auto"/>
        </w:rPr>
        <w:t>. If a Participant provides services both as an employee of the Corporation and as an independent contractor of the Corporation, the Participant must separate from service both as an employee and as an independent contractor to be treated as having Separated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a Separation from Service until the Participant has ceased providing services in both capacities. Notwithstanding the foregoing, if a Participant provides services both as an employee of the Corporation and a member of the board of directors of the Corporation, the services</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 w:name="page10"/>
    <w:bookmarkEnd w:id="9"/>
    <w:p>
      <w:pPr>
        <w:ind w:left="240" w:right="40"/>
        <w:spacing w:after="0" w:line="342" w:lineRule="auto"/>
        <w:rPr>
          <w:sz w:val="20"/>
          <w:szCs w:val="20"/>
          <w:color w:val="auto"/>
        </w:rPr>
      </w:pPr>
      <w:r>
        <w:rPr>
          <w:rFonts w:ascii="Arial" w:cs="Arial" w:eastAsia="Arial" w:hAnsi="Arial"/>
          <w:sz w:val="16"/>
          <w:szCs w:val="16"/>
          <w:color w:val="auto"/>
        </w:rPr>
        <w:t>provided as a director are not taken into account in determining whether the Participant has a Separation from Service as an employee for purposes of this Plan unless this Plan is aggregated with any plan in which the Participant participates as a director under IRS Regulation Section 1.409A-1(c)(2)(ii).</w:t>
      </w:r>
    </w:p>
    <w:p>
      <w:pPr>
        <w:spacing w:after="0" w:line="16"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have the meaning set forth in IRS Regulation Section 1.409A-1 the requirements of which are summarized in part as follows:</w:t>
      </w:r>
    </w:p>
    <w:p>
      <w:pPr>
        <w:spacing w:after="0" w:line="62" w:lineRule="exact"/>
        <w:rPr>
          <w:sz w:val="20"/>
          <w:szCs w:val="20"/>
          <w:color w:val="auto"/>
        </w:rPr>
      </w:pPr>
    </w:p>
    <w:p>
      <w:pPr>
        <w:ind w:left="240" w:firstLine="221"/>
        <w:spacing w:after="0" w:line="270" w:lineRule="auto"/>
        <w:tabs>
          <w:tab w:leader="none" w:pos="71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“Specified Employee” means a Participant who as of the date of his Separation from Service is a “key employee” as defined in Code Section 416(i) (disregarding Section 416(i)(5)), i.e., an employee who at any time during the 12 month period ending on an identification date is an officer of the Corporation or one of its affiliates having an annual compensation as defined in IRS Regulation Section 1.409A-1(i)(2) greater than $130,000, a 5% owner of the Corporation or one of its affiliates or a 1% owner of the Corporation or one of its affiliates having compensation of more than $150,000. The $130,000 amount described in the preceding sentence shall be adjusted for cost of living increases in such amounts and at such times as specified by the Internal Revenue Service. Further, no more than 50 employees (or, if lesser, the greater of 3 or 10% of the employees) shall be treated as officers. The foregoing definition shall be interpreted at all times in a manner consistent with such regulations as may be adopted from time to time by the Internal Revenue Service for purposes of applying the key employee definition of Section 416(i) to the requirements of Code Section 409A. If a person is a key employee as of an identification date, the person is treated as a Specified Employee for the 12-month period beginning on the first day of the fourth month following the identification date. The “identification date” is December 31.</w:t>
      </w:r>
    </w:p>
    <w:p>
      <w:pPr>
        <w:spacing w:after="0" w:line="69" w:lineRule="exact"/>
        <w:rPr>
          <w:rFonts w:ascii="Arial" w:cs="Arial" w:eastAsia="Arial" w:hAnsi="Arial"/>
          <w:sz w:val="17"/>
          <w:szCs w:val="17"/>
          <w:color w:val="auto"/>
        </w:rPr>
      </w:pPr>
    </w:p>
    <w:p>
      <w:pPr>
        <w:ind w:left="240" w:right="560" w:firstLine="22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of a public offering, merger, acquisition, spin-off, reorganization or other corporate transaction, “Specified Employees” shall be determined as provided in IRS Reg. Section 1.409A-(1)(i)(6).</w:t>
      </w:r>
    </w:p>
    <w:p>
      <w:pPr>
        <w:spacing w:after="0" w:line="62"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 AND DEFERRALS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Determination of Participants</w:t>
      </w:r>
      <w:r>
        <w:rPr>
          <w:rFonts w:ascii="Arial" w:cs="Arial" w:eastAsia="Arial" w:hAnsi="Arial"/>
          <w:sz w:val="18"/>
          <w:szCs w:val="18"/>
          <w:color w:val="auto"/>
        </w:rPr>
        <w:t>. Within a reasonable period of time prior to the beginning of a Plan Year or at any time during a Plan Year, the Administrator will designate employees who will be eligible to become Active Participants in the Plan for that Plan Year (or the remainder of such Plan Year). An employee designated as an Active Participant for a Plan Year shall remain an Active Participant until the employee’s Separation from Service or the Administrator or the Board of Directors of the Corporation takes action to terminate such employee’s participation effective on the first day of any Plan Year subsequent to the date of such action by the Administrator or the Board.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17" w:lineRule="exact"/>
        <w:rPr>
          <w:sz w:val="20"/>
          <w:szCs w:val="20"/>
          <w:color w:val="auto"/>
        </w:rPr>
      </w:pPr>
    </w:p>
    <w:p>
      <w:pPr>
        <w:ind w:left="240" w:right="40" w:firstLine="221"/>
        <w:spacing w:after="0" w:line="291" w:lineRule="auto"/>
        <w:tabs>
          <w:tab w:leader="none" w:pos="71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Salary Payments</w:t>
      </w:r>
      <w:r>
        <w:rPr>
          <w:rFonts w:ascii="Arial" w:cs="Arial" w:eastAsia="Arial" w:hAnsi="Arial"/>
          <w:sz w:val="16"/>
          <w:szCs w:val="16"/>
          <w:color w:val="auto"/>
        </w:rPr>
        <w:t>. An Active Participant may elect to defer a specified percentage of his salary for services performed during a Plan Year by completing and filing such forms as required by the Corporation prior to the first day of the Plan Year. A Participant’s deferrals shall be taken at a uniform percentage rate from each of his salary payments during the year. Compensation deferred shall be retained by the Corporation, credited to the Participant’s Account pursuant to Section 4.1 and paid in accordance with the terms and conditions of the Plan. An employee who is not already eligible to participate in any other deferred compensation plan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salary to be paid to him for services to be performed subsequent to the deferral election.</w:t>
      </w:r>
    </w:p>
    <w:p>
      <w:pPr>
        <w:spacing w:after="0" w:line="59" w:lineRule="exact"/>
        <w:rPr>
          <w:rFonts w:ascii="Arial" w:cs="Arial" w:eastAsia="Arial" w:hAnsi="Arial"/>
          <w:sz w:val="16"/>
          <w:szCs w:val="16"/>
          <w:color w:val="auto"/>
        </w:rPr>
      </w:pPr>
    </w:p>
    <w:p>
      <w:pPr>
        <w:ind w:left="240" w:right="80" w:firstLine="221"/>
        <w:spacing w:after="0" w:line="286"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Bonus Payments</w:t>
      </w:r>
      <w:r>
        <w:rPr>
          <w:rFonts w:ascii="Arial" w:cs="Arial" w:eastAsia="Arial" w:hAnsi="Arial"/>
          <w:sz w:val="16"/>
          <w:szCs w:val="16"/>
          <w:color w:val="auto"/>
        </w:rPr>
        <w:t>. An Active Participant may elect to defer a portion of any and all bonus payments made to him during a Plan Year by completing and filing such forms as required by the Corporation. To the extent a bonus payment represents a payment of a Performance Based Bonus, to be effective the deferral election with respect to such bonus must be filed with the Corporation at least seven months prior to the end of the period in which the bonus payment is earned. If a bonus payment is not a Performance Based Bonus but is calculated on a Fiscal Year basis, then to be effective the deferral election must be filed prior to the beginning of the Fiscal Year during which the Participant first renders any services giving rise to the payment of the bonus. If a bonus is not a Performance Based Bonus and is not calculated on a Fiscal Year basis, to be effective, the deferral election must be filed prior to the beginning of the first Plan Year in which are performed any services for which such bonus is payable. An employee who is not already eligible to participate in any other deferred compensation plan sponsored by the Corporation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any bonus payment for which the service period has already begun and, in such event, the election shall apply to the portion of bonus compensation equal to the total bonus compensation to be paid to the Participant with respect to that service period multiplied by a fraction of which the numerator is the number of days remaining in the performance period and the denominator is the total number of days in the performance period.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w:t>
      </w:r>
    </w:p>
    <w:p>
      <w:pPr>
        <w:spacing w:after="0" w:line="117" w:lineRule="exact"/>
        <w:rPr>
          <w:sz w:val="20"/>
          <w:szCs w:val="20"/>
          <w:color w:val="auto"/>
        </w:rPr>
      </w:pPr>
    </w:p>
    <w:p>
      <w:pPr>
        <w:jc w:val="both"/>
        <w:ind w:left="240" w:right="240" w:firstLine="221"/>
        <w:spacing w:after="0" w:line="279" w:lineRule="auto"/>
        <w:tabs>
          <w:tab w:leader="none" w:pos="71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Salary Payments</w:t>
      </w:r>
      <w:r>
        <w:rPr>
          <w:rFonts w:ascii="Arial" w:cs="Arial" w:eastAsia="Arial" w:hAnsi="Arial"/>
          <w:sz w:val="17"/>
          <w:szCs w:val="17"/>
          <w:color w:val="auto"/>
        </w:rPr>
        <w:t>. An Active Participant’s deferral election with respect to a Plan Year under Section 3.2(a) shall be irrevocable after the last date upon which it may be filed pursuant to Section 3.2(a) and shall continue in effect each subsequent Plan Year until prospectively revoked or amended in writing. For a revocation or amendment to be effective with respect to salary payments during a Plan Year, it must be filed by the last date for which an effective deferral election is permitted to be filed with respect to those salary payments under Section 3.2(a).</w:t>
      </w:r>
    </w:p>
    <w:p>
      <w:pPr>
        <w:spacing w:after="0" w:line="63" w:lineRule="exact"/>
        <w:rPr>
          <w:rFonts w:ascii="Arial" w:cs="Arial" w:eastAsia="Arial" w:hAnsi="Arial"/>
          <w:sz w:val="17"/>
          <w:szCs w:val="17"/>
          <w:color w:val="auto"/>
        </w:rPr>
      </w:pPr>
    </w:p>
    <w:p>
      <w:pPr>
        <w:ind w:left="240" w:right="80" w:firstLine="221"/>
        <w:spacing w:after="0" w:line="279"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Bonus Payments</w:t>
      </w:r>
      <w:r>
        <w:rPr>
          <w:rFonts w:ascii="Arial" w:cs="Arial" w:eastAsia="Arial" w:hAnsi="Arial"/>
          <w:sz w:val="17"/>
          <w:szCs w:val="17"/>
          <w:color w:val="auto"/>
        </w:rPr>
        <w:t>. An Active Participant’s deferral election under Section 3.2(b) with respect to a bonus shall be irrevocable after the last date upon which it may be filed pursuant to Section 3.2(b) and shall continue in effect with respect to bonuses earned in subsequent performance periods until prospectively revoked or amended in writing. For a revocation or amendment to be effective for any bonus payment, it must be filed by the last date for which an effective deferral election is permitted to be filed with respect to that bonus payment under Section 3.2(b).</w:t>
      </w:r>
    </w:p>
    <w:p>
      <w:pPr>
        <w:spacing w:after="0" w:line="63"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Prior Deferral Elections</w:t>
      </w:r>
      <w:r>
        <w:rPr>
          <w:rFonts w:ascii="Arial" w:cs="Arial" w:eastAsia="Arial" w:hAnsi="Arial"/>
          <w:sz w:val="18"/>
          <w:szCs w:val="18"/>
          <w:color w:val="auto"/>
        </w:rPr>
        <w:t>. Any deferral election made prior to calendar year 2005 under a Frozen Agreement shall be treated as a deferral election described in Section 3.2(a) and/or Section 3.2(b), as the case may be, and shall continue in effect until modified as described in Section 3.3 above unless modified earlier pursuant to Section 8.14(a) below.</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3.2(a) and/or (b), as the case may be, as those provisions apply to someone who is already an Active Participant in the Plan.</w:t>
      </w:r>
    </w:p>
    <w:p>
      <w:pPr>
        <w:spacing w:after="0" w:line="80"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401(k) Hardship</w:t>
      </w:r>
      <w:r>
        <w:rPr>
          <w:rFonts w:ascii="Arial" w:cs="Arial" w:eastAsia="Arial" w:hAnsi="Arial"/>
          <w:sz w:val="18"/>
          <w:szCs w:val="18"/>
          <w:color w:val="auto"/>
        </w:rPr>
        <w:t>. Any deferral elections in effect under this Article III shall be cancelled as required due to a hardship distribution described in IRS Regulation Section 1.401(k)-1(d)(3) or any successor thereto. To resume deferrals after the required suspension period, a Participant must make an election satisfying the provisions of Section 3.2(a) and/or (b), as the case may be, as those provisions apply to someone who is already an Active Participant in the Plan.</w:t>
      </w:r>
    </w:p>
    <w:p>
      <w:pPr>
        <w:spacing w:after="0" w:line="29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ACCOUNTS</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Credits to Account</w:t>
      </w:r>
      <w:r>
        <w:rPr>
          <w:rFonts w:ascii="Arial" w:cs="Arial" w:eastAsia="Arial" w:hAnsi="Arial"/>
          <w:sz w:val="16"/>
          <w:szCs w:val="16"/>
          <w:color w:val="auto"/>
        </w:rPr>
        <w:t>. Bookkeeping amounts equal to the amounts deferred by a Participant pursuant to Section 3.2 shall be credited to such Participant’s Deferral Account as soon as practicable after the deferred compensation would otherwise have been paid to such Participant in the absence of deferral.</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ind w:left="460" w:hanging="247"/>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Participant’s Account shall be credited or charged with deemed earnings or losses as if it were invested in accordance with paragraph (b) below.</w:t>
      </w:r>
    </w:p>
    <w:p>
      <w:pPr>
        <w:spacing w:after="0" w:line="140" w:lineRule="exact"/>
        <w:rPr>
          <w:rFonts w:ascii="Arial" w:cs="Arial" w:eastAsia="Arial" w:hAnsi="Arial"/>
          <w:sz w:val="16"/>
          <w:szCs w:val="16"/>
          <w:color w:val="auto"/>
        </w:rPr>
      </w:pPr>
    </w:p>
    <w:p>
      <w:pPr>
        <w:jc w:val="both"/>
        <w:ind w:left="-20" w:right="340" w:firstLine="233"/>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78" w:lineRule="exact"/>
        <w:rPr>
          <w:rFonts w:ascii="Arial" w:cs="Arial" w:eastAsia="Arial" w:hAnsi="Arial"/>
          <w:sz w:val="18"/>
          <w:szCs w:val="18"/>
          <w:color w:val="auto"/>
        </w:rPr>
      </w:pPr>
    </w:p>
    <w:p>
      <w:pPr>
        <w:ind w:left="220" w:right="60" w:firstLine="221"/>
        <w:spacing w:after="0" w:line="297" w:lineRule="auto"/>
        <w:tabs>
          <w:tab w:leader="none" w:pos="710" w:val="left"/>
        </w:tabs>
        <w:numPr>
          <w:ilvl w:val="1"/>
          <w:numId w:val="9"/>
        </w:numPr>
        <w:rPr>
          <w:rFonts w:ascii="Arial" w:cs="Arial" w:eastAsia="Arial" w:hAnsi="Arial"/>
          <w:sz w:val="16"/>
          <w:szCs w:val="16"/>
          <w:color w:val="auto"/>
        </w:rPr>
      </w:pPr>
      <w:r>
        <w:rPr>
          <w:rFonts w:ascii="Arial" w:cs="Arial" w:eastAsia="Arial" w:hAnsi="Arial"/>
          <w:sz w:val="16"/>
          <w:szCs w:val="16"/>
          <w:color w:val="auto"/>
        </w:rPr>
        <w:t>On the date credited to the Participant’s Account, deferrals shall be deemed to be invested in one or more of the investment funds designated by the Participant for such deemed investment.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50" w:lineRule="exact"/>
        <w:rPr>
          <w:rFonts w:ascii="Arial" w:cs="Arial" w:eastAsia="Arial" w:hAnsi="Arial"/>
          <w:sz w:val="16"/>
          <w:szCs w:val="16"/>
          <w:color w:val="auto"/>
        </w:rPr>
      </w:pPr>
    </w:p>
    <w:p>
      <w:pPr>
        <w:jc w:val="both"/>
        <w:ind w:left="220" w:right="320" w:firstLine="221"/>
        <w:spacing w:after="0" w:line="264"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Participant’s balance in the Brady Stock Fund shall be determined as though the Participant’s deferrals allocated to that Fund are invested in shares of Class A non-voting common stock of Brady Corporation by purchase at the fair market value price of such stock on the date the deferrals are credited to the Participant’s Brady stock account.</w:t>
      </w:r>
    </w:p>
    <w:p>
      <w:pPr>
        <w:spacing w:after="0" w:line="73" w:lineRule="exact"/>
        <w:rPr>
          <w:rFonts w:ascii="Arial" w:cs="Arial" w:eastAsia="Arial" w:hAnsi="Arial"/>
          <w:sz w:val="18"/>
          <w:szCs w:val="18"/>
          <w:color w:val="auto"/>
        </w:rPr>
      </w:pPr>
    </w:p>
    <w:p>
      <w:pPr>
        <w:ind w:left="220" w:right="20" w:firstLine="221"/>
        <w:spacing w:after="0" w:line="277" w:lineRule="auto"/>
        <w:tabs>
          <w:tab w:leader="none" w:pos="75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62" w:lineRule="exact"/>
        <w:rPr>
          <w:rFonts w:ascii="Arial" w:cs="Arial" w:eastAsia="Arial" w:hAnsi="Arial"/>
          <w:sz w:val="18"/>
          <w:szCs w:val="18"/>
          <w:color w:val="auto"/>
        </w:rPr>
      </w:pPr>
    </w:p>
    <w:p>
      <w:pPr>
        <w:ind w:left="220" w:firstLine="221"/>
        <w:spacing w:after="0" w:line="270" w:lineRule="auto"/>
        <w:tabs>
          <w:tab w:leader="none" w:pos="7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73" w:lineRule="exact"/>
        <w:rPr>
          <w:rFonts w:ascii="Arial" w:cs="Arial" w:eastAsia="Arial" w:hAnsi="Arial"/>
          <w:sz w:val="17"/>
          <w:szCs w:val="17"/>
          <w:color w:val="auto"/>
        </w:rPr>
      </w:pPr>
    </w:p>
    <w:p>
      <w:pPr>
        <w:ind w:left="740" w:hanging="299"/>
        <w:spacing w:after="0"/>
        <w:tabs>
          <w:tab w:leader="none" w:pos="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valuation of the funds held in the General Investment Sub-account shall be accomplished in the same manner as though the deemed investment</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in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3" w:name="page14"/>
    <w:bookmarkEnd w:id="13"/>
    <w:p>
      <w:pPr>
        <w:ind w:left="200"/>
        <w:spacing w:after="0"/>
        <w:rPr>
          <w:sz w:val="20"/>
          <w:szCs w:val="20"/>
          <w:color w:val="auto"/>
        </w:rPr>
      </w:pPr>
      <w:r>
        <w:rPr>
          <w:rFonts w:ascii="Arial" w:cs="Arial" w:eastAsia="Arial" w:hAnsi="Arial"/>
          <w:sz w:val="18"/>
          <w:szCs w:val="18"/>
          <w:color w:val="auto"/>
        </w:rPr>
        <w:t>funds had actually been made and are valued at their fair market value price on valuation dates hereunder.</w:t>
      </w:r>
    </w:p>
    <w:p>
      <w:pPr>
        <w:spacing w:after="0" w:line="117" w:lineRule="exact"/>
        <w:rPr>
          <w:sz w:val="20"/>
          <w:szCs w:val="20"/>
          <w:color w:val="auto"/>
        </w:rPr>
      </w:pPr>
    </w:p>
    <w:p>
      <w:pPr>
        <w:ind w:left="200" w:firstLine="221"/>
        <w:spacing w:after="0" w:line="264" w:lineRule="auto"/>
        <w:tabs>
          <w:tab w:leader="none" w:pos="7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73" w:lineRule="exact"/>
        <w:rPr>
          <w:rFonts w:ascii="Arial" w:cs="Arial" w:eastAsia="Arial" w:hAnsi="Arial"/>
          <w:sz w:val="18"/>
          <w:szCs w:val="18"/>
          <w:color w:val="auto"/>
        </w:rPr>
      </w:pPr>
    </w:p>
    <w:p>
      <w:pPr>
        <w:ind w:left="200" w:right="20" w:firstLine="221"/>
        <w:spacing w:after="0" w:line="277" w:lineRule="auto"/>
        <w:tabs>
          <w:tab w:leader="none" w:pos="83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All elections and designations under this section shall be made in accordance with procedures prescribed by the Administrator. The Administrator may prescribe uniform percentages for such elections and designations.</w:t>
      </w:r>
    </w:p>
    <w:p>
      <w:pPr>
        <w:spacing w:after="0" w:line="62" w:lineRule="exact"/>
        <w:rPr>
          <w:rFonts w:ascii="Arial" w:cs="Arial" w:eastAsia="Arial" w:hAnsi="Arial"/>
          <w:sz w:val="18"/>
          <w:szCs w:val="18"/>
          <w:color w:val="auto"/>
        </w:rPr>
      </w:pPr>
    </w:p>
    <w:p>
      <w:pPr>
        <w:ind w:left="200" w:right="40" w:firstLine="221"/>
        <w:spacing w:after="0" w:line="273" w:lineRule="auto"/>
        <w:tabs>
          <w:tab w:leader="none" w:pos="73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 (i) 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pacing w:after="0" w:line="70" w:lineRule="exact"/>
        <w:rPr>
          <w:rFonts w:ascii="Arial" w:cs="Arial" w:eastAsia="Arial" w:hAnsi="Arial"/>
          <w:sz w:val="17"/>
          <w:szCs w:val="17"/>
          <w:color w:val="auto"/>
        </w:rPr>
      </w:pPr>
    </w:p>
    <w:p>
      <w:pPr>
        <w:jc w:val="both"/>
        <w:ind w:left="200" w:right="100" w:firstLine="221"/>
        <w:spacing w:after="0" w:line="291" w:lineRule="auto"/>
        <w:tabs>
          <w:tab w:leader="none" w:pos="6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Notwithstanding subparagraph (ix) above, from and after May 1, 2006, a Participant may not shift any amounts from his Brady Stock Sub-account to his General Investment Sub-account or vice-versa. Notwithstanding Article I and Section 2.11 of this Plan to the contrary, the rule of this subparagraph</w:t>
      </w:r>
    </w:p>
    <w:p>
      <w:pPr>
        <w:ind w:left="200" w:right="60" w:hanging="4"/>
        <w:spacing w:after="0" w:line="255" w:lineRule="auto"/>
        <w:tabs>
          <w:tab w:leader="none" w:pos="4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shall apply to all amounts held for a Participant under a Frozen Agreement as well, meaning that from and after May 1, 2006, a Participant shall not be entitled to transfer any amount to or from the portion of his account held in the Brady Stock Fund under the Frozen Agreement. The preceding sentence shall not apply to a Participant who has had a Separation from Service prior to May 1, 2006.</w:t>
      </w:r>
    </w:p>
    <w:p>
      <w:pPr>
        <w:spacing w:after="0" w:line="82" w:lineRule="exact"/>
        <w:rPr>
          <w:rFonts w:ascii="Arial" w:cs="Arial" w:eastAsia="Arial" w:hAnsi="Arial"/>
          <w:sz w:val="18"/>
          <w:szCs w:val="18"/>
          <w:color w:val="auto"/>
        </w:rPr>
      </w:pPr>
    </w:p>
    <w:p>
      <w:pPr>
        <w:ind w:left="-40" w:right="380" w:firstLine="233"/>
        <w:spacing w:after="0" w:line="264" w:lineRule="auto"/>
        <w:tabs>
          <w:tab w:leader="none" w:pos="4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Corporation shall provide annual reports to each Participant showing (a) the value of the Account as of the most recent December 31</w:t>
      </w:r>
      <w:r>
        <w:rPr>
          <w:rFonts w:ascii="Arial" w:cs="Arial" w:eastAsia="Arial" w:hAnsi="Arial"/>
          <w:sz w:val="15"/>
          <w:szCs w:val="15"/>
          <w:color w:val="auto"/>
        </w:rPr>
        <w:t>st</w:t>
      </w:r>
      <w:r>
        <w:rPr>
          <w:rFonts w:ascii="Arial" w:cs="Arial" w:eastAsia="Arial" w:hAnsi="Arial"/>
          <w:sz w:val="18"/>
          <w:szCs w:val="18"/>
          <w:color w:val="auto"/>
        </w:rPr>
        <w:t>, (b) the amount of deferral made by the Participant for the Plan Year ending on such date and (c) the amount of any investment gain or loss and the costs of administration credited or debited to the Participant’s Account.</w:t>
      </w:r>
    </w:p>
    <w:p>
      <w:pPr>
        <w:spacing w:after="0" w:line="73" w:lineRule="exact"/>
        <w:rPr>
          <w:rFonts w:ascii="Arial" w:cs="Arial" w:eastAsia="Arial" w:hAnsi="Arial"/>
          <w:sz w:val="18"/>
          <w:szCs w:val="18"/>
          <w:color w:val="auto"/>
        </w:rPr>
      </w:pPr>
    </w:p>
    <w:p>
      <w:pPr>
        <w:ind w:left="-40" w:right="20" w:firstLine="233"/>
        <w:spacing w:after="0" w:line="293" w:lineRule="auto"/>
        <w:tabs>
          <w:tab w:leader="none" w:pos="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6"/>
          <w:szCs w:val="16"/>
          <w:u w:val="single" w:color="auto"/>
          <w:color w:val="auto"/>
        </w:rPr>
        <w:t>shall not</w:t>
      </w:r>
      <w:r>
        <w:rPr>
          <w:rFonts w:ascii="Arial" w:cs="Arial" w:eastAsia="Arial" w:hAnsi="Arial"/>
          <w:sz w:val="16"/>
          <w:szCs w:val="16"/>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his or her Account hereunder.</w:t>
      </w: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MANNER AND TIMING OF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Benefits</w:t>
      </w:r>
      <w:r>
        <w:rPr>
          <w:rFonts w:ascii="Arial" w:cs="Arial" w:eastAsia="Arial" w:hAnsi="Arial"/>
          <w:sz w:val="18"/>
          <w:szCs w:val="18"/>
          <w:color w:val="auto"/>
        </w:rPr>
        <w:t>.</w:t>
      </w:r>
    </w:p>
    <w:p>
      <w:pPr>
        <w:spacing w:after="0" w:line="117" w:lineRule="exact"/>
        <w:rPr>
          <w:sz w:val="20"/>
          <w:szCs w:val="20"/>
          <w:color w:val="auto"/>
        </w:rPr>
      </w:pPr>
    </w:p>
    <w:p>
      <w:pPr>
        <w:ind w:right="100" w:firstLine="221"/>
        <w:spacing w:after="0" w:line="264" w:lineRule="auto"/>
        <w:tabs>
          <w:tab w:leader="none" w:pos="4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a Participant’s Separation from Service the Participant’s Account shall be paid to the Participant (or in the event of the Participant’s death, to the Participant’s Beneficiary). Payment shall be made in one of the following forms as specified in the Participant’s payment election pursuant to Section 6.2:</w:t>
      </w:r>
    </w:p>
    <w:p>
      <w:pPr>
        <w:spacing w:after="0" w:line="73" w:lineRule="exact"/>
        <w:rPr>
          <w:rFonts w:ascii="Arial" w:cs="Arial" w:eastAsia="Arial" w:hAnsi="Arial"/>
          <w:sz w:val="18"/>
          <w:szCs w:val="18"/>
          <w:color w:val="auto"/>
        </w:rPr>
      </w:pPr>
    </w:p>
    <w:p>
      <w:pPr>
        <w:ind w:left="220" w:right="740" w:firstLine="229"/>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Single Sum</w:t>
      </w:r>
      <w:r>
        <w:rPr>
          <w:rFonts w:ascii="Arial" w:cs="Arial" w:eastAsia="Arial" w:hAnsi="Arial"/>
          <w:sz w:val="18"/>
          <w:szCs w:val="18"/>
          <w:color w:val="auto"/>
        </w:rPr>
        <w:t>. A single sum distribution of the value of the balance of the Account on the first day of October following the Participant’s Separation from Service; or</w:t>
      </w:r>
    </w:p>
    <w:p>
      <w:pPr>
        <w:spacing w:after="0" w:line="62" w:lineRule="exact"/>
        <w:rPr>
          <w:rFonts w:ascii="Arial" w:cs="Arial" w:eastAsia="Arial" w:hAnsi="Arial"/>
          <w:sz w:val="18"/>
          <w:szCs w:val="18"/>
          <w:color w:val="auto"/>
        </w:rPr>
      </w:pPr>
    </w:p>
    <w:p>
      <w:pPr>
        <w:ind w:left="220" w:right="20" w:firstLine="229"/>
        <w:spacing w:after="0" w:line="276" w:lineRule="auto"/>
        <w:tabs>
          <w:tab w:leader="none" w:pos="710"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Installments</w:t>
      </w:r>
      <w:r>
        <w:rPr>
          <w:rFonts w:ascii="Arial" w:cs="Arial" w:eastAsia="Arial" w:hAnsi="Arial"/>
          <w:sz w:val="17"/>
          <w:szCs w:val="17"/>
          <w:color w:val="auto"/>
        </w:rPr>
        <w:t>. The value of the balance of the Account shall be paid in annual installments on the first day of October each year with the first of such installments to be paid on the first day of October following the Participant’s Separation from Service.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pacing w:after="0" w:line="64" w:lineRule="exact"/>
        <w:rPr>
          <w:rFonts w:ascii="Arial" w:cs="Arial" w:eastAsia="Arial" w:hAnsi="Arial"/>
          <w:sz w:val="17"/>
          <w:szCs w:val="17"/>
          <w:color w:val="auto"/>
        </w:rPr>
      </w:pPr>
    </w:p>
    <w:p>
      <w:pPr>
        <w:ind w:left="460" w:right="60" w:firstLine="218"/>
        <w:spacing w:after="0" w:line="259" w:lineRule="auto"/>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most recent July 31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w:t>
      </w:r>
    </w:p>
    <w:p>
      <w:pPr>
        <w:spacing w:after="0" w:line="78" w:lineRule="exact"/>
        <w:rPr>
          <w:rFonts w:ascii="Arial" w:cs="Arial" w:eastAsia="Arial" w:hAnsi="Arial"/>
          <w:sz w:val="18"/>
          <w:szCs w:val="18"/>
          <w:color w:val="auto"/>
        </w:rPr>
      </w:pPr>
    </w:p>
    <w:p>
      <w:pPr>
        <w:ind w:left="460" w:firstLine="218"/>
        <w:spacing w:after="0" w:line="257" w:lineRule="auto"/>
        <w:tabs>
          <w:tab w:leader="none" w:pos="970"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Percentage or Fixed Dollar Method</w:t>
      </w:r>
      <w:r>
        <w:rPr>
          <w:rFonts w:ascii="Arial" w:cs="Arial" w:eastAsia="Arial" w:hAnsi="Arial"/>
          <w:sz w:val="18"/>
          <w:szCs w:val="18"/>
          <w:color w:val="auto"/>
        </w:rPr>
        <w:t>. The annual installment shall be calculated by multiplying the most recent July 31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w:t>
      </w:r>
    </w:p>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58" w:right="29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t>selected by the Executive, the final installment payment will include 100% of the then remaining July 31 Account value.</w:t>
      </w:r>
    </w:p>
    <w:p>
      <w:pPr>
        <w:spacing w:after="0" w:line="117" w:lineRule="exact"/>
        <w:rPr>
          <w:sz w:val="20"/>
          <w:szCs w:val="20"/>
          <w:color w:val="auto"/>
        </w:rPr>
      </w:pPr>
    </w:p>
    <w:p>
      <w:pPr>
        <w:ind w:left="220" w:right="380" w:firstLine="229"/>
        <w:spacing w:after="0" w:line="277"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In Cash or In Stock</w:t>
      </w:r>
      <w:r>
        <w:rPr>
          <w:rFonts w:ascii="Arial" w:cs="Arial" w:eastAsia="Arial" w:hAnsi="Arial"/>
          <w:sz w:val="18"/>
          <w:szCs w:val="18"/>
          <w:color w:val="auto"/>
        </w:rPr>
        <w:t>. Prior to May 1, 2006 all payments shall be made in cash. From and after May 1, 2006, payments shall be made in cash and/or Class A non-voting common stock of Brady Corporation pursuant to the following:</w:t>
      </w:r>
    </w:p>
    <w:p>
      <w:pPr>
        <w:spacing w:after="0" w:line="62" w:lineRule="exact"/>
        <w:rPr>
          <w:rFonts w:ascii="Arial" w:cs="Arial" w:eastAsia="Arial" w:hAnsi="Arial"/>
          <w:sz w:val="18"/>
          <w:szCs w:val="18"/>
          <w:color w:val="auto"/>
        </w:rPr>
      </w:pPr>
    </w:p>
    <w:p>
      <w:pPr>
        <w:ind w:left="460" w:right="40" w:firstLine="218"/>
        <w:spacing w:after="0" w:line="279" w:lineRule="auto"/>
        <w:tabs>
          <w:tab w:leader="none" w:pos="980" w:val="left"/>
        </w:tabs>
        <w:numPr>
          <w:ilvl w:val="2"/>
          <w:numId w:val="14"/>
        </w:numPr>
        <w:rPr>
          <w:rFonts w:ascii="Arial" w:cs="Arial" w:eastAsia="Arial" w:hAnsi="Arial"/>
          <w:sz w:val="17"/>
          <w:szCs w:val="17"/>
          <w:color w:val="auto"/>
        </w:rPr>
      </w:pPr>
      <w:r>
        <w:rPr>
          <w:rFonts w:ascii="Arial" w:cs="Arial" w:eastAsia="Arial" w:hAnsi="Arial"/>
          <w:sz w:val="17"/>
          <w:szCs w:val="17"/>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63" w:lineRule="exact"/>
        <w:rPr>
          <w:rFonts w:ascii="Arial" w:cs="Arial" w:eastAsia="Arial" w:hAnsi="Arial"/>
          <w:sz w:val="17"/>
          <w:szCs w:val="17"/>
          <w:color w:val="auto"/>
        </w:rPr>
      </w:pPr>
    </w:p>
    <w:p>
      <w:pPr>
        <w:ind w:left="460" w:right="20" w:firstLine="218"/>
        <w:spacing w:after="0" w:line="255" w:lineRule="auto"/>
        <w:tabs>
          <w:tab w:leader="none" w:pos="97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81" w:lineRule="exact"/>
        <w:rPr>
          <w:rFonts w:ascii="Arial" w:cs="Arial" w:eastAsia="Arial" w:hAnsi="Arial"/>
          <w:sz w:val="18"/>
          <w:szCs w:val="18"/>
          <w:color w:val="auto"/>
        </w:rPr>
      </w:pPr>
    </w:p>
    <w:p>
      <w:pPr>
        <w:ind w:left="460" w:right="20" w:firstLine="218"/>
        <w:spacing w:after="0" w:line="264" w:lineRule="auto"/>
        <w:tabs>
          <w:tab w:leader="none" w:pos="970" w:val="left"/>
        </w:tabs>
        <w:numPr>
          <w:ilvl w:val="2"/>
          <w:numId w:val="14"/>
        </w:numPr>
        <w:rPr>
          <w:rFonts w:ascii="Arial" w:cs="Arial" w:eastAsia="Arial" w:hAnsi="Arial"/>
          <w:sz w:val="18"/>
          <w:szCs w:val="18"/>
          <w:color w:val="auto"/>
        </w:rPr>
      </w:pPr>
      <w:r>
        <w:rPr>
          <w:rFonts w:ascii="Arial" w:cs="Arial" w:eastAsia="Arial" w:hAnsi="Arial"/>
          <w:sz w:val="18"/>
          <w:szCs w:val="18"/>
          <w:color w:val="auto"/>
        </w:rPr>
        <w:t>Notwithstanding Article I and Section 2.11 of this Plan to the contrary, the rule of this sub-paragraph (iv) shall apply to amounts held for a Participant under a Frozen Agreement from and after May 1, 2006. The preceding sentence shall not apply to a Participant who has had a Separation from Service prior to May 1, 2006.</w:t>
      </w:r>
    </w:p>
    <w:p>
      <w:pPr>
        <w:spacing w:after="0" w:line="73" w:lineRule="exact"/>
        <w:rPr>
          <w:rFonts w:ascii="Arial" w:cs="Arial" w:eastAsia="Arial" w:hAnsi="Arial"/>
          <w:sz w:val="18"/>
          <w:szCs w:val="18"/>
          <w:color w:val="auto"/>
        </w:rPr>
      </w:pPr>
    </w:p>
    <w:p>
      <w:pPr>
        <w:ind w:right="180" w:firstLine="221"/>
        <w:spacing w:after="0" w:line="264"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 Participant who is a Specified Employee, payment pursuant to paragraph (a) above shall commence no earlier than the first day of the seventh month following the Participant’s Separation from Service. This delay in distribution rule does not apply if the payment is being made as a result of the Participant’s death or disability. For this purpose, “disability” means that the Participant:</w:t>
      </w:r>
    </w:p>
    <w:p>
      <w:pPr>
        <w:spacing w:after="0" w:line="73" w:lineRule="exact"/>
        <w:rPr>
          <w:rFonts w:ascii="Arial" w:cs="Arial" w:eastAsia="Arial" w:hAnsi="Arial"/>
          <w:sz w:val="18"/>
          <w:szCs w:val="18"/>
          <w:color w:val="auto"/>
        </w:rPr>
      </w:pPr>
    </w:p>
    <w:p>
      <w:pPr>
        <w:ind w:left="220" w:right="440" w:firstLine="229"/>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62" w:lineRule="exact"/>
        <w:rPr>
          <w:sz w:val="20"/>
          <w:szCs w:val="20"/>
          <w:color w:val="auto"/>
        </w:rPr>
      </w:pPr>
    </w:p>
    <w:p>
      <w:pPr>
        <w:ind w:left="220" w:firstLine="229"/>
        <w:spacing w:after="0" w:line="286" w:lineRule="auto"/>
        <w:tabs>
          <w:tab w:leader="none" w:pos="7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by reason of any medically determinable physical or mental impairment which can be expected to result in death or can be expected to last for a continued period of not less than 12 months, receiving income replacement benefits for a period of not less than three months under an accident and health plan covering the employees of the Corporation or one of its affiliates in which the Participant is covered.</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6" w:name="page17"/>
    <w:bookmarkEnd w:id="16"/>
    <w:p>
      <w:pPr>
        <w:jc w:val="both"/>
        <w:ind w:right="140" w:firstLine="225"/>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Payment Election</w:t>
      </w:r>
      <w:r>
        <w:rPr>
          <w:rFonts w:ascii="Arial" w:cs="Arial" w:eastAsia="Arial" w:hAnsi="Arial"/>
          <w:sz w:val="16"/>
          <w:szCs w:val="16"/>
          <w:color w:val="auto"/>
        </w:rPr>
        <w:t>. An individual who first becomes an Active Participant at the beginning of a Plan Year who is provided with prior written notice of the effective date of participation shall complete a payment election form specifying the form of payment applicable to such Participant’s Account under the Plan. Absent an actual election by such Participant by the effective date of participation, the Participant shall be deemed to have elected payment in the five</w:t>
      </w:r>
    </w:p>
    <w:p>
      <w:pPr>
        <w:ind w:firstLine="8"/>
        <w:spacing w:after="0" w:line="284"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 installment payment form. An individual who first becomes an Active Participant other than on the first day of a Plan Year shall complete a payment election form specifying the form of payment applicable to such Participant’s Account no later than 30 days after the effective date of participation. In the event such a Participant does not make an actual election within such 30 day period, the Participant shall be deemed to have elected the five (5) annual installment payment form; provided, however, that if such Participant is already a participant in any other nonqualified plan or plans sponsored by the Corporation of the account balance type, the most recent payment election with respect to any one of those plans shall be the payment election form deemed elected under this Plan regardless of whether the individual elects a different payment election form during that initial 30 day period. A Participant may change the form of payment by completing and filing a new payment election form with the Corporation, and the payment election form on file with the Corporation as of the date of the Participant’s Separation from Service shall be controlling. Notwithstanding the foregoing, a payment election form changing the Participant’s form of payment shall not be effective if the Participant has a Separation from Service within twelve months after the date on which the election change is filed with the Corporation. Any change in payment method must have the effect of delaying the commencement of payments to a date which is at least five (5) years following the initially scheduled commencement date of payment previously in effect. For purposes of compliance with Section 409A of the Internal Revenue Code, a series of five year installment payments, ten year installment payments and twenty year installment payments are each designated as a single payment rather than a right to a series of separate payments; therefore, a Participant who has elected (or is deemed to have elected) any option under Section 6.1 may substitute any of the other options for the option originally 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has the same meaning as in Section 6.1(b). In the event that the Participant’s new payment election would not be effective under the foregoing rules, the payment election form previously in effect shall be controlling.</w:t>
      </w:r>
    </w:p>
    <w:p>
      <w:pPr>
        <w:spacing w:after="0" w:line="63"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Financial Hardship</w:t>
      </w:r>
      <w:r>
        <w:rPr>
          <w:rFonts w:ascii="Arial" w:cs="Arial" w:eastAsia="Arial" w:hAnsi="Arial"/>
          <w:sz w:val="17"/>
          <w:szCs w:val="17"/>
          <w:color w:val="auto"/>
        </w:rPr>
        <w:t>. A partial or total distribution of the Participant’s Account shall be made prior to Separation from Service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3.2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3.2 and any other nonqualified deferred compensation plan of the account balance type sponsored by the Corporation upon a payment due to an Unforeseeable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660"/>
        <w:spacing w:after="0" w:line="308" w:lineRule="auto"/>
        <w:rPr>
          <w:sz w:val="20"/>
          <w:szCs w:val="20"/>
          <w:color w:val="auto"/>
        </w:rPr>
      </w:pPr>
      <w:r>
        <w:rPr>
          <w:rFonts w:ascii="Arial" w:cs="Arial" w:eastAsia="Arial" w:hAnsi="Arial"/>
          <w:sz w:val="17"/>
          <w:szCs w:val="17"/>
          <w:color w:val="auto"/>
        </w:rPr>
        <w:t>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117" w:lineRule="exact"/>
        <w:rPr>
          <w:sz w:val="20"/>
          <w:szCs w:val="20"/>
          <w:color w:val="auto"/>
        </w:rPr>
      </w:pPr>
    </w:p>
    <w:p>
      <w:pPr>
        <w:ind w:left="240" w:firstLine="221"/>
        <w:spacing w:after="0" w:line="255" w:lineRule="auto"/>
        <w:tabs>
          <w:tab w:leader="none" w:pos="7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payment otherwise required to be made pursuant to the provisions of this Article VI shall be delayed if the Corporation reasonably anticipates that the Corporation’s deduction with respect to such payment would be limited or eliminated by application of Code Section 162(m); provided, however that such payment shall be made on the earliest date on which the Corporation anticipates that the deduction of the payment of the amount will not be limited or eliminated by application of Code Section 162(m). In any event, such payment shall be made no later than the last day of the calendar year in which the Participant has a Separation from Service or, in the case of a Specified Employee, the last day of the calendar year in which occurs the six (6) month anniversary of such Separation from Service.</w:t>
      </w:r>
    </w:p>
    <w:p>
      <w:pPr>
        <w:spacing w:after="0" w:line="85" w:lineRule="exact"/>
        <w:rPr>
          <w:rFonts w:ascii="Arial" w:cs="Arial" w:eastAsia="Arial" w:hAnsi="Arial"/>
          <w:sz w:val="18"/>
          <w:szCs w:val="18"/>
          <w:color w:val="auto"/>
        </w:rPr>
      </w:pPr>
    </w:p>
    <w:p>
      <w:pPr>
        <w:jc w:val="both"/>
        <w:ind w:left="240" w:right="80" w:firstLine="221"/>
        <w:spacing w:after="0" w:line="312"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38" w:lineRule="exact"/>
        <w:rPr>
          <w:rFonts w:ascii="Arial" w:cs="Arial" w:eastAsia="Arial" w:hAnsi="Arial"/>
          <w:sz w:val="16"/>
          <w:szCs w:val="16"/>
          <w:color w:val="auto"/>
        </w:rPr>
      </w:pPr>
    </w:p>
    <w:p>
      <w:pPr>
        <w:ind w:left="240" w:right="120" w:firstLine="221"/>
        <w:spacing w:after="0" w:line="302" w:lineRule="auto"/>
        <w:tabs>
          <w:tab w:leader="none" w:pos="7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payment otherwise required under this Article VI shall be delayed if the Corporation reasonably anticipates that the making of the payment will violate federal securities laws or other applicable law; provided, however, that payments shall nevertheless be made on the earliest date on which the Corporation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46" w:lineRule="exact"/>
        <w:rPr>
          <w:rFonts w:ascii="Arial" w:cs="Arial" w:eastAsia="Arial" w:hAnsi="Arial"/>
          <w:sz w:val="16"/>
          <w:szCs w:val="16"/>
          <w:color w:val="auto"/>
        </w:rPr>
      </w:pPr>
    </w:p>
    <w:p>
      <w:pPr>
        <w:ind w:left="240" w:right="280" w:firstLine="221"/>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Inclusion in Income Under Section 409A</w:t>
      </w:r>
      <w:r>
        <w:rPr>
          <w:rFonts w:ascii="Arial" w:cs="Arial" w:eastAsia="Arial" w:hAnsi="Arial"/>
          <w:sz w:val="18"/>
          <w:szCs w:val="18"/>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6.1(a)(iv)(B).</w:t>
      </w:r>
    </w:p>
    <w:p>
      <w:pPr>
        <w:spacing w:after="0" w:line="8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right="20" w:firstLine="225"/>
        <w:spacing w:after="0" w:line="285"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De Minimis Amounts</w:t>
      </w:r>
      <w:r>
        <w:rPr>
          <w:rFonts w:ascii="Arial" w:cs="Arial" w:eastAsia="Arial" w:hAnsi="Arial"/>
          <w:sz w:val="16"/>
          <w:szCs w:val="16"/>
          <w:color w:val="auto"/>
        </w:rPr>
        <w:t>. Notwithstanding any other provision this Article VI, a Participant’s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402(g)(1)(B). The foregoing lump sum payment shall be made automatically and any other distribution elections otherwise applicable with respect to the individual in the absence of this provision shall not apply.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Compensation Committee as Administrator</w:t>
      </w:r>
      <w:r>
        <w:rPr>
          <w:rFonts w:ascii="Arial" w:cs="Arial" w:eastAsia="Arial" w:hAnsi="Arial"/>
          <w:sz w:val="18"/>
          <w:szCs w:val="18"/>
          <w:color w:val="auto"/>
        </w:rPr>
        <w:t>. The Plan shall be administered by the Administrator, which shall be the Compensation Committee of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8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7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review and shall not be overturned unless proven to be arbitrary and capricious based upon the evidence considered by the Administrator at the time of such determination.</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Administrator Actions</w:t>
      </w:r>
      <w:r>
        <w:rPr>
          <w:rFonts w:ascii="Arial" w:cs="Arial" w:eastAsia="Arial" w:hAnsi="Arial"/>
          <w:sz w:val="18"/>
          <w:szCs w:val="18"/>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80"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Minor or Incompetent Payees</w:t>
      </w:r>
      <w:r>
        <w:rPr>
          <w:rFonts w:ascii="Arial" w:cs="Arial" w:eastAsia="Arial" w:hAnsi="Arial"/>
          <w:sz w:val="16"/>
          <w:szCs w:val="16"/>
          <w:color w:val="auto"/>
        </w:rPr>
        <w:t>. If a person to whom a benefit is payable is a minor or is otherwise incompetent by reason of a physical or mental disability, the Corporation may cause the payments due to such person to be made to another person for the first person’s benefit without any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responsibility to see to the application of such payment. Such payments shall operate as a complete discharge of the obligations to such person under the Plan.</w:t>
      </w:r>
    </w:p>
    <w:p>
      <w:pPr>
        <w:spacing w:after="0" w:line="140"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Liability</w:t>
      </w:r>
      <w:r>
        <w:rPr>
          <w:rFonts w:ascii="Arial" w:cs="Arial" w:eastAsia="Arial" w:hAnsi="Arial"/>
          <w:sz w:val="16"/>
          <w:szCs w:val="16"/>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17" w:lineRule="exact"/>
        <w:rPr>
          <w:sz w:val="20"/>
          <w:szCs w:val="20"/>
          <w:color w:val="auto"/>
        </w:rPr>
      </w:pPr>
    </w:p>
    <w:p>
      <w:pPr>
        <w:ind w:left="240" w:right="120" w:firstLine="221"/>
        <w:spacing w:after="0" w:line="276" w:lineRule="auto"/>
        <w:tabs>
          <w:tab w:leader="none" w:pos="71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64" w:lineRule="exact"/>
        <w:rPr>
          <w:rFonts w:ascii="Arial" w:cs="Arial" w:eastAsia="Arial" w:hAnsi="Arial"/>
          <w:sz w:val="17"/>
          <w:szCs w:val="17"/>
          <w:color w:val="auto"/>
        </w:rPr>
      </w:pPr>
    </w:p>
    <w:p>
      <w:pPr>
        <w:ind w:left="900" w:hanging="21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17" w:lineRule="exact"/>
        <w:rPr>
          <w:rFonts w:ascii="Arial" w:cs="Arial" w:eastAsia="Arial" w:hAnsi="Arial"/>
          <w:sz w:val="18"/>
          <w:szCs w:val="18"/>
          <w:color w:val="auto"/>
        </w:rPr>
      </w:pPr>
    </w:p>
    <w:p>
      <w:pPr>
        <w:ind w:left="960" w:hanging="271"/>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17" w:lineRule="exact"/>
        <w:rPr>
          <w:rFonts w:ascii="Arial" w:cs="Arial" w:eastAsia="Arial" w:hAnsi="Arial"/>
          <w:sz w:val="18"/>
          <w:szCs w:val="18"/>
          <w:color w:val="auto"/>
        </w:rPr>
      </w:pPr>
    </w:p>
    <w:p>
      <w:pPr>
        <w:ind w:left="460" w:right="180" w:firstLine="229"/>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62" w:lineRule="exact"/>
        <w:rPr>
          <w:rFonts w:ascii="Arial" w:cs="Arial" w:eastAsia="Arial" w:hAnsi="Arial"/>
          <w:sz w:val="18"/>
          <w:szCs w:val="18"/>
          <w:color w:val="auto"/>
        </w:rPr>
      </w:pPr>
    </w:p>
    <w:p>
      <w:pPr>
        <w:ind w:left="460" w:right="300" w:firstLine="229"/>
        <w:spacing w:after="0" w:line="277" w:lineRule="auto"/>
        <w:tabs>
          <w:tab w:leader="none" w:pos="9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62" w:lineRule="exact"/>
        <w:rPr>
          <w:rFonts w:ascii="Arial" w:cs="Arial" w:eastAsia="Arial" w:hAnsi="Arial"/>
          <w:sz w:val="18"/>
          <w:szCs w:val="18"/>
          <w:color w:val="auto"/>
        </w:rPr>
      </w:pPr>
    </w:p>
    <w:p>
      <w:pPr>
        <w:ind w:left="240" w:firstLine="221"/>
        <w:spacing w:after="0" w:line="25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left="240" w:right="100"/>
        <w:spacing w:after="0" w:line="286" w:lineRule="auto"/>
        <w:rPr>
          <w:sz w:val="20"/>
          <w:szCs w:val="20"/>
          <w:color w:val="auto"/>
        </w:rPr>
      </w:pPr>
      <w:r>
        <w:rPr>
          <w:rFonts w:ascii="Arial" w:cs="Arial" w:eastAsia="Arial" w:hAnsi="Arial"/>
          <w:sz w:val="17"/>
          <w:szCs w:val="17"/>
          <w:color w:val="auto"/>
        </w:rPr>
        <w:t>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57" w:lineRule="exact"/>
        <w:rPr>
          <w:sz w:val="20"/>
          <w:szCs w:val="20"/>
          <w:color w:val="auto"/>
        </w:rPr>
      </w:pPr>
    </w:p>
    <w:p>
      <w:pPr>
        <w:jc w:val="both"/>
        <w:ind w:left="240" w:right="60" w:firstLine="221"/>
        <w:spacing w:after="0" w:line="286" w:lineRule="auto"/>
        <w:tabs>
          <w:tab w:leader="none" w:pos="71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Corporation (through its Board of Directors or authorized officers or employees and/or the Compensation Committee)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8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If the Plan is amended to freeze benefit accruals, no additional deferrals or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8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the laws of the State of Wisconsin, except to the extent preempted by the provisions of ERISA or other applicable federal law.</w:t>
      </w:r>
    </w:p>
    <w:p>
      <w:pPr>
        <w:spacing w:after="0" w:line="62" w:lineRule="exact"/>
        <w:rPr>
          <w:sz w:val="20"/>
          <w:szCs w:val="20"/>
          <w:color w:val="auto"/>
        </w:rPr>
      </w:pPr>
    </w:p>
    <w:p>
      <w:pPr>
        <w:ind w:right="320" w:firstLine="225"/>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Relationship to Other Programs</w:t>
      </w:r>
      <w:r>
        <w:rPr>
          <w:rFonts w:ascii="Arial" w:cs="Arial" w:eastAsia="Arial" w:hAnsi="Arial"/>
          <w:sz w:val="18"/>
          <w:szCs w:val="18"/>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wages, salary or any other type of compensation or otherwise taken into account in the determination of the Participant’s benefits under any other plans of the Corporation, unless expressly provided otherwise by such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40" w:firstLine="225"/>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Non-Assignability by Participant</w:t>
      </w:r>
      <w:r>
        <w:rPr>
          <w:rFonts w:ascii="Arial" w:cs="Arial" w:eastAsia="Arial" w:hAnsi="Arial"/>
          <w:sz w:val="18"/>
          <w:szCs w:val="18"/>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73"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Status of Plan Under ERISA</w:t>
      </w:r>
      <w:r>
        <w:rPr>
          <w:rFonts w:ascii="Arial" w:cs="Arial" w:eastAsia="Arial" w:hAnsi="Arial"/>
          <w:sz w:val="16"/>
          <w:szCs w:val="16"/>
          <w:color w:val="auto"/>
        </w:rPr>
        <w:t>. The Plan is intended to be an unfunded plan maintained by the Corporation primarily for the purpose of providing deferred compensation for a select group of management or highly compensated employees, as described in Section 201(2), Section 301(a)(3), Section 401(a)</w:t>
      </w:r>
    </w:p>
    <w:p>
      <w:pPr>
        <w:spacing w:after="0"/>
        <w:rPr>
          <w:sz w:val="20"/>
          <w:szCs w:val="20"/>
          <w:color w:val="auto"/>
        </w:rPr>
      </w:pPr>
      <w:r>
        <w:rPr>
          <w:rFonts w:ascii="Arial" w:cs="Arial" w:eastAsia="Arial" w:hAnsi="Arial"/>
          <w:sz w:val="18"/>
          <w:szCs w:val="18"/>
          <w:color w:val="auto"/>
        </w:rPr>
        <w:t>(1) and Section 4021(b)(6) of ERISA.</w:t>
      </w:r>
    </w:p>
    <w:p>
      <w:pPr>
        <w:spacing w:after="0" w:line="103"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comply with all applicable tax and governmental withholding requirements. To the extent required by law, the Corporation shall withhold any taxes required to be withheld by the federal or any state or local government from payments made hereunder or from any other amounts paid to a Participant by the Corporation. If FICA taxes must be withheld in connection with amounts credited hereunder before payments are otherwise due hereunder and if there are no other wages from which to withhold them, the Corporation shall pay such FICA taxes generated by such payment (and taxes under Code Section 3401 triggered thereby and additional taxes under Section 3401 attributable to pyramiding of Section 3401 wages and taxes) but no more and the Participant’s Account hereunder shall be reduced by an amount equal to the payments made by the Corporation. Any such distribution shall be taken on a pro rata basis from the Participant’s General Investment Sub-account and Brady Stock Sub-account in the manner described in Section 6.1(a)(iv)(B).</w:t>
      </w:r>
    </w:p>
    <w:p>
      <w:pPr>
        <w:spacing w:after="0" w:line="84"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 Nor does participation in this Plan guarantee the Participant the right to be continued in service in any particular position or at any particular rate of compensation.</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Unsecured Claim; Grantor Trust</w:t>
      </w:r>
      <w:r>
        <w:rPr>
          <w:rFonts w:ascii="Arial" w:cs="Arial" w:eastAsia="Arial" w:hAnsi="Arial"/>
          <w:sz w:val="16"/>
          <w:szCs w:val="16"/>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w:t>
      </w:r>
    </w:p>
    <w:p>
      <w:pPr>
        <w:spacing w:after="0" w:line="50" w:lineRule="exact"/>
        <w:rPr>
          <w:sz w:val="20"/>
          <w:szCs w:val="20"/>
          <w:color w:val="auto"/>
        </w:rPr>
      </w:pPr>
    </w:p>
    <w:p>
      <w:pPr>
        <w:ind w:right="180" w:firstLine="222"/>
        <w:spacing w:after="0" w:line="286" w:lineRule="auto"/>
        <w:rPr>
          <w:sz w:val="20"/>
          <w:szCs w:val="20"/>
          <w:color w:val="auto"/>
        </w:rPr>
      </w:pPr>
      <w:r>
        <w:rPr>
          <w:rFonts w:ascii="Arial" w:cs="Arial" w:eastAsia="Arial" w:hAnsi="Arial"/>
          <w:sz w:val="17"/>
          <w:szCs w:val="17"/>
          <w:color w:val="auto"/>
        </w:rPr>
        <w:t>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200" w:firstLine="225"/>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Notices or Filings</w:t>
      </w:r>
      <w:r>
        <w:rPr>
          <w:rFonts w:ascii="Arial" w:cs="Arial" w:eastAsia="Arial" w:hAnsi="Arial"/>
          <w:sz w:val="18"/>
          <w:szCs w:val="18"/>
          <w:color w:val="auto"/>
        </w:rPr>
        <w:t>. Any notice or filing required or permitted to be given to the Administrator hereunder shall be sufficient if in writing and hand-delivered, or sent by registered or certified mail, to the address below:</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Treasurer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Milwaukee, WI 53201-0571</w:t>
      </w:r>
    </w:p>
    <w:p>
      <w:pPr>
        <w:spacing w:after="0" w:line="103"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62"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Any notice or filing required or permitted to be given to a Participant hereunder shall be sufficient if in writing and hand-delivered, or sent by mail, to the last known address of the Participant.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Special rules for 2005-2007</w:t>
      </w:r>
      <w:r>
        <w:rPr>
          <w:rFonts w:ascii="Arial" w:cs="Arial" w:eastAsia="Arial" w:hAnsi="Arial"/>
          <w:sz w:val="18"/>
          <w:szCs w:val="18"/>
          <w:color w:val="auto"/>
        </w:rPr>
        <w:t>. Notwithstanding the usual rules required regarding the deferral elections and distribution elections:</w:t>
      </w:r>
    </w:p>
    <w:p>
      <w:pPr>
        <w:spacing w:after="0" w:line="117" w:lineRule="exact"/>
        <w:rPr>
          <w:sz w:val="20"/>
          <w:szCs w:val="20"/>
          <w:color w:val="auto"/>
        </w:rPr>
      </w:pPr>
    </w:p>
    <w:p>
      <w:pPr>
        <w:ind w:left="240" w:right="60" w:firstLine="221"/>
        <w:spacing w:after="0" w:line="264"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become payable at the time of the election. Such election shall remain in effect for future years until modified pursuant to Section 3.3(a) and/or (b), as the case may be.</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or before December 31, 2007, a Participant may make an election as to distribution of his Account from among the choices described at</w:t>
      </w:r>
    </w:p>
    <w:p>
      <w:pPr>
        <w:spacing w:after="0" w:line="34" w:lineRule="exact"/>
        <w:rPr>
          <w:rFonts w:ascii="Arial" w:cs="Arial" w:eastAsia="Arial" w:hAnsi="Arial"/>
          <w:sz w:val="17"/>
          <w:szCs w:val="17"/>
          <w:color w:val="auto"/>
        </w:rPr>
      </w:pPr>
    </w:p>
    <w:p>
      <w:pPr>
        <w:ind w:left="240" w:right="20"/>
        <w:spacing w:after="0" w:line="290" w:lineRule="auto"/>
        <w:rPr>
          <w:rFonts w:ascii="Arial" w:cs="Arial" w:eastAsia="Arial" w:hAnsi="Arial"/>
          <w:sz w:val="17"/>
          <w:szCs w:val="17"/>
          <w:color w:val="auto"/>
        </w:rPr>
      </w:pPr>
      <w:r>
        <w:rPr>
          <w:rFonts w:ascii="Arial" w:cs="Arial" w:eastAsia="Arial" w:hAnsi="Arial"/>
          <w:sz w:val="16"/>
          <w:szCs w:val="16"/>
          <w:color w:val="auto"/>
        </w:rPr>
        <w:t>Section 6.1 hereof without complying with the rules described in Section 6.2 hereof as long as the effect of the election is not to accelerate payments into 2006 or to defer payments which would otherwise have been made in 2006, and as long as the effect of the election is not to accelerate the payments into 2007 or to defer payments which would otherwise have been made in 2007. Such election shall become effective after the last day upon which it is permitted to be made. However, in order to subsequently change such special election after December 31, 2007, the requirements of Section 6.2 hereof must be satisfied. (This election will not apply to distribution of the Participant’s accounts holding amounts earned and vested prior to January 1, 2005, if any, (and earnings credited thereon) since such accounts are not governed by this document but are governed by the Frozen Plan.)</w:t>
      </w:r>
    </w:p>
    <w:p>
      <w:pPr>
        <w:spacing w:after="0" w:line="56"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WITNESS WHEREOF, the Corporation has caused its duly authorized officer to execute this Plan document on its behalf this 17th day of September, 2007.</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2769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19" w:lineRule="exact"/>
        <w:rPr>
          <w:sz w:val="20"/>
          <w:szCs w:val="20"/>
          <w:color w:val="auto"/>
        </w:rPr>
      </w:pPr>
    </w:p>
    <w:p>
      <w:pPr>
        <w:ind w:left="5460"/>
        <w:spacing w:after="0"/>
        <w:tabs>
          <w:tab w:leader="none" w:pos="60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400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935" w:right="3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DEFERRED COMPENSATION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1.1 For periods prior to calendar year 2005, Brady Corporation has maintained the Brady Corporation Directors’ Deferred Compensation Plan by means of a series of individual deferred compensation agreements with covered directors. This document amends and restates those prior agreements effective as of January 1, 2005 with respect to both investment and distribution of amounts deferred before 2005 and after 2004 and with respect to rules for making deferrals after 2004.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document describes how this Plan has been administered for periods after 2004 and prior to January 1, 2008 and how it shall be administered for periods after 2007.</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account credited from time to time with bookkeeping amounts equal to the portions of a Participant’s compensation deferred pursuant to Section 3.1 and earnings credited on such amounts in accordance with Article IV.</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of Directors of Brady Corporation.</w:t>
      </w:r>
    </w:p>
    <w:p>
      <w:pPr>
        <w:spacing w:after="0" w:line="117"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Beneficiary</w:t>
      </w:r>
      <w:r>
        <w:rPr>
          <w:rFonts w:ascii="Arial" w:cs="Arial" w:eastAsia="Arial" w:hAnsi="Arial"/>
          <w:sz w:val="17"/>
          <w:szCs w:val="17"/>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Participant shall die before receiving the full amounts payable hereunder, then the payments shall be paid to the estate of the Beneficiary last to 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including any subsequent amendments.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Corporation</w:t>
      </w:r>
      <w:r>
        <w:rPr>
          <w:rFonts w:ascii="Arial" w:cs="Arial" w:eastAsia="Arial" w:hAnsi="Arial"/>
          <w:sz w:val="18"/>
          <w:szCs w:val="18"/>
          <w:color w:val="auto"/>
        </w:rPr>
        <w:t>” means Brady Corporation.</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date specified by the Participant pursuant to Section 6.2 upon which distribution shall be made or commenced following the Participant’s Separation from Service or In-Service Payment Event Date, as the case may be. The Distribution Date selected by the Participant must be on the first day of a calendar quarter and may be no later than 12 months after the Participant’s Separation from Service or In-Service Payment Event Date, whichever is the cause of the distribution. If the distribution is payable other than in a single installment, subsequent installments shall be paid on anniversaries of the Distribution Date.</w:t>
      </w:r>
    </w:p>
    <w:p>
      <w:pPr>
        <w:spacing w:after="0" w:line="8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In-Service Payment Event Date</w:t>
      </w:r>
      <w:r>
        <w:rPr>
          <w:rFonts w:ascii="Arial" w:cs="Arial" w:eastAsia="Arial" w:hAnsi="Arial"/>
          <w:sz w:val="18"/>
          <w:szCs w:val="18"/>
          <w:color w:val="auto"/>
        </w:rPr>
        <w:t>” means the date, if any, specified by the Participant pursuant to Section 6.2 as the reference date following which distribution of his Account shall begin. An In-Service Payment Event Date may be no earlier than January 1, 2007.</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director of Brady Corporation currently eligible to make deferrals (an “Active Participant”) and any former director who previously participated in the Plan and is entitled to benefits.</w:t>
      </w:r>
    </w:p>
    <w:p>
      <w:pPr>
        <w:spacing w:after="0" w:line="62"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Payment Event</w:t>
      </w:r>
      <w:r>
        <w:rPr>
          <w:rFonts w:ascii="Arial" w:cs="Arial" w:eastAsia="Arial" w:hAnsi="Arial"/>
          <w:sz w:val="18"/>
          <w:szCs w:val="18"/>
          <w:color w:val="auto"/>
        </w:rPr>
        <w:t>” means the earlier of the date of a Participant’s Separation From Service or the date the Participant specifies as his In-Service Payment Event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2.10 “</w:t>
      </w:r>
      <w:r>
        <w:rPr>
          <w:rFonts w:ascii="Arial" w:cs="Arial" w:eastAsia="Arial" w:hAnsi="Arial"/>
          <w:sz w:val="17"/>
          <w:szCs w:val="17"/>
          <w:u w:val="single" w:color="auto"/>
          <w:color w:val="auto"/>
        </w:rPr>
        <w:t>Plan</w:t>
      </w:r>
      <w:r>
        <w:rPr>
          <w:rFonts w:ascii="Arial" w:cs="Arial" w:eastAsia="Arial" w:hAnsi="Arial"/>
          <w:sz w:val="17"/>
          <w:szCs w:val="17"/>
          <w:color w:val="auto"/>
        </w:rPr>
        <w:t>” means the Brady Corporation Directors’ Deferred Compensation Plan, as set forth herein and as it may be amended from time to time.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expiration or termination of the arrangement with the Corporation pursuant to which the Participant performed services as a director of the Corporation if such expiration or termination constitutes a good faith and complete termination of the relationship and all other independent contractor relationships the Participant has with the Corporation. A good faith and complete termination of a relationship shall not be deemed to have occurred if the Corporation anticipates a renewal of a contractual relationship or anticipates that the Participant shall become an employee of the Corporation. For this purpose, the Corporation is considered to anticipate the renewal of a contractual relationship with the Participant if it intends to contract again for the services provided under the expired arrangement, and neither the Corporation nor the Participant has eliminated the Participant as a possible provider of services under any such new arrangement. Further, the Corporation is considered to intend to contract again for the services provided under an expired arrangement if the Corporation’s doing so is conditioned only upon incurring a need for the services, the availability of funds or both. The foregoing requirements are deemed satisfied if no amount will be paid to the Participant before a date at least 12 months after the day on which the arrangement expires pursuant to which the Participant performed services for the Corporation (or, in the case of more than one arrangement, all such arrangements expire) and no amount payable to the Participant on that date will be paid to the Participant if, after the expiration of the arrangement (or arrangements) and before that date, the Participant performs services for the Corporation as a director or other independent contractor or an employee). If a Participant provides services both as an employee of the Corporation and as a member of the board of directors of the Corporation, the services provided as an employee are not taken into account in determining whether the Participant has a Separation from Service as a director for purposes of this Plan because this Plan is not aggregated with any plan in which the Participant participates as an employee pursuant to IRS Regulation Section 1.409A-1(c)(2)(ii).</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20" w:firstLine="225"/>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2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DEFERRALS</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Deferral Elections</w:t>
      </w:r>
      <w:r>
        <w:rPr>
          <w:rFonts w:ascii="Arial" w:cs="Arial" w:eastAsia="Arial" w:hAnsi="Arial"/>
          <w:sz w:val="16"/>
          <w:szCs w:val="16"/>
          <w:color w:val="auto"/>
        </w:rPr>
        <w:t>. An Active Participant may elect to defer a specified percentage of his fees for services performed as a director of the Corporation during a Plan Year by completing and filing such forms as required by the Corporation prior to the first day of the Plan Year. A Participant’s deferrals shall be taken at a uniform percentage rate from each of the payments made to him by the Corporation during the Plan Year. Compensation deferred shall be retained by the Corporation, credited to the Participant’s Account pursuant to Section 4.1 and paid in accordance with the terms and conditions of the Plan. A director who is not already eligible to participate in any other deferred compensation plan of the account balance type sponsored by the Corporation who becomes an Active Participant for the first time during a Plan Year (i.e., first becomes a director) may within 30 days after the effective date of participation make an election to defer a specified percentage of compensation to be paid to him for services to be performed subsequent to the deferral election.</w:t>
      </w:r>
    </w:p>
    <w:p>
      <w:pPr>
        <w:spacing w:after="0" w:line="5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 An Active Participant’s deferral election with respect to a Plan Year under Section 3.1 shall be irrevocable after the last date upon which it may be filed pursuant to Section 3.1 and shall continue in effect each subsequent Plan Year until prospectively revoked or amended in writing. For a revocation or amendment to be effective with respect to payments during a Plan Year, it must be filed by the last date for which an effective deferral election is permitted to be filed with respect to those payments under Section 3.1.</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Prior Deferral Elections</w:t>
      </w:r>
      <w:r>
        <w:rPr>
          <w:rFonts w:ascii="Arial" w:cs="Arial" w:eastAsia="Arial" w:hAnsi="Arial"/>
          <w:sz w:val="18"/>
          <w:szCs w:val="18"/>
          <w:color w:val="auto"/>
        </w:rPr>
        <w:t>. Any deferral election made prior to calendar year 2005 under an individual agreement shall be treated as a deferral election described in Section 3.1 and shall continue in effect until modified as described in Section 3.2 above unless modified earlier pursuant to Section 8.12(a) below.</w:t>
      </w:r>
    </w:p>
    <w:p>
      <w:pPr>
        <w:spacing w:after="0" w:line="73" w:lineRule="exact"/>
        <w:rPr>
          <w:sz w:val="20"/>
          <w:szCs w:val="20"/>
          <w:color w:val="auto"/>
        </w:rPr>
      </w:pPr>
    </w:p>
    <w:p>
      <w:pPr>
        <w:ind w:right="400" w:firstLine="225"/>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3.1, as the case may be, as those provisions apply to someone who is already an Active Participant in the Plan.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6" w:name="page27"/>
    <w:bookmarkEnd w:id="26"/>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ACCOUNTS</w:t>
      </w:r>
    </w:p>
    <w:p>
      <w:pPr>
        <w:spacing w:after="0" w:line="121"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Credits to Account</w:t>
      </w:r>
      <w:r>
        <w:rPr>
          <w:rFonts w:ascii="Arial" w:cs="Arial" w:eastAsia="Arial" w:hAnsi="Arial"/>
          <w:sz w:val="16"/>
          <w:szCs w:val="16"/>
          <w:color w:val="auto"/>
        </w:rPr>
        <w:t>. Bookkeeping amounts equal to the amounts deferred by a Participant pursuant to Section 3.1 shall be credited to such Participant’s Deferral Account as soon as practicable after the deferred compensation would otherwise have been paid to such Participant in the absence of deferral.</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117" w:lineRule="exact"/>
        <w:rPr>
          <w:sz w:val="20"/>
          <w:szCs w:val="20"/>
          <w:color w:val="auto"/>
        </w:rPr>
      </w:pPr>
    </w:p>
    <w:p>
      <w:pPr>
        <w:ind w:left="700" w:hanging="239"/>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Participant’s Account shall be credited or charged with deemed earnings or losses as if it were invested in accordance with paragraph (b) below.</w:t>
      </w:r>
    </w:p>
    <w:p>
      <w:pPr>
        <w:spacing w:after="0" w:line="140" w:lineRule="exact"/>
        <w:rPr>
          <w:rFonts w:ascii="Arial" w:cs="Arial" w:eastAsia="Arial" w:hAnsi="Arial"/>
          <w:sz w:val="16"/>
          <w:szCs w:val="16"/>
          <w:color w:val="auto"/>
        </w:rPr>
      </w:pPr>
    </w:p>
    <w:p>
      <w:pPr>
        <w:jc w:val="both"/>
        <w:ind w:left="240" w:right="120" w:firstLine="221"/>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78" w:lineRule="exact"/>
        <w:rPr>
          <w:rFonts w:ascii="Arial" w:cs="Arial" w:eastAsia="Arial" w:hAnsi="Arial"/>
          <w:sz w:val="18"/>
          <w:szCs w:val="18"/>
          <w:color w:val="auto"/>
        </w:rPr>
      </w:pPr>
    </w:p>
    <w:p>
      <w:pPr>
        <w:ind w:left="460" w:right="20" w:firstLine="229"/>
        <w:spacing w:after="0" w:line="255" w:lineRule="auto"/>
        <w:tabs>
          <w:tab w:leader="none" w:pos="9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 the date credited to the Participant’s Account, deferrals shall be deemed to be invested in one or more of the investment funds designated by the Participant for such deemed investment.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85" w:lineRule="exact"/>
        <w:rPr>
          <w:rFonts w:ascii="Arial" w:cs="Arial" w:eastAsia="Arial" w:hAnsi="Arial"/>
          <w:sz w:val="18"/>
          <w:szCs w:val="18"/>
          <w:color w:val="auto"/>
        </w:rPr>
      </w:pPr>
    </w:p>
    <w:p>
      <w:pPr>
        <w:ind w:left="460" w:right="60" w:firstLine="229"/>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62" w:lineRule="exact"/>
        <w:rPr>
          <w:rFonts w:ascii="Arial" w:cs="Arial" w:eastAsia="Arial" w:hAnsi="Arial"/>
          <w:sz w:val="18"/>
          <w:szCs w:val="18"/>
          <w:color w:val="auto"/>
        </w:rPr>
      </w:pPr>
    </w:p>
    <w:p>
      <w:pPr>
        <w:jc w:val="both"/>
        <w:ind w:left="460" w:right="100" w:firstLine="229"/>
        <w:spacing w:after="0" w:line="264" w:lineRule="auto"/>
        <w:tabs>
          <w:tab w:leader="none" w:pos="9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Participant’s balance in the Brady Stock Fund shall be determined as though the Participant’s deferrals allocated to that Fund are invested in shares of Class A non-voting common stock of Brady Corporation by purchase at the fair market value price of such stock on the date the deferrals are credited to the Participant’s Brady Stock Fund Sub-account.</w:t>
      </w:r>
    </w:p>
    <w:p>
      <w:pPr>
        <w:spacing w:after="0" w:line="73" w:lineRule="exact"/>
        <w:rPr>
          <w:rFonts w:ascii="Arial" w:cs="Arial" w:eastAsia="Arial" w:hAnsi="Arial"/>
          <w:sz w:val="18"/>
          <w:szCs w:val="18"/>
          <w:color w:val="auto"/>
        </w:rPr>
      </w:pPr>
    </w:p>
    <w:p>
      <w:pPr>
        <w:ind w:left="460" w:firstLine="229"/>
        <w:spacing w:after="0" w:line="293" w:lineRule="auto"/>
        <w:tabs>
          <w:tab w:leader="none" w:pos="9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7" w:name="page28"/>
    <w:bookmarkEnd w:id="27"/>
    <w:p>
      <w:pPr>
        <w:jc w:val="both"/>
        <w:ind w:left="220" w:right="140"/>
        <w:spacing w:after="0" w:line="312" w:lineRule="auto"/>
        <w:rPr>
          <w:sz w:val="20"/>
          <w:szCs w:val="20"/>
          <w:color w:val="auto"/>
        </w:rPr>
      </w:pPr>
      <w:r>
        <w:rPr>
          <w:rFonts w:ascii="Arial" w:cs="Arial" w:eastAsia="Arial" w:hAnsi="Arial"/>
          <w:sz w:val="16"/>
          <w:szCs w:val="16"/>
          <w:color w:val="auto"/>
        </w:rPr>
        <w:t>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39" w:lineRule="exact"/>
        <w:rPr>
          <w:sz w:val="20"/>
          <w:szCs w:val="20"/>
          <w:color w:val="auto"/>
        </w:rPr>
      </w:pPr>
    </w:p>
    <w:p>
      <w:pPr>
        <w:ind w:left="220" w:right="620" w:firstLine="229"/>
        <w:spacing w:after="0" w:line="308" w:lineRule="auto"/>
        <w:tabs>
          <w:tab w:leader="none" w:pos="7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valuation of the funds held in the General Investment Sub-account shall be accomplished in the same manner as though the deemed investment in such funds had actually been made and are valued at their fair market value price on valuation dates hereunder.</w:t>
      </w:r>
    </w:p>
    <w:p>
      <w:pPr>
        <w:spacing w:after="0" w:line="38" w:lineRule="exact"/>
        <w:rPr>
          <w:rFonts w:ascii="Arial" w:cs="Arial" w:eastAsia="Arial" w:hAnsi="Arial"/>
          <w:sz w:val="17"/>
          <w:szCs w:val="17"/>
          <w:color w:val="auto"/>
        </w:rPr>
      </w:pPr>
    </w:p>
    <w:p>
      <w:pPr>
        <w:ind w:left="220" w:firstLine="229"/>
        <w:spacing w:after="0" w:line="264" w:lineRule="auto"/>
        <w:tabs>
          <w:tab w:leader="none" w:pos="8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73" w:lineRule="exact"/>
        <w:rPr>
          <w:rFonts w:ascii="Arial" w:cs="Arial" w:eastAsia="Arial" w:hAnsi="Arial"/>
          <w:sz w:val="18"/>
          <w:szCs w:val="18"/>
          <w:color w:val="auto"/>
        </w:rPr>
      </w:pPr>
    </w:p>
    <w:p>
      <w:pPr>
        <w:ind w:left="220" w:right="880" w:firstLine="229"/>
        <w:spacing w:after="0" w:line="277" w:lineRule="auto"/>
        <w:tabs>
          <w:tab w:leader="none" w:pos="8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elections and designations under this section shall be made in accordance with procedures prescribed by the Administrator. The Administrator may prescribe uniform percentages for such elections and designations.</w:t>
      </w:r>
    </w:p>
    <w:p>
      <w:pPr>
        <w:spacing w:after="0" w:line="62" w:lineRule="exact"/>
        <w:rPr>
          <w:rFonts w:ascii="Arial" w:cs="Arial" w:eastAsia="Arial" w:hAnsi="Arial"/>
          <w:sz w:val="18"/>
          <w:szCs w:val="18"/>
          <w:color w:val="auto"/>
        </w:rPr>
      </w:pPr>
    </w:p>
    <w:p>
      <w:pPr>
        <w:ind w:left="220" w:firstLine="229"/>
        <w:spacing w:after="0" w:line="273" w:lineRule="auto"/>
        <w:tabs>
          <w:tab w:leader="none" w:pos="7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 (i) 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pacing w:after="0" w:line="70" w:lineRule="exact"/>
        <w:rPr>
          <w:rFonts w:ascii="Arial" w:cs="Arial" w:eastAsia="Arial" w:hAnsi="Arial"/>
          <w:sz w:val="17"/>
          <w:szCs w:val="17"/>
          <w:color w:val="auto"/>
        </w:rPr>
      </w:pPr>
    </w:p>
    <w:p>
      <w:pPr>
        <w:ind w:left="220" w:right="260" w:firstLine="229"/>
        <w:spacing w:after="0" w:line="254" w:lineRule="auto"/>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subparagraph (ix) above, from and after May 1, 2006, a Participant may not shift any amounts from his Brady Stock Sub-account to his General Investment Sub-account or vice-versa. The preceding sentence shall not apply to a Participant who has had a Separation from Service prior to May 1, 2006. A Participant shall, on or after February 16, 2006 and prior to May 1, 2006, be entitled to reallocate up to 50% of the balance of the portion of his Account attributable to pre-2004 deferrals from investments in the Brady Stock Fund to the other investment funds available hereunder; and, thereafter, the portion of such account attributable to pre-2004 deferrals held in the Brady Stock Fund must remain in the Brady Stock Fund but the director may continue to make new investment choices from among available investment funds with respect to remaining portions of that account. The preceding sentence shall not apply to a Participant who has a Separation from Service before reallocation under such sentence has taken place.</w:t>
      </w:r>
    </w:p>
    <w:p>
      <w:pPr>
        <w:spacing w:after="0" w:line="84" w:lineRule="exact"/>
        <w:rPr>
          <w:rFonts w:ascii="Arial" w:cs="Arial" w:eastAsia="Arial" w:hAnsi="Arial"/>
          <w:sz w:val="18"/>
          <w:szCs w:val="18"/>
          <w:color w:val="auto"/>
        </w:rPr>
      </w:pPr>
    </w:p>
    <w:p>
      <w:pPr>
        <w:ind w:right="160" w:firstLine="221"/>
        <w:spacing w:after="0" w:line="264" w:lineRule="auto"/>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Corporation shall provide annual reports to each Participant showing (a) the value of the Account as of the most recent December 31</w:t>
      </w:r>
      <w:r>
        <w:rPr>
          <w:rFonts w:ascii="Arial" w:cs="Arial" w:eastAsia="Arial" w:hAnsi="Arial"/>
          <w:sz w:val="15"/>
          <w:szCs w:val="15"/>
          <w:color w:val="auto"/>
        </w:rPr>
        <w:t>st</w:t>
      </w:r>
      <w:r>
        <w:rPr>
          <w:rFonts w:ascii="Arial" w:cs="Arial" w:eastAsia="Arial" w:hAnsi="Arial"/>
          <w:sz w:val="18"/>
          <w:szCs w:val="18"/>
          <w:color w:val="auto"/>
        </w:rPr>
        <w:t>, (b) the amount of deferral made by the Participant for the Plan Year ending on such date and (c) the amount of any investment gain or loss and the costs of administration credited or debited to the Participant’s Account.</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8" w:name="page29"/>
    <w:bookmarkEnd w:id="28"/>
    <w:p>
      <w:pPr>
        <w:ind w:left="240" w:right="60" w:firstLine="221"/>
        <w:spacing w:after="0" w:line="255"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8"/>
          <w:szCs w:val="18"/>
          <w:u w:val="single" w:color="auto"/>
          <w:color w:val="auto"/>
        </w:rPr>
        <w:t>shall not</w:t>
      </w:r>
      <w:r>
        <w:rPr>
          <w:rFonts w:ascii="Arial" w:cs="Arial" w:eastAsia="Arial" w:hAnsi="Arial"/>
          <w:sz w:val="18"/>
          <w:szCs w:val="18"/>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29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his or her Account hereunder.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MANNER AND TIMING OF DISTRIBUTION</w:t>
      </w:r>
    </w:p>
    <w:p>
      <w:pPr>
        <w:spacing w:after="0" w:line="121"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Benefits</w:t>
      </w:r>
      <w:r>
        <w:rPr>
          <w:rFonts w:ascii="Arial" w:cs="Arial" w:eastAsia="Arial" w:hAnsi="Arial"/>
          <w:sz w:val="18"/>
          <w:szCs w:val="18"/>
          <w:color w:val="auto"/>
        </w:rPr>
        <w:t>. After a Participant’s Payment Event the Participant’s Account shall be paid to the Participant (or in the event of the Participant’s death, to the Participant’s Beneficiary). Payment shall be made in a Single Sum or Installments as specified in the Participant’s payment election pursuant to Section 6.2:</w:t>
      </w:r>
    </w:p>
    <w:p>
      <w:pPr>
        <w:spacing w:after="0" w:line="73" w:lineRule="exact"/>
        <w:rPr>
          <w:sz w:val="20"/>
          <w:szCs w:val="20"/>
          <w:color w:val="auto"/>
        </w:rPr>
      </w:pPr>
    </w:p>
    <w:p>
      <w:pPr>
        <w:ind w:left="460" w:right="180" w:firstLine="229"/>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Single Sum</w:t>
      </w:r>
      <w:r>
        <w:rPr>
          <w:rFonts w:ascii="Arial" w:cs="Arial" w:eastAsia="Arial" w:hAnsi="Arial"/>
          <w:sz w:val="18"/>
          <w:szCs w:val="18"/>
          <w:color w:val="auto"/>
        </w:rPr>
        <w:t>. A single sum distribution of the value of the balance of the Account on the Distribution Date following the Participant’s Payment Event. If the Participant receives a single sum distribution before Separation from Service with the result that additional amounts are subsequently deposited in the Participant’s Account, a distribution shall be made on each succeeding Distribution Date of the entire value of the then balance of the Account.</w:t>
      </w:r>
    </w:p>
    <w:p>
      <w:pPr>
        <w:spacing w:after="0" w:line="78" w:lineRule="exact"/>
        <w:rPr>
          <w:rFonts w:ascii="Arial" w:cs="Arial" w:eastAsia="Arial" w:hAnsi="Arial"/>
          <w:sz w:val="18"/>
          <w:szCs w:val="18"/>
          <w:color w:val="auto"/>
        </w:rPr>
      </w:pPr>
    </w:p>
    <w:p>
      <w:pPr>
        <w:ind w:left="460" w:right="60" w:firstLine="229"/>
        <w:spacing w:after="0" w:line="257" w:lineRule="auto"/>
        <w:tabs>
          <w:tab w:leader="none" w:pos="95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Installments</w:t>
      </w:r>
      <w:r>
        <w:rPr>
          <w:rFonts w:ascii="Arial" w:cs="Arial" w:eastAsia="Arial" w:hAnsi="Arial"/>
          <w:sz w:val="18"/>
          <w:szCs w:val="18"/>
          <w:color w:val="auto"/>
        </w:rPr>
        <w:t>. The value of the balance of the Account shall be paid in annual installments on the Distribution Date each year with the first of such installments to be paid on the Distribution Date following the Participant’s Payment Event.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pacing w:after="0" w:line="80" w:lineRule="exact"/>
        <w:rPr>
          <w:rFonts w:ascii="Arial" w:cs="Arial" w:eastAsia="Arial" w:hAnsi="Arial"/>
          <w:sz w:val="18"/>
          <w:szCs w:val="18"/>
          <w:color w:val="auto"/>
        </w:rPr>
      </w:pPr>
    </w:p>
    <w:p>
      <w:pPr>
        <w:ind w:left="700" w:firstLine="218"/>
        <w:spacing w:after="0" w:line="259" w:lineRule="auto"/>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left="700" w:right="580"/>
        <w:spacing w:after="0" w:line="277" w:lineRule="auto"/>
        <w:rPr>
          <w:sz w:val="20"/>
          <w:szCs w:val="20"/>
          <w:color w:val="auto"/>
        </w:rPr>
      </w:pPr>
      <w:r>
        <w:rPr>
          <w:rFonts w:ascii="Arial" w:cs="Arial" w:eastAsia="Arial" w:hAnsi="Arial"/>
          <w:sz w:val="18"/>
          <w:szCs w:val="18"/>
          <w:color w:val="auto"/>
        </w:rPr>
        <w:t>balance. Further, regardless of the method selected by the Participant, the final installment payment will include 100% of the then remaining Account value.</w:t>
      </w:r>
    </w:p>
    <w:p>
      <w:pPr>
        <w:spacing w:after="0" w:line="62" w:lineRule="exact"/>
        <w:rPr>
          <w:sz w:val="20"/>
          <w:szCs w:val="20"/>
          <w:color w:val="auto"/>
        </w:rPr>
      </w:pPr>
    </w:p>
    <w:p>
      <w:pPr>
        <w:ind w:left="700" w:right="160" w:firstLine="218"/>
        <w:spacing w:after="0" w:line="297" w:lineRule="auto"/>
        <w:tabs>
          <w:tab w:leader="none" w:pos="121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Percentage or Fixed Dollar Method</w:t>
      </w:r>
      <w:r>
        <w:rPr>
          <w:rFonts w:ascii="Arial" w:cs="Arial" w:eastAsia="Arial" w:hAnsi="Arial"/>
          <w:sz w:val="16"/>
          <w:szCs w:val="16"/>
          <w:color w:val="auto"/>
        </w:rPr>
        <w:t>. The annual installment shall be calculated by multiplying the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Participant, the final installment payment will include 100% of the then remaining Account value.</w:t>
      </w:r>
    </w:p>
    <w:p>
      <w:pPr>
        <w:spacing w:after="0" w:line="50" w:lineRule="exact"/>
        <w:rPr>
          <w:rFonts w:ascii="Arial" w:cs="Arial" w:eastAsia="Arial" w:hAnsi="Arial"/>
          <w:sz w:val="16"/>
          <w:szCs w:val="16"/>
          <w:color w:val="auto"/>
        </w:rPr>
      </w:pPr>
    </w:p>
    <w:p>
      <w:pPr>
        <w:ind w:left="460" w:right="360" w:firstLine="229"/>
        <w:spacing w:after="0" w:line="31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 Cash or In Stock</w:t>
      </w:r>
      <w:r>
        <w:rPr>
          <w:rFonts w:ascii="Arial" w:cs="Arial" w:eastAsia="Arial" w:hAnsi="Arial"/>
          <w:sz w:val="16"/>
          <w:szCs w:val="16"/>
          <w:color w:val="auto"/>
        </w:rPr>
        <w:t>. Prior to May 1, 2006 all payments shall be made in cash, except that amounts held in the Brady Stock Sub-account attributable to pre-2004 deferrals shall be distributed by means of Class A non-voting common stock of Brady Corporation. From and after May 1, 2006, payments shall be made in cash and/or Class A non-voting common stock of Brady Corporation pursuant to the following:</w:t>
      </w:r>
    </w:p>
    <w:p>
      <w:pPr>
        <w:spacing w:after="0" w:line="38" w:lineRule="exact"/>
        <w:rPr>
          <w:rFonts w:ascii="Arial" w:cs="Arial" w:eastAsia="Arial" w:hAnsi="Arial"/>
          <w:sz w:val="16"/>
          <w:szCs w:val="16"/>
          <w:color w:val="auto"/>
        </w:rPr>
      </w:pPr>
    </w:p>
    <w:p>
      <w:pPr>
        <w:ind w:left="700" w:right="20" w:firstLine="218"/>
        <w:spacing w:after="0" w:line="279" w:lineRule="auto"/>
        <w:tabs>
          <w:tab w:leader="none" w:pos="12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63" w:lineRule="exact"/>
        <w:rPr>
          <w:rFonts w:ascii="Arial" w:cs="Arial" w:eastAsia="Arial" w:hAnsi="Arial"/>
          <w:sz w:val="17"/>
          <w:szCs w:val="17"/>
          <w:color w:val="auto"/>
        </w:rPr>
      </w:pPr>
    </w:p>
    <w:p>
      <w:pPr>
        <w:ind w:left="700" w:firstLine="218"/>
        <w:spacing w:after="0" w:line="255" w:lineRule="auto"/>
        <w:tabs>
          <w:tab w:leader="none" w:pos="12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81" w:lineRule="exact"/>
        <w:rPr>
          <w:sz w:val="20"/>
          <w:szCs w:val="20"/>
          <w:color w:val="auto"/>
        </w:rPr>
      </w:pPr>
    </w:p>
    <w:p>
      <w:pPr>
        <w:ind w:right="200" w:firstLine="225"/>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Payment Election</w:t>
      </w:r>
      <w:r>
        <w:rPr>
          <w:rFonts w:ascii="Arial" w:cs="Arial" w:eastAsia="Arial" w:hAnsi="Arial"/>
          <w:sz w:val="16"/>
          <w:szCs w:val="16"/>
          <w:color w:val="auto"/>
        </w:rPr>
        <w:t>. An individual who first becomes a Participant at the beginning of a Plan Year shall, prior to his date of participation, complete a payment election form specifying the form of payment applicable to such Participant’s Account under the Plan, whether an In-Service Payment Event Date shall apply and the applicable Distribution Date. An individual who first becomes a Participant other than on the first day of a Plan Year shall, no later than</w:t>
      </w:r>
    </w:p>
    <w:p>
      <w:pPr>
        <w:spacing w:after="0" w:line="253" w:lineRule="auto"/>
        <w:rPr>
          <w:sz w:val="20"/>
          <w:szCs w:val="20"/>
          <w:color w:val="auto"/>
        </w:rPr>
      </w:pPr>
      <w:r>
        <w:rPr>
          <w:rFonts w:ascii="Arial" w:cs="Arial" w:eastAsia="Arial" w:hAnsi="Arial"/>
          <w:sz w:val="18"/>
          <w:szCs w:val="18"/>
          <w:color w:val="auto"/>
        </w:rPr>
        <w:t>30 days after the effective date of participation, complete a payment election form specifying the form of payment applicable to such Participant’s Account, whether an In-Service Payment Event Date shall apply and the applicable Distribution Date; provided, however, that if such Participant is already a participant in any other nonqualified plan or plans sponsored by the Corporation of the account balance type, the most recent payment election with respect to any one of those plans shall be the form of payment election deemed elected under this Plan regardless of whether the individual elects a different form of payment during that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0" w:name="page31"/>
    <w:bookmarkEnd w:id="30"/>
    <w:p>
      <w:pPr>
        <w:ind w:right="20"/>
        <w:spacing w:after="0" w:line="285" w:lineRule="auto"/>
        <w:rPr>
          <w:sz w:val="20"/>
          <w:szCs w:val="20"/>
          <w:color w:val="auto"/>
        </w:rPr>
      </w:pPr>
      <w:r>
        <w:rPr>
          <w:rFonts w:ascii="Arial" w:cs="Arial" w:eastAsia="Arial" w:hAnsi="Arial"/>
          <w:sz w:val="16"/>
          <w:szCs w:val="16"/>
          <w:color w:val="auto"/>
        </w:rPr>
        <w:t>initial 30 day period, there shall be no In-Service Payment Event Date, and the Distribution Date shall be the same distribution date which would apply under that other plan.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A Participant may change the form of payment, or change a previously elected In-Service Payment Event Date and/or applicable Distribution Date by completing and filing a new payment election form with the Corporation, and the payment election form on file with the Corporation as of the date of the Participant’s Payment Event shall be controlling. Notwithstanding the foregoing, a payment election form changing the Participant’s form of payment or changing a previously elected In-Service Payment Date and/or applicable Distribution Date shall not be effective if the Participant has a Payment Event within twelve months after the date on which the election change is filed with the Corporation. Any change in the In-Service Payment Event Date must have the effect of delaying the In-Service Payment Event Date to a date which is at least five (5) years after the In-Service Payment Event Date previously in effect. Any change in payment method must have the effect of delaying the commencement of payments to a date which is at least five (5) years after the initially scheduled commencement date of payment previously in effect. Any change in the Distribution Date must have the effect of delaying the commencement of payments to a date which is at least five (5) years after the initially scheduled Distribution Date. For purposes of compliance with Code Section 409A, a series of installment payments is designated as a single payment rather than a right to a series of separate payments; therefore, a Participant who has elected (or is deemed to have elected) any option under Section 6.1(a)(i) or (ii) may substitute any of the other options for the option originally selected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means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6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Financial Hardship</w:t>
      </w:r>
      <w:r>
        <w:rPr>
          <w:rFonts w:ascii="Arial" w:cs="Arial" w:eastAsia="Arial" w:hAnsi="Arial"/>
          <w:sz w:val="16"/>
          <w:szCs w:val="16"/>
          <w:color w:val="auto"/>
        </w:rPr>
        <w:t>. A partial or total distribution of the Participant’s Account shall be made prior to a Payment Event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3.1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3.1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left="240" w:right="80" w:firstLine="221"/>
        <w:spacing w:after="0" w:line="293" w:lineRule="auto"/>
        <w:tabs>
          <w:tab w:leader="none" w:pos="7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payment otherwise required under this Article VI shall be delayed if the Corporation reasonably anticipates that the making of the payment will violate a term of a loan agreement to which the Corporation is a party, or other similar contract to which the Corporation is a party, and such violation will cause material harm to the Corporation; provided, however, that payments shall be made on the earliest date on which the Corporation reasonably anticipates that the making of the payment will not cause such violation, or such violation will not cause material harm to the Corporation, and provided that the facts and circumstances indicate that the Corporation entered into the loan agreement (including such covenant) or other similar contract for legitimate reasons, and not to avoid the restrictions on deferral elections and subsequent deferral elections under Code Section 409A.</w:t>
      </w:r>
    </w:p>
    <w:p>
      <w:pPr>
        <w:spacing w:after="0" w:line="56" w:lineRule="exact"/>
        <w:rPr>
          <w:rFonts w:ascii="Arial" w:cs="Arial" w:eastAsia="Arial" w:hAnsi="Arial"/>
          <w:sz w:val="16"/>
          <w:szCs w:val="16"/>
          <w:color w:val="auto"/>
        </w:rPr>
      </w:pPr>
    </w:p>
    <w:p>
      <w:pPr>
        <w:jc w:val="both"/>
        <w:ind w:left="240" w:right="100" w:firstLine="221"/>
        <w:spacing w:after="0" w:line="312"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38" w:lineRule="exact"/>
        <w:rPr>
          <w:rFonts w:ascii="Arial" w:cs="Arial" w:eastAsia="Arial" w:hAnsi="Arial"/>
          <w:sz w:val="16"/>
          <w:szCs w:val="16"/>
          <w:color w:val="auto"/>
        </w:rPr>
      </w:pPr>
    </w:p>
    <w:p>
      <w:pPr>
        <w:ind w:left="240" w:right="320" w:firstLine="221"/>
        <w:spacing w:after="0" w:line="277"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Inclusion in Income Under Section 409A</w:t>
      </w:r>
      <w:r>
        <w:rPr>
          <w:rFonts w:ascii="Arial" w:cs="Arial" w:eastAsia="Arial" w:hAnsi="Arial"/>
          <w:sz w:val="18"/>
          <w:szCs w:val="18"/>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6.1(a)(iv)(B).</w:t>
      </w:r>
    </w:p>
    <w:p>
      <w:pPr>
        <w:spacing w:after="0" w:line="8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pacing w:after="0" w:line="7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 Minimis Amounts</w:t>
      </w:r>
      <w:r>
        <w:rPr>
          <w:rFonts w:ascii="Arial" w:cs="Arial" w:eastAsia="Arial" w:hAnsi="Arial"/>
          <w:sz w:val="17"/>
          <w:szCs w:val="17"/>
          <w:color w:val="auto"/>
        </w:rPr>
        <w:t>. Notwithstanding any other provision of this Article VI, a Participant’s entire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Administrator</w:t>
      </w:r>
      <w:r>
        <w:rPr>
          <w:rFonts w:ascii="Arial" w:cs="Arial" w:eastAsia="Arial" w:hAnsi="Arial"/>
          <w:sz w:val="18"/>
          <w:szCs w:val="18"/>
          <w:color w:val="auto"/>
        </w:rPr>
        <w:t>. The Plan shall be administered by the Administrator, which shall be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8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7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review and shall not be overturned unless proven to be arbitrary and capricious based upon the evidence considered by the Administrator at the time of such determination.</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Administrator Actions</w:t>
      </w:r>
      <w:r>
        <w:rPr>
          <w:rFonts w:ascii="Arial" w:cs="Arial" w:eastAsia="Arial" w:hAnsi="Arial"/>
          <w:sz w:val="18"/>
          <w:szCs w:val="18"/>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80"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Minor or Incompetent Payees</w:t>
      </w:r>
      <w:r>
        <w:rPr>
          <w:rFonts w:ascii="Arial" w:cs="Arial" w:eastAsia="Arial" w:hAnsi="Arial"/>
          <w:sz w:val="16"/>
          <w:szCs w:val="16"/>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39"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Liability</w:t>
      </w:r>
      <w:r>
        <w:rPr>
          <w:rFonts w:ascii="Arial" w:cs="Arial" w:eastAsia="Arial" w:hAnsi="Arial"/>
          <w:sz w:val="16"/>
          <w:szCs w:val="16"/>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17" w:lineRule="exact"/>
        <w:rPr>
          <w:sz w:val="20"/>
          <w:szCs w:val="20"/>
          <w:color w:val="auto"/>
        </w:rPr>
      </w:pPr>
    </w:p>
    <w:p>
      <w:pPr>
        <w:ind w:left="240" w:right="120" w:firstLine="221"/>
        <w:spacing w:after="0" w:line="276" w:lineRule="auto"/>
        <w:tabs>
          <w:tab w:leader="none" w:pos="7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64" w:lineRule="exact"/>
        <w:rPr>
          <w:rFonts w:ascii="Arial" w:cs="Arial" w:eastAsia="Arial" w:hAnsi="Arial"/>
          <w:sz w:val="17"/>
          <w:szCs w:val="17"/>
          <w:color w:val="auto"/>
        </w:rPr>
      </w:pPr>
    </w:p>
    <w:p>
      <w:pPr>
        <w:ind w:left="900" w:hanging="211"/>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17" w:lineRule="exact"/>
        <w:rPr>
          <w:rFonts w:ascii="Arial" w:cs="Arial" w:eastAsia="Arial" w:hAnsi="Arial"/>
          <w:sz w:val="18"/>
          <w:szCs w:val="18"/>
          <w:color w:val="auto"/>
        </w:rPr>
      </w:pPr>
    </w:p>
    <w:p>
      <w:pPr>
        <w:ind w:left="960" w:hanging="271"/>
        <w:spacing w:after="0"/>
        <w:tabs>
          <w:tab w:leader="none" w:pos="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17" w:lineRule="exact"/>
        <w:rPr>
          <w:rFonts w:ascii="Arial" w:cs="Arial" w:eastAsia="Arial" w:hAnsi="Arial"/>
          <w:sz w:val="18"/>
          <w:szCs w:val="18"/>
          <w:color w:val="auto"/>
        </w:rPr>
      </w:pPr>
    </w:p>
    <w:p>
      <w:pPr>
        <w:ind w:left="460" w:right="180" w:firstLine="229"/>
        <w:spacing w:after="0" w:line="277"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62" w:lineRule="exact"/>
        <w:rPr>
          <w:rFonts w:ascii="Arial" w:cs="Arial" w:eastAsia="Arial" w:hAnsi="Arial"/>
          <w:sz w:val="18"/>
          <w:szCs w:val="18"/>
          <w:color w:val="auto"/>
        </w:rPr>
      </w:pPr>
    </w:p>
    <w:p>
      <w:pPr>
        <w:ind w:left="460" w:right="300" w:firstLine="229"/>
        <w:spacing w:after="0" w:line="277" w:lineRule="auto"/>
        <w:tabs>
          <w:tab w:leader="none" w:pos="9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62" w:lineRule="exact"/>
        <w:rPr>
          <w:rFonts w:ascii="Arial" w:cs="Arial" w:eastAsia="Arial" w:hAnsi="Arial"/>
          <w:sz w:val="18"/>
          <w:szCs w:val="18"/>
          <w:color w:val="auto"/>
        </w:rPr>
      </w:pPr>
    </w:p>
    <w:p>
      <w:pPr>
        <w:ind w:left="240" w:firstLine="221"/>
        <w:spacing w:after="0" w:line="269"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71" w:lineRule="exact"/>
        <w:rPr>
          <w:rFonts w:ascii="Arial" w:cs="Arial" w:eastAsia="Arial" w:hAnsi="Arial"/>
          <w:sz w:val="17"/>
          <w:szCs w:val="17"/>
          <w:color w:val="auto"/>
        </w:rPr>
      </w:pPr>
    </w:p>
    <w:p>
      <w:pPr>
        <w:jc w:val="both"/>
        <w:ind w:left="240" w:right="60" w:firstLine="221"/>
        <w:spacing w:after="0" w:line="286" w:lineRule="auto"/>
        <w:tabs>
          <w:tab w:leader="none" w:pos="7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5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Conflict of Interest</w:t>
      </w:r>
      <w:r>
        <w:rPr>
          <w:rFonts w:ascii="Arial" w:cs="Arial" w:eastAsia="Arial" w:hAnsi="Arial"/>
          <w:sz w:val="18"/>
          <w:szCs w:val="18"/>
          <w:color w:val="auto"/>
        </w:rPr>
        <w:t>. No person who is covered under the Plan may vote or decide upon any matter relating solely to himself or vote in any case in which his individual right to any benefit 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Plan is particularly involved. Decisions shall be made by remaining members of the Corporation’s Board of Directors.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Corporation (through its Board of Directors or authorized officers or employees)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5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If the Plan is amended to freeze benefit accruals, no additional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8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the laws of the State of Wisconsin, except to the extent preempted by the provisions of ERISA or other applicable federal law.</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Relationship to Other Programs</w:t>
      </w:r>
      <w:r>
        <w:rPr>
          <w:rFonts w:ascii="Arial" w:cs="Arial" w:eastAsia="Arial" w:hAnsi="Arial"/>
          <w:sz w:val="18"/>
          <w:szCs w:val="18"/>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any type of compensation or otherwise taken into account in the determination of the Participant’s benefits under any other plans of the Corporation, unless expressly provided otherwise by such plan.</w:t>
      </w:r>
    </w:p>
    <w:p>
      <w:pPr>
        <w:spacing w:after="0" w:line="8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Non-Assignability by Participant</w:t>
      </w:r>
      <w:r>
        <w:rPr>
          <w:rFonts w:ascii="Arial" w:cs="Arial" w:eastAsia="Arial" w:hAnsi="Arial"/>
          <w:sz w:val="18"/>
          <w:szCs w:val="18"/>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7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80" w:firstLine="225"/>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8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Unsecured Claim; Grantor Trust</w:t>
      </w:r>
      <w:r>
        <w:rPr>
          <w:rFonts w:ascii="Arial" w:cs="Arial" w:eastAsia="Arial" w:hAnsi="Arial"/>
          <w:sz w:val="16"/>
          <w:szCs w:val="16"/>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 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58"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Notices or Filings</w:t>
      </w:r>
      <w:r>
        <w:rPr>
          <w:rFonts w:ascii="Arial" w:cs="Arial" w:eastAsia="Arial" w:hAnsi="Arial"/>
          <w:sz w:val="18"/>
          <w:szCs w:val="18"/>
          <w:color w:val="auto"/>
        </w:rPr>
        <w:t>. Any notice or filing required or permitted to be given to the Administrator hereunder shall be sufficient if in writing and hand-delivered, or sent by registered or certified mail, to the address below:</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Treasurer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Milwaukee, WI 53201-0571</w:t>
      </w:r>
    </w:p>
    <w:p>
      <w:pPr>
        <w:spacing w:after="0" w:line="103"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62"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Any notice or filing required or permitted to be given to a Participant hereunder shall be sufficient if in writing and hand-delivered, or sent by mail, to the last known address of the Participant.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Special rules for 2005-2007</w:t>
      </w:r>
      <w:r>
        <w:rPr>
          <w:rFonts w:ascii="Arial" w:cs="Arial" w:eastAsia="Arial" w:hAnsi="Arial"/>
          <w:sz w:val="18"/>
          <w:szCs w:val="18"/>
          <w:color w:val="auto"/>
        </w:rPr>
        <w:t>. Notwithstanding the usual rules required regarding the deferral elections and distribution elections:</w:t>
      </w:r>
    </w:p>
    <w:p>
      <w:pPr>
        <w:spacing w:after="0" w:line="117" w:lineRule="exact"/>
        <w:rPr>
          <w:sz w:val="20"/>
          <w:szCs w:val="20"/>
          <w:color w:val="auto"/>
        </w:rPr>
      </w:pPr>
    </w:p>
    <w:p>
      <w:pPr>
        <w:ind w:left="240" w:right="200" w:firstLine="221"/>
        <w:spacing w:after="0" w:line="264" w:lineRule="auto"/>
        <w:tabs>
          <w:tab w:leader="none" w:pos="7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became payable at the time of the election. Such election shall remain in effect for future years until modified pursuant to Section 3.2.</w:t>
      </w:r>
    </w:p>
    <w:p>
      <w:pPr>
        <w:spacing w:after="0" w:line="73" w:lineRule="exact"/>
        <w:rPr>
          <w:rFonts w:ascii="Arial" w:cs="Arial" w:eastAsia="Arial" w:hAnsi="Arial"/>
          <w:sz w:val="18"/>
          <w:szCs w:val="18"/>
          <w:color w:val="auto"/>
        </w:rPr>
      </w:pPr>
    </w:p>
    <w:p>
      <w:pPr>
        <w:ind w:left="240" w:right="140" w:firstLine="221"/>
        <w:spacing w:after="0" w:line="273"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or before December 31, 2007, a Participant may elect an In-Service Payment Event Date and/or make an election as to distribution of his Account from among the choices described at Section 6.1 hereof without complying with the rules described in Section 6.2 hereof as long as the effect of the election is not to accelerate payments into 2006 or to defer payments which would otherwise have been made in 2006 and not to accelerate payments into 2007 or to defer payments which would otherwise have been made in 2007. Such election shall become effective after the last day upon which it is permitted to be made or, if earlier, the first day of the calendar year in which payments under the election are scheduled to commence. In order to change any such election after December 31, 2007, the requirements of Section 6.2 hereof must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jc w:val="both"/>
        <w:ind w:left="240" w:right="100"/>
        <w:spacing w:after="0" w:line="264" w:lineRule="auto"/>
        <w:rPr>
          <w:sz w:val="20"/>
          <w:szCs w:val="20"/>
          <w:color w:val="auto"/>
        </w:rPr>
      </w:pPr>
      <w:r>
        <w:rPr>
          <w:rFonts w:ascii="Arial" w:cs="Arial" w:eastAsia="Arial" w:hAnsi="Arial"/>
          <w:sz w:val="18"/>
          <w:szCs w:val="18"/>
          <w:color w:val="auto"/>
        </w:rPr>
        <w:t>be satisfied. Any individual who has on or before December 31, 2006 elected an In-Service Payment Event Date of January 1, 2007 and a Distribution Date of April 1, may on or before December 31, 2007 elect to change the Distribution Date to be applicable in calendar year 2008 and subsequent years from April 1 to January 1.</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Corporation has caused its duly authorized officer to execute this Plan document on its behalf this 17th day of September, 2007, to replace any prior version of this Plan previously adopted by the Corporation.</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2769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19" w:lineRule="exact"/>
        <w:rPr>
          <w:sz w:val="20"/>
          <w:szCs w:val="20"/>
          <w:color w:val="auto"/>
        </w:rPr>
      </w:pPr>
    </w:p>
    <w:p>
      <w:pPr>
        <w:ind w:left="5460"/>
        <w:spacing w:after="0"/>
        <w:tabs>
          <w:tab w:leader="none" w:pos="60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4009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935" w:right="3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BRADY CORPORATION RESTORATION PLAN</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Restated Effective as of January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040" w:type="dxa"/>
            <w:vAlign w:val="bottom"/>
            <w:gridSpan w:val="2"/>
          </w:tcPr>
          <w:p>
            <w:pPr>
              <w:jc w:val="right"/>
              <w:ind w:right="4568"/>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ARTICLE I</w:t>
            </w:r>
          </w:p>
        </w:tc>
        <w:tc>
          <w:tcPr>
            <w:tcW w:w="3120" w:type="dxa"/>
            <w:vAlign w:val="bottom"/>
          </w:tcPr>
          <w:p>
            <w:pPr>
              <w:ind w:left="380"/>
              <w:spacing w:after="0"/>
              <w:rPr>
                <w:sz w:val="20"/>
                <w:szCs w:val="20"/>
                <w:color w:val="auto"/>
              </w:rPr>
            </w:pPr>
            <w:r>
              <w:rPr>
                <w:rFonts w:ascii="Arial" w:cs="Arial" w:eastAsia="Arial" w:hAnsi="Arial"/>
                <w:sz w:val="18"/>
                <w:szCs w:val="18"/>
                <w:color w:val="auto"/>
              </w:rPr>
              <w:t>INTRODUCTION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60" w:type="dxa"/>
            <w:vAlign w:val="bottom"/>
          </w:tcPr>
          <w:p>
            <w:pPr>
              <w:ind w:left="300"/>
              <w:spacing w:after="0"/>
              <w:rPr>
                <w:sz w:val="20"/>
                <w:szCs w:val="20"/>
                <w:color w:val="auto"/>
              </w:rPr>
            </w:pPr>
            <w:r>
              <w:rPr>
                <w:rFonts w:ascii="Arial" w:cs="Arial" w:eastAsia="Arial" w:hAnsi="Arial"/>
                <w:sz w:val="18"/>
                <w:szCs w:val="18"/>
                <w:color w:val="auto"/>
              </w:rPr>
              <w:t>1.1</w:t>
            </w:r>
          </w:p>
        </w:tc>
        <w:tc>
          <w:tcPr>
            <w:tcW w:w="3120" w:type="dxa"/>
            <w:vAlign w:val="bottom"/>
          </w:tcPr>
          <w:p>
            <w:pPr>
              <w:ind w:left="160"/>
              <w:spacing w:after="0"/>
              <w:rPr>
                <w:sz w:val="20"/>
                <w:szCs w:val="20"/>
                <w:color w:val="auto"/>
              </w:rPr>
            </w:pPr>
            <w:r>
              <w:rPr>
                <w:rFonts w:ascii="Arial" w:cs="Arial" w:eastAsia="Arial" w:hAnsi="Arial"/>
                <w:sz w:val="18"/>
                <w:szCs w:val="18"/>
                <w:color w:val="auto"/>
              </w:rPr>
              <w:t>Establishment and Effective Date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1.2</w:t>
            </w:r>
          </w:p>
        </w:tc>
        <w:tc>
          <w:tcPr>
            <w:tcW w:w="3120" w:type="dxa"/>
            <w:vAlign w:val="bottom"/>
          </w:tcPr>
          <w:p>
            <w:pPr>
              <w:ind w:left="160"/>
              <w:spacing w:after="0"/>
              <w:rPr>
                <w:sz w:val="20"/>
                <w:szCs w:val="20"/>
                <w:color w:val="auto"/>
              </w:rPr>
            </w:pPr>
            <w:r>
              <w:rPr>
                <w:rFonts w:ascii="Arial" w:cs="Arial" w:eastAsia="Arial" w:hAnsi="Arial"/>
                <w:sz w:val="18"/>
                <w:szCs w:val="18"/>
                <w:color w:val="auto"/>
              </w:rPr>
              <w:t>Purpose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60" w:type="dxa"/>
            <w:vAlign w:val="bottom"/>
          </w:tcPr>
          <w:p>
            <w:pPr>
              <w:ind w:left="300"/>
              <w:spacing w:after="0"/>
              <w:rPr>
                <w:sz w:val="20"/>
                <w:szCs w:val="20"/>
                <w:color w:val="auto"/>
              </w:rPr>
            </w:pPr>
            <w:r>
              <w:rPr>
                <w:rFonts w:ascii="Arial" w:cs="Arial" w:eastAsia="Arial" w:hAnsi="Arial"/>
                <w:sz w:val="18"/>
                <w:szCs w:val="18"/>
                <w:color w:val="auto"/>
              </w:rPr>
              <w:t>1.3</w:t>
            </w:r>
          </w:p>
        </w:tc>
        <w:tc>
          <w:tcPr>
            <w:tcW w:w="3120" w:type="dxa"/>
            <w:vAlign w:val="bottom"/>
          </w:tcPr>
          <w:p>
            <w:pPr>
              <w:ind w:left="160"/>
              <w:spacing w:after="0"/>
              <w:rPr>
                <w:sz w:val="20"/>
                <w:szCs w:val="20"/>
                <w:color w:val="auto"/>
              </w:rPr>
            </w:pPr>
            <w:r>
              <w:rPr>
                <w:rFonts w:ascii="Arial" w:cs="Arial" w:eastAsia="Arial" w:hAnsi="Arial"/>
                <w:sz w:val="18"/>
                <w:szCs w:val="18"/>
                <w:color w:val="auto"/>
              </w:rPr>
              <w:t>Section 409A</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ARTICLE II</w:t>
            </w:r>
          </w:p>
        </w:tc>
        <w:tc>
          <w:tcPr>
            <w:tcW w:w="3120" w:type="dxa"/>
            <w:vAlign w:val="bottom"/>
          </w:tcPr>
          <w:p>
            <w:pPr>
              <w:ind w:left="380"/>
              <w:spacing w:after="0"/>
              <w:rPr>
                <w:sz w:val="20"/>
                <w:szCs w:val="20"/>
                <w:color w:val="auto"/>
              </w:rPr>
            </w:pPr>
            <w:r>
              <w:rPr>
                <w:rFonts w:ascii="Arial" w:cs="Arial" w:eastAsia="Arial" w:hAnsi="Arial"/>
                <w:sz w:val="18"/>
                <w:szCs w:val="18"/>
                <w:color w:val="auto"/>
              </w:rPr>
              <w:t>DEFINITIONS</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160" w:type="dxa"/>
            <w:vAlign w:val="bottom"/>
          </w:tcPr>
          <w:p>
            <w:pPr>
              <w:ind w:left="300"/>
              <w:spacing w:after="0"/>
              <w:rPr>
                <w:sz w:val="20"/>
                <w:szCs w:val="20"/>
                <w:color w:val="auto"/>
              </w:rPr>
            </w:pPr>
            <w:r>
              <w:rPr>
                <w:rFonts w:ascii="Arial" w:cs="Arial" w:eastAsia="Arial" w:hAnsi="Arial"/>
                <w:sz w:val="18"/>
                <w:szCs w:val="18"/>
                <w:color w:val="auto"/>
              </w:rPr>
              <w:t>2.1</w:t>
            </w:r>
          </w:p>
        </w:tc>
        <w:tc>
          <w:tcPr>
            <w:tcW w:w="3120" w:type="dxa"/>
            <w:vAlign w:val="bottom"/>
          </w:tcPr>
          <w:p>
            <w:pPr>
              <w:ind w:left="160"/>
              <w:spacing w:after="0"/>
              <w:rPr>
                <w:sz w:val="20"/>
                <w:szCs w:val="20"/>
                <w:color w:val="auto"/>
              </w:rPr>
            </w:pPr>
            <w:r>
              <w:rPr>
                <w:rFonts w:ascii="Arial" w:cs="Arial" w:eastAsia="Arial" w:hAnsi="Arial"/>
                <w:sz w:val="18"/>
                <w:szCs w:val="18"/>
                <w:color w:val="auto"/>
              </w:rPr>
              <w:t>Account</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2.2</w:t>
            </w:r>
          </w:p>
        </w:tc>
        <w:tc>
          <w:tcPr>
            <w:tcW w:w="3120" w:type="dxa"/>
            <w:vAlign w:val="bottom"/>
          </w:tcPr>
          <w:p>
            <w:pPr>
              <w:ind w:left="160"/>
              <w:spacing w:after="0"/>
              <w:rPr>
                <w:sz w:val="20"/>
                <w:szCs w:val="20"/>
                <w:color w:val="auto"/>
              </w:rPr>
            </w:pPr>
            <w:r>
              <w:rPr>
                <w:rFonts w:ascii="Arial" w:cs="Arial" w:eastAsia="Arial" w:hAnsi="Arial"/>
                <w:sz w:val="18"/>
                <w:szCs w:val="18"/>
                <w:color w:val="auto"/>
              </w:rPr>
              <w:t>Additional Employer Contribution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2.3</w:t>
            </w:r>
          </w:p>
        </w:tc>
        <w:tc>
          <w:tcPr>
            <w:tcW w:w="3120" w:type="dxa"/>
            <w:vAlign w:val="bottom"/>
          </w:tcPr>
          <w:p>
            <w:pPr>
              <w:ind w:left="160"/>
              <w:spacing w:after="0"/>
              <w:rPr>
                <w:sz w:val="20"/>
                <w:szCs w:val="20"/>
                <w:color w:val="auto"/>
              </w:rPr>
            </w:pPr>
            <w:r>
              <w:rPr>
                <w:rFonts w:ascii="Arial" w:cs="Arial" w:eastAsia="Arial" w:hAnsi="Arial"/>
                <w:sz w:val="18"/>
                <w:szCs w:val="18"/>
                <w:color w:val="auto"/>
              </w:rPr>
              <w:t>Additional Matching Contribution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2.4</w:t>
            </w:r>
          </w:p>
        </w:tc>
        <w:tc>
          <w:tcPr>
            <w:tcW w:w="312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2.5</w:t>
            </w:r>
          </w:p>
        </w:tc>
        <w:tc>
          <w:tcPr>
            <w:tcW w:w="3120" w:type="dxa"/>
            <w:vAlign w:val="bottom"/>
          </w:tcPr>
          <w:p>
            <w:pPr>
              <w:ind w:left="160"/>
              <w:spacing w:after="0"/>
              <w:rPr>
                <w:sz w:val="20"/>
                <w:szCs w:val="20"/>
                <w:color w:val="auto"/>
              </w:rPr>
            </w:pPr>
            <w:r>
              <w:rPr>
                <w:rFonts w:ascii="Arial" w:cs="Arial" w:eastAsia="Arial" w:hAnsi="Arial"/>
                <w:sz w:val="18"/>
                <w:szCs w:val="18"/>
                <w:color w:val="auto"/>
              </w:rPr>
              <w:t>Beneficiary</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2.6</w:t>
            </w:r>
          </w:p>
        </w:tc>
        <w:tc>
          <w:tcPr>
            <w:tcW w:w="3120" w:type="dxa"/>
            <w:vAlign w:val="bottom"/>
          </w:tcPr>
          <w:p>
            <w:pPr>
              <w:ind w:left="160"/>
              <w:spacing w:after="0"/>
              <w:rPr>
                <w:sz w:val="20"/>
                <w:szCs w:val="20"/>
                <w:color w:val="auto"/>
              </w:rPr>
            </w:pPr>
            <w:r>
              <w:rPr>
                <w:rFonts w:ascii="Arial" w:cs="Arial" w:eastAsia="Arial" w:hAnsi="Arial"/>
                <w:sz w:val="18"/>
                <w:szCs w:val="18"/>
                <w:color w:val="auto"/>
              </w:rPr>
              <w:t>Board</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2.7</w:t>
            </w:r>
          </w:p>
        </w:tc>
        <w:tc>
          <w:tcPr>
            <w:tcW w:w="3120" w:type="dxa"/>
            <w:vAlign w:val="bottom"/>
          </w:tcPr>
          <w:p>
            <w:pPr>
              <w:ind w:left="160"/>
              <w:spacing w:after="0"/>
              <w:rPr>
                <w:sz w:val="20"/>
                <w:szCs w:val="20"/>
                <w:color w:val="auto"/>
              </w:rPr>
            </w:pPr>
            <w:r>
              <w:rPr>
                <w:rFonts w:ascii="Arial" w:cs="Arial" w:eastAsia="Arial" w:hAnsi="Arial"/>
                <w:sz w:val="18"/>
                <w:szCs w:val="18"/>
                <w:color w:val="auto"/>
              </w:rPr>
              <w:t>Code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2.8</w:t>
            </w:r>
          </w:p>
        </w:tc>
        <w:tc>
          <w:tcPr>
            <w:tcW w:w="3120" w:type="dxa"/>
            <w:vAlign w:val="bottom"/>
          </w:tcPr>
          <w:p>
            <w:pPr>
              <w:ind w:left="160"/>
              <w:spacing w:after="0"/>
              <w:rPr>
                <w:sz w:val="20"/>
                <w:szCs w:val="20"/>
                <w:color w:val="auto"/>
              </w:rPr>
            </w:pPr>
            <w:r>
              <w:rPr>
                <w:rFonts w:ascii="Arial" w:cs="Arial" w:eastAsia="Arial" w:hAnsi="Arial"/>
                <w:sz w:val="18"/>
                <w:szCs w:val="18"/>
                <w:color w:val="auto"/>
              </w:rPr>
              <w:t>Committee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2.9</w:t>
            </w:r>
          </w:p>
        </w:tc>
        <w:tc>
          <w:tcPr>
            <w:tcW w:w="31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2.10</w:t>
            </w:r>
          </w:p>
        </w:tc>
        <w:tc>
          <w:tcPr>
            <w:tcW w:w="3120" w:type="dxa"/>
            <w:vAlign w:val="bottom"/>
          </w:tcPr>
          <w:p>
            <w:pPr>
              <w:ind w:left="160"/>
              <w:spacing w:after="0"/>
              <w:rPr>
                <w:sz w:val="20"/>
                <w:szCs w:val="20"/>
                <w:color w:val="auto"/>
              </w:rPr>
            </w:pPr>
            <w:r>
              <w:rPr>
                <w:rFonts w:ascii="Arial" w:cs="Arial" w:eastAsia="Arial" w:hAnsi="Arial"/>
                <w:sz w:val="18"/>
                <w:szCs w:val="18"/>
                <w:color w:val="auto"/>
              </w:rPr>
              <w:t>Elective Deferral</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2.11</w:t>
            </w:r>
          </w:p>
        </w:tc>
        <w:tc>
          <w:tcPr>
            <w:tcW w:w="3120" w:type="dxa"/>
            <w:vAlign w:val="bottom"/>
          </w:tcPr>
          <w:p>
            <w:pPr>
              <w:ind w:left="160"/>
              <w:spacing w:after="0"/>
              <w:rPr>
                <w:sz w:val="20"/>
                <w:szCs w:val="20"/>
                <w:color w:val="auto"/>
              </w:rPr>
            </w:pPr>
            <w:r>
              <w:rPr>
                <w:rFonts w:ascii="Arial" w:cs="Arial" w:eastAsia="Arial" w:hAnsi="Arial"/>
                <w:sz w:val="18"/>
                <w:szCs w:val="18"/>
                <w:color w:val="auto"/>
              </w:rPr>
              <w:t>Elective Deferral Account</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2.12</w:t>
            </w:r>
          </w:p>
        </w:tc>
        <w:tc>
          <w:tcPr>
            <w:tcW w:w="3120" w:type="dxa"/>
            <w:vAlign w:val="bottom"/>
          </w:tcPr>
          <w:p>
            <w:pPr>
              <w:ind w:left="160"/>
              <w:spacing w:after="0"/>
              <w:rPr>
                <w:sz w:val="20"/>
                <w:szCs w:val="20"/>
                <w:color w:val="auto"/>
              </w:rPr>
            </w:pPr>
            <w:r>
              <w:rPr>
                <w:rFonts w:ascii="Arial" w:cs="Arial" w:eastAsia="Arial" w:hAnsi="Arial"/>
                <w:sz w:val="18"/>
                <w:szCs w:val="18"/>
                <w:color w:val="auto"/>
              </w:rPr>
              <w:t>Eligible Employee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2.13</w:t>
            </w:r>
          </w:p>
        </w:tc>
        <w:tc>
          <w:tcPr>
            <w:tcW w:w="3120" w:type="dxa"/>
            <w:vAlign w:val="bottom"/>
          </w:tcPr>
          <w:p>
            <w:pPr>
              <w:ind w:left="160"/>
              <w:spacing w:after="0"/>
              <w:rPr>
                <w:sz w:val="20"/>
                <w:szCs w:val="20"/>
                <w:color w:val="auto"/>
              </w:rPr>
            </w:pPr>
            <w:r>
              <w:rPr>
                <w:rFonts w:ascii="Arial" w:cs="Arial" w:eastAsia="Arial" w:hAnsi="Arial"/>
                <w:sz w:val="18"/>
                <w:szCs w:val="18"/>
                <w:color w:val="auto"/>
              </w:rPr>
              <w:t>Employee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2.14</w:t>
            </w:r>
          </w:p>
        </w:tc>
        <w:tc>
          <w:tcPr>
            <w:tcW w:w="3120" w:type="dxa"/>
            <w:vAlign w:val="bottom"/>
          </w:tcPr>
          <w:p>
            <w:pPr>
              <w:ind w:left="160"/>
              <w:spacing w:after="0"/>
              <w:rPr>
                <w:sz w:val="20"/>
                <w:szCs w:val="20"/>
                <w:color w:val="auto"/>
              </w:rPr>
            </w:pPr>
            <w:r>
              <w:rPr>
                <w:rFonts w:ascii="Arial" w:cs="Arial" w:eastAsia="Arial" w:hAnsi="Arial"/>
                <w:sz w:val="18"/>
                <w:szCs w:val="18"/>
                <w:color w:val="auto"/>
              </w:rPr>
              <w:t>Employer</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2.15</w:t>
            </w:r>
          </w:p>
        </w:tc>
        <w:tc>
          <w:tcPr>
            <w:tcW w:w="3120" w:type="dxa"/>
            <w:vAlign w:val="bottom"/>
          </w:tcPr>
          <w:p>
            <w:pPr>
              <w:ind w:left="160"/>
              <w:spacing w:after="0"/>
              <w:rPr>
                <w:sz w:val="20"/>
                <w:szCs w:val="20"/>
                <w:color w:val="auto"/>
              </w:rPr>
            </w:pPr>
            <w:r>
              <w:rPr>
                <w:rFonts w:ascii="Arial" w:cs="Arial" w:eastAsia="Arial" w:hAnsi="Arial"/>
                <w:sz w:val="18"/>
                <w:szCs w:val="18"/>
                <w:color w:val="auto"/>
              </w:rPr>
              <w:t>Employer Contribution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2.16</w:t>
            </w:r>
          </w:p>
        </w:tc>
        <w:tc>
          <w:tcPr>
            <w:tcW w:w="3120" w:type="dxa"/>
            <w:vAlign w:val="bottom"/>
          </w:tcPr>
          <w:p>
            <w:pPr>
              <w:ind w:left="160"/>
              <w:spacing w:after="0"/>
              <w:rPr>
                <w:sz w:val="20"/>
                <w:szCs w:val="20"/>
                <w:color w:val="auto"/>
              </w:rPr>
            </w:pPr>
            <w:r>
              <w:rPr>
                <w:rFonts w:ascii="Arial" w:cs="Arial" w:eastAsia="Arial" w:hAnsi="Arial"/>
                <w:sz w:val="18"/>
                <w:szCs w:val="18"/>
                <w:color w:val="auto"/>
              </w:rPr>
              <w:t>Employer Contribution Account</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2.17</w:t>
            </w:r>
          </w:p>
        </w:tc>
        <w:tc>
          <w:tcPr>
            <w:tcW w:w="3120" w:type="dxa"/>
            <w:vAlign w:val="bottom"/>
          </w:tcPr>
          <w:p>
            <w:pPr>
              <w:ind w:left="160"/>
              <w:spacing w:after="0"/>
              <w:rPr>
                <w:sz w:val="20"/>
                <w:szCs w:val="20"/>
                <w:color w:val="auto"/>
              </w:rPr>
            </w:pPr>
            <w:r>
              <w:rPr>
                <w:rFonts w:ascii="Arial" w:cs="Arial" w:eastAsia="Arial" w:hAnsi="Arial"/>
                <w:sz w:val="18"/>
                <w:szCs w:val="18"/>
                <w:color w:val="auto"/>
              </w:rPr>
              <w:t>Excess Compensation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2.18</w:t>
            </w:r>
          </w:p>
        </w:tc>
        <w:tc>
          <w:tcPr>
            <w:tcW w:w="3120" w:type="dxa"/>
            <w:vAlign w:val="bottom"/>
          </w:tcPr>
          <w:p>
            <w:pPr>
              <w:ind w:left="160"/>
              <w:spacing w:after="0"/>
              <w:rPr>
                <w:sz w:val="20"/>
                <w:szCs w:val="20"/>
                <w:color w:val="auto"/>
              </w:rPr>
            </w:pPr>
            <w:r>
              <w:rPr>
                <w:rFonts w:ascii="Arial" w:cs="Arial" w:eastAsia="Arial" w:hAnsi="Arial"/>
                <w:sz w:val="18"/>
                <w:szCs w:val="18"/>
                <w:color w:val="auto"/>
              </w:rPr>
              <w:t>Matching Contribution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2.19</w:t>
            </w:r>
          </w:p>
        </w:tc>
        <w:tc>
          <w:tcPr>
            <w:tcW w:w="3120" w:type="dxa"/>
            <w:vAlign w:val="bottom"/>
          </w:tcPr>
          <w:p>
            <w:pPr>
              <w:ind w:left="160"/>
              <w:spacing w:after="0"/>
              <w:rPr>
                <w:sz w:val="20"/>
                <w:szCs w:val="20"/>
                <w:color w:val="auto"/>
              </w:rPr>
            </w:pPr>
            <w:r>
              <w:rPr>
                <w:rFonts w:ascii="Arial" w:cs="Arial" w:eastAsia="Arial" w:hAnsi="Arial"/>
                <w:sz w:val="18"/>
                <w:szCs w:val="18"/>
                <w:color w:val="auto"/>
              </w:rPr>
              <w:t>Matching Contribution Account</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2.20</w:t>
            </w:r>
          </w:p>
        </w:tc>
        <w:tc>
          <w:tcPr>
            <w:tcW w:w="3120" w:type="dxa"/>
            <w:vAlign w:val="bottom"/>
          </w:tcPr>
          <w:p>
            <w:pPr>
              <w:ind w:left="160"/>
              <w:spacing w:after="0"/>
              <w:rPr>
                <w:sz w:val="20"/>
                <w:szCs w:val="20"/>
                <w:color w:val="auto"/>
              </w:rPr>
            </w:pPr>
            <w:r>
              <w:rPr>
                <w:rFonts w:ascii="Arial" w:cs="Arial" w:eastAsia="Arial" w:hAnsi="Arial"/>
                <w:sz w:val="18"/>
                <w:szCs w:val="18"/>
                <w:color w:val="auto"/>
              </w:rPr>
              <w:t>Participant</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2.21</w:t>
            </w:r>
          </w:p>
        </w:tc>
        <w:tc>
          <w:tcPr>
            <w:tcW w:w="3120" w:type="dxa"/>
            <w:vAlign w:val="bottom"/>
          </w:tcPr>
          <w:p>
            <w:pPr>
              <w:ind w:left="160"/>
              <w:spacing w:after="0"/>
              <w:rPr>
                <w:sz w:val="20"/>
                <w:szCs w:val="20"/>
                <w:color w:val="auto"/>
              </w:rPr>
            </w:pPr>
            <w:r>
              <w:rPr>
                <w:rFonts w:ascii="Arial" w:cs="Arial" w:eastAsia="Arial" w:hAnsi="Arial"/>
                <w:sz w:val="18"/>
                <w:szCs w:val="18"/>
                <w:color w:val="auto"/>
              </w:rPr>
              <w:t>Plan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2.22</w:t>
            </w:r>
          </w:p>
        </w:tc>
        <w:tc>
          <w:tcPr>
            <w:tcW w:w="3120" w:type="dxa"/>
            <w:vAlign w:val="bottom"/>
          </w:tcPr>
          <w:p>
            <w:pPr>
              <w:ind w:left="160"/>
              <w:spacing w:after="0"/>
              <w:rPr>
                <w:sz w:val="20"/>
                <w:szCs w:val="20"/>
                <w:color w:val="auto"/>
              </w:rPr>
            </w:pPr>
            <w:r>
              <w:rPr>
                <w:rFonts w:ascii="Arial" w:cs="Arial" w:eastAsia="Arial" w:hAnsi="Arial"/>
                <w:sz w:val="18"/>
                <w:szCs w:val="18"/>
                <w:color w:val="auto"/>
              </w:rPr>
              <w:t>Plan Year</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2.23</w:t>
            </w:r>
          </w:p>
        </w:tc>
        <w:tc>
          <w:tcPr>
            <w:tcW w:w="3120" w:type="dxa"/>
            <w:vAlign w:val="bottom"/>
          </w:tcPr>
          <w:p>
            <w:pPr>
              <w:ind w:left="160"/>
              <w:spacing w:after="0"/>
              <w:rPr>
                <w:sz w:val="20"/>
                <w:szCs w:val="20"/>
                <w:color w:val="auto"/>
              </w:rPr>
            </w:pPr>
            <w:r>
              <w:rPr>
                <w:rFonts w:ascii="Arial" w:cs="Arial" w:eastAsia="Arial" w:hAnsi="Arial"/>
                <w:sz w:val="18"/>
                <w:szCs w:val="18"/>
                <w:color w:val="auto"/>
              </w:rPr>
              <w:t>Qualified 401(k) Plan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2.24</w:t>
            </w:r>
          </w:p>
        </w:tc>
        <w:tc>
          <w:tcPr>
            <w:tcW w:w="3120" w:type="dxa"/>
            <w:vAlign w:val="bottom"/>
          </w:tcPr>
          <w:p>
            <w:pPr>
              <w:ind w:left="160"/>
              <w:spacing w:after="0"/>
              <w:rPr>
                <w:sz w:val="20"/>
                <w:szCs w:val="20"/>
                <w:color w:val="auto"/>
              </w:rPr>
            </w:pPr>
            <w:r>
              <w:rPr>
                <w:rFonts w:ascii="Arial" w:cs="Arial" w:eastAsia="Arial" w:hAnsi="Arial"/>
                <w:sz w:val="18"/>
                <w:szCs w:val="18"/>
                <w:color w:val="auto"/>
              </w:rPr>
              <w:t>Separation from Service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2.25</w:t>
            </w:r>
          </w:p>
        </w:tc>
        <w:tc>
          <w:tcPr>
            <w:tcW w:w="3120" w:type="dxa"/>
            <w:vAlign w:val="bottom"/>
          </w:tcPr>
          <w:p>
            <w:pPr>
              <w:ind w:left="160"/>
              <w:spacing w:after="0"/>
              <w:rPr>
                <w:sz w:val="20"/>
                <w:szCs w:val="20"/>
                <w:color w:val="auto"/>
              </w:rPr>
            </w:pPr>
            <w:r>
              <w:rPr>
                <w:rFonts w:ascii="Arial" w:cs="Arial" w:eastAsia="Arial" w:hAnsi="Arial"/>
                <w:sz w:val="18"/>
                <w:szCs w:val="18"/>
                <w:color w:val="auto"/>
              </w:rPr>
              <w:t>Specified Employee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60" w:type="dxa"/>
            <w:vAlign w:val="bottom"/>
          </w:tcPr>
          <w:p>
            <w:pPr>
              <w:ind w:left="300"/>
              <w:spacing w:after="0"/>
              <w:rPr>
                <w:sz w:val="20"/>
                <w:szCs w:val="20"/>
                <w:color w:val="auto"/>
              </w:rPr>
            </w:pPr>
            <w:r>
              <w:rPr>
                <w:rFonts w:ascii="Arial" w:cs="Arial" w:eastAsia="Arial" w:hAnsi="Arial"/>
                <w:sz w:val="18"/>
                <w:szCs w:val="18"/>
                <w:color w:val="auto"/>
              </w:rPr>
              <w:t>2.26</w:t>
            </w:r>
          </w:p>
        </w:tc>
        <w:tc>
          <w:tcPr>
            <w:tcW w:w="3120" w:type="dxa"/>
            <w:vAlign w:val="bottom"/>
          </w:tcPr>
          <w:p>
            <w:pPr>
              <w:ind w:left="160"/>
              <w:spacing w:after="0"/>
              <w:rPr>
                <w:sz w:val="20"/>
                <w:szCs w:val="20"/>
                <w:color w:val="auto"/>
              </w:rPr>
            </w:pPr>
            <w:r>
              <w:rPr>
                <w:rFonts w:ascii="Arial" w:cs="Arial" w:eastAsia="Arial" w:hAnsi="Arial"/>
                <w:sz w:val="18"/>
                <w:szCs w:val="18"/>
                <w:color w:val="auto"/>
              </w:rPr>
              <w:t>Unforeseeable Emergency</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ARTICLE III</w:t>
            </w:r>
          </w:p>
        </w:tc>
        <w:tc>
          <w:tcPr>
            <w:tcW w:w="3120" w:type="dxa"/>
            <w:vAlign w:val="bottom"/>
          </w:tcPr>
          <w:p>
            <w:pPr>
              <w:ind w:left="380"/>
              <w:spacing w:after="0"/>
              <w:rPr>
                <w:sz w:val="20"/>
                <w:szCs w:val="20"/>
                <w:color w:val="auto"/>
              </w:rPr>
            </w:pPr>
            <w:r>
              <w:rPr>
                <w:rFonts w:ascii="Arial" w:cs="Arial" w:eastAsia="Arial" w:hAnsi="Arial"/>
                <w:sz w:val="18"/>
                <w:szCs w:val="18"/>
                <w:color w:val="auto"/>
              </w:rPr>
              <w:t>PARTICIPATION</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160" w:type="dxa"/>
            <w:vAlign w:val="bottom"/>
          </w:tcPr>
          <w:p>
            <w:pPr>
              <w:ind w:left="300"/>
              <w:spacing w:after="0"/>
              <w:rPr>
                <w:sz w:val="20"/>
                <w:szCs w:val="20"/>
                <w:color w:val="auto"/>
              </w:rPr>
            </w:pPr>
            <w:r>
              <w:rPr>
                <w:rFonts w:ascii="Arial" w:cs="Arial" w:eastAsia="Arial" w:hAnsi="Arial"/>
                <w:sz w:val="18"/>
                <w:szCs w:val="18"/>
                <w:color w:val="auto"/>
              </w:rPr>
              <w:t>3.1</w:t>
            </w:r>
          </w:p>
        </w:tc>
        <w:tc>
          <w:tcPr>
            <w:tcW w:w="3120" w:type="dxa"/>
            <w:vAlign w:val="bottom"/>
          </w:tcPr>
          <w:p>
            <w:pPr>
              <w:ind w:left="160"/>
              <w:spacing w:after="0"/>
              <w:rPr>
                <w:sz w:val="20"/>
                <w:szCs w:val="20"/>
                <w:color w:val="auto"/>
              </w:rPr>
            </w:pPr>
            <w:r>
              <w:rPr>
                <w:rFonts w:ascii="Arial" w:cs="Arial" w:eastAsia="Arial" w:hAnsi="Arial"/>
                <w:sz w:val="18"/>
                <w:szCs w:val="18"/>
                <w:color w:val="auto"/>
              </w:rPr>
              <w:t>Eligibility to Participate</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160" w:type="dxa"/>
            <w:vAlign w:val="bottom"/>
          </w:tcPr>
          <w:p>
            <w:pPr>
              <w:ind w:left="300"/>
              <w:spacing w:after="0"/>
              <w:rPr>
                <w:sz w:val="20"/>
                <w:szCs w:val="20"/>
                <w:color w:val="auto"/>
              </w:rPr>
            </w:pPr>
            <w:r>
              <w:rPr>
                <w:rFonts w:ascii="Arial" w:cs="Arial" w:eastAsia="Arial" w:hAnsi="Arial"/>
                <w:sz w:val="18"/>
                <w:szCs w:val="18"/>
                <w:color w:val="auto"/>
              </w:rPr>
              <w:t>3.2</w:t>
            </w:r>
          </w:p>
        </w:tc>
        <w:tc>
          <w:tcPr>
            <w:tcW w:w="3120" w:type="dxa"/>
            <w:vAlign w:val="bottom"/>
          </w:tcPr>
          <w:p>
            <w:pPr>
              <w:ind w:left="160"/>
              <w:spacing w:after="0"/>
              <w:rPr>
                <w:sz w:val="20"/>
                <w:szCs w:val="20"/>
                <w:color w:val="auto"/>
              </w:rPr>
            </w:pPr>
            <w:r>
              <w:rPr>
                <w:rFonts w:ascii="Arial" w:cs="Arial" w:eastAsia="Arial" w:hAnsi="Arial"/>
                <w:sz w:val="18"/>
                <w:szCs w:val="18"/>
                <w:color w:val="auto"/>
              </w:rPr>
              <w:t>Continuation of Eligibility</w:t>
            </w: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100" w:type="dxa"/>
            <w:vAlign w:val="bottom"/>
          </w:tcPr>
          <w:p>
            <w:pPr>
              <w:spacing w:after="0"/>
              <w:rPr>
                <w:sz w:val="14"/>
                <w:szCs w:val="14"/>
                <w:color w:val="auto"/>
              </w:rPr>
            </w:pP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ARTICLE IV</w:t>
            </w:r>
          </w:p>
        </w:tc>
        <w:tc>
          <w:tcPr>
            <w:tcW w:w="4140" w:type="dxa"/>
            <w:vAlign w:val="bottom"/>
          </w:tcPr>
          <w:p>
            <w:pPr>
              <w:ind w:left="320"/>
              <w:spacing w:after="0"/>
              <w:rPr>
                <w:sz w:val="20"/>
                <w:szCs w:val="20"/>
                <w:color w:val="auto"/>
              </w:rPr>
            </w:pPr>
            <w:r>
              <w:rPr>
                <w:rFonts w:ascii="Arial" w:cs="Arial" w:eastAsia="Arial" w:hAnsi="Arial"/>
                <w:sz w:val="18"/>
                <w:szCs w:val="18"/>
                <w:color w:val="auto"/>
              </w:rPr>
              <w:t>DEFERRALS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418"/>
        </w:trPr>
        <w:tc>
          <w:tcPr>
            <w:tcW w:w="1220" w:type="dxa"/>
            <w:vAlign w:val="bottom"/>
          </w:tcPr>
          <w:p>
            <w:pPr>
              <w:ind w:left="300"/>
              <w:spacing w:after="0"/>
              <w:rPr>
                <w:sz w:val="20"/>
                <w:szCs w:val="20"/>
                <w:color w:val="auto"/>
              </w:rPr>
            </w:pPr>
            <w:r>
              <w:rPr>
                <w:rFonts w:ascii="Arial" w:cs="Arial" w:eastAsia="Arial" w:hAnsi="Arial"/>
                <w:sz w:val="18"/>
                <w:szCs w:val="18"/>
                <w:color w:val="auto"/>
              </w:rPr>
              <w:t>4.1</w:t>
            </w:r>
          </w:p>
        </w:tc>
        <w:tc>
          <w:tcPr>
            <w:tcW w:w="4140" w:type="dxa"/>
            <w:vAlign w:val="bottom"/>
          </w:tcPr>
          <w:p>
            <w:pPr>
              <w:ind w:left="100"/>
              <w:spacing w:after="0"/>
              <w:rPr>
                <w:sz w:val="20"/>
                <w:szCs w:val="20"/>
                <w:color w:val="auto"/>
              </w:rPr>
            </w:pPr>
            <w:r>
              <w:rPr>
                <w:rFonts w:ascii="Arial" w:cs="Arial" w:eastAsia="Arial" w:hAnsi="Arial"/>
                <w:sz w:val="18"/>
                <w:szCs w:val="18"/>
                <w:color w:val="auto"/>
              </w:rPr>
              <w:t>Elective Deferrals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4.2</w:t>
            </w:r>
          </w:p>
        </w:tc>
        <w:tc>
          <w:tcPr>
            <w:tcW w:w="4140" w:type="dxa"/>
            <w:vAlign w:val="bottom"/>
          </w:tcPr>
          <w:p>
            <w:pPr>
              <w:ind w:left="100"/>
              <w:spacing w:after="0"/>
              <w:rPr>
                <w:sz w:val="20"/>
                <w:szCs w:val="20"/>
                <w:color w:val="auto"/>
              </w:rPr>
            </w:pPr>
            <w:r>
              <w:rPr>
                <w:rFonts w:ascii="Arial" w:cs="Arial" w:eastAsia="Arial" w:hAnsi="Arial"/>
                <w:sz w:val="18"/>
                <w:szCs w:val="18"/>
                <w:color w:val="auto"/>
              </w:rPr>
              <w:t>Additional Rules Governing Deferral Elections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4.3</w:t>
            </w:r>
          </w:p>
        </w:tc>
        <w:tc>
          <w:tcPr>
            <w:tcW w:w="4140" w:type="dxa"/>
            <w:vAlign w:val="bottom"/>
          </w:tcPr>
          <w:p>
            <w:pPr>
              <w:ind w:left="100"/>
              <w:spacing w:after="0"/>
              <w:rPr>
                <w:sz w:val="20"/>
                <w:szCs w:val="20"/>
                <w:color w:val="auto"/>
              </w:rPr>
            </w:pPr>
            <w:r>
              <w:rPr>
                <w:rFonts w:ascii="Arial" w:cs="Arial" w:eastAsia="Arial" w:hAnsi="Arial"/>
                <w:sz w:val="18"/>
                <w:szCs w:val="18"/>
                <w:color w:val="auto"/>
              </w:rPr>
              <w:t>Matching Contribution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4.4</w:t>
            </w:r>
          </w:p>
        </w:tc>
        <w:tc>
          <w:tcPr>
            <w:tcW w:w="4140" w:type="dxa"/>
            <w:vAlign w:val="bottom"/>
          </w:tcPr>
          <w:p>
            <w:pPr>
              <w:ind w:left="100"/>
              <w:spacing w:after="0"/>
              <w:rPr>
                <w:sz w:val="20"/>
                <w:szCs w:val="20"/>
                <w:color w:val="auto"/>
              </w:rPr>
            </w:pPr>
            <w:r>
              <w:rPr>
                <w:rFonts w:ascii="Arial" w:cs="Arial" w:eastAsia="Arial" w:hAnsi="Arial"/>
                <w:sz w:val="18"/>
                <w:szCs w:val="18"/>
                <w:color w:val="auto"/>
              </w:rPr>
              <w:t>Employer Contribution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4.5</w:t>
            </w:r>
          </w:p>
        </w:tc>
        <w:tc>
          <w:tcPr>
            <w:tcW w:w="4140" w:type="dxa"/>
            <w:vAlign w:val="bottom"/>
          </w:tcPr>
          <w:p>
            <w:pPr>
              <w:ind w:left="100"/>
              <w:spacing w:after="0"/>
              <w:rPr>
                <w:sz w:val="20"/>
                <w:szCs w:val="20"/>
                <w:color w:val="auto"/>
              </w:rPr>
            </w:pPr>
            <w:r>
              <w:rPr>
                <w:rFonts w:ascii="Arial" w:cs="Arial" w:eastAsia="Arial" w:hAnsi="Arial"/>
                <w:sz w:val="18"/>
                <w:szCs w:val="18"/>
                <w:color w:val="auto"/>
              </w:rPr>
              <w:t>Additional Matching Contribution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1220" w:type="dxa"/>
            <w:vAlign w:val="bottom"/>
          </w:tcPr>
          <w:p>
            <w:pPr>
              <w:ind w:left="300"/>
              <w:spacing w:after="0"/>
              <w:rPr>
                <w:sz w:val="20"/>
                <w:szCs w:val="20"/>
                <w:color w:val="auto"/>
              </w:rPr>
            </w:pPr>
            <w:r>
              <w:rPr>
                <w:rFonts w:ascii="Arial" w:cs="Arial" w:eastAsia="Arial" w:hAnsi="Arial"/>
                <w:sz w:val="18"/>
                <w:szCs w:val="18"/>
                <w:color w:val="auto"/>
              </w:rPr>
              <w:t>4.6</w:t>
            </w:r>
          </w:p>
        </w:tc>
        <w:tc>
          <w:tcPr>
            <w:tcW w:w="4140" w:type="dxa"/>
            <w:vAlign w:val="bottom"/>
          </w:tcPr>
          <w:p>
            <w:pPr>
              <w:ind w:left="100"/>
              <w:spacing w:after="0"/>
              <w:rPr>
                <w:sz w:val="20"/>
                <w:szCs w:val="20"/>
                <w:color w:val="auto"/>
              </w:rPr>
            </w:pPr>
            <w:r>
              <w:rPr>
                <w:rFonts w:ascii="Arial" w:cs="Arial" w:eastAsia="Arial" w:hAnsi="Arial"/>
                <w:sz w:val="18"/>
                <w:szCs w:val="18"/>
                <w:color w:val="auto"/>
              </w:rPr>
              <w:t>Additional Employer Contribution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V</w:t>
            </w:r>
          </w:p>
        </w:tc>
        <w:tc>
          <w:tcPr>
            <w:tcW w:w="4140" w:type="dxa"/>
            <w:vAlign w:val="bottom"/>
          </w:tcPr>
          <w:p>
            <w:pPr>
              <w:ind w:left="320"/>
              <w:spacing w:after="0"/>
              <w:rPr>
                <w:sz w:val="20"/>
                <w:szCs w:val="20"/>
                <w:color w:val="auto"/>
              </w:rPr>
            </w:pPr>
            <w:r>
              <w:rPr>
                <w:rFonts w:ascii="Arial" w:cs="Arial" w:eastAsia="Arial" w:hAnsi="Arial"/>
                <w:sz w:val="18"/>
                <w:szCs w:val="18"/>
                <w:color w:val="auto"/>
              </w:rPr>
              <w:t>ACCOUNTS AND CREDITS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418"/>
        </w:trPr>
        <w:tc>
          <w:tcPr>
            <w:tcW w:w="1220" w:type="dxa"/>
            <w:vAlign w:val="bottom"/>
          </w:tcPr>
          <w:p>
            <w:pPr>
              <w:ind w:left="300"/>
              <w:spacing w:after="0"/>
              <w:rPr>
                <w:sz w:val="20"/>
                <w:szCs w:val="20"/>
                <w:color w:val="auto"/>
              </w:rPr>
            </w:pPr>
            <w:r>
              <w:rPr>
                <w:rFonts w:ascii="Arial" w:cs="Arial" w:eastAsia="Arial" w:hAnsi="Arial"/>
                <w:sz w:val="18"/>
                <w:szCs w:val="18"/>
                <w:color w:val="auto"/>
              </w:rPr>
              <w:t>5.1</w:t>
            </w:r>
          </w:p>
        </w:tc>
        <w:tc>
          <w:tcPr>
            <w:tcW w:w="4140" w:type="dxa"/>
            <w:vAlign w:val="bottom"/>
          </w:tcPr>
          <w:p>
            <w:pPr>
              <w:ind w:left="100"/>
              <w:spacing w:after="0"/>
              <w:rPr>
                <w:sz w:val="20"/>
                <w:szCs w:val="20"/>
                <w:color w:val="auto"/>
              </w:rPr>
            </w:pPr>
            <w:r>
              <w:rPr>
                <w:rFonts w:ascii="Arial" w:cs="Arial" w:eastAsia="Arial" w:hAnsi="Arial"/>
                <w:sz w:val="18"/>
                <w:szCs w:val="18"/>
                <w:color w:val="auto"/>
              </w:rPr>
              <w:t>Credits to Accounts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5.2</w:t>
            </w:r>
          </w:p>
        </w:tc>
        <w:tc>
          <w:tcPr>
            <w:tcW w:w="4140" w:type="dxa"/>
            <w:vAlign w:val="bottom"/>
          </w:tcPr>
          <w:p>
            <w:pPr>
              <w:ind w:left="100"/>
              <w:spacing w:after="0"/>
              <w:rPr>
                <w:sz w:val="20"/>
                <w:szCs w:val="20"/>
                <w:color w:val="auto"/>
              </w:rPr>
            </w:pPr>
            <w:r>
              <w:rPr>
                <w:rFonts w:ascii="Arial" w:cs="Arial" w:eastAsia="Arial" w:hAnsi="Arial"/>
                <w:sz w:val="18"/>
                <w:szCs w:val="18"/>
                <w:color w:val="auto"/>
              </w:rPr>
              <w:t>No Funding</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5.3</w:t>
            </w:r>
          </w:p>
        </w:tc>
        <w:tc>
          <w:tcPr>
            <w:tcW w:w="4140" w:type="dxa"/>
            <w:vAlign w:val="bottom"/>
          </w:tcPr>
          <w:p>
            <w:pPr>
              <w:ind w:left="100"/>
              <w:spacing w:after="0"/>
              <w:rPr>
                <w:sz w:val="20"/>
                <w:szCs w:val="20"/>
                <w:color w:val="auto"/>
              </w:rPr>
            </w:pPr>
            <w:r>
              <w:rPr>
                <w:rFonts w:ascii="Arial" w:cs="Arial" w:eastAsia="Arial" w:hAnsi="Arial"/>
                <w:sz w:val="18"/>
                <w:szCs w:val="18"/>
                <w:color w:val="auto"/>
              </w:rPr>
              <w:t>Deemed Investment of Accounts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230"/>
        </w:trPr>
        <w:tc>
          <w:tcPr>
            <w:tcW w:w="1220" w:type="dxa"/>
            <w:vAlign w:val="bottom"/>
          </w:tcPr>
          <w:p>
            <w:pPr>
              <w:ind w:left="300"/>
              <w:spacing w:after="0"/>
              <w:rPr>
                <w:sz w:val="20"/>
                <w:szCs w:val="20"/>
                <w:color w:val="auto"/>
              </w:rPr>
            </w:pPr>
            <w:r>
              <w:rPr>
                <w:rFonts w:ascii="Arial" w:cs="Arial" w:eastAsia="Arial" w:hAnsi="Arial"/>
                <w:sz w:val="18"/>
                <w:szCs w:val="18"/>
                <w:color w:val="auto"/>
              </w:rPr>
              <w:t>5.4</w:t>
            </w:r>
          </w:p>
        </w:tc>
        <w:tc>
          <w:tcPr>
            <w:tcW w:w="4140" w:type="dxa"/>
            <w:vAlign w:val="bottom"/>
          </w:tcPr>
          <w:p>
            <w:pPr>
              <w:ind w:left="100"/>
              <w:spacing w:after="0"/>
              <w:rPr>
                <w:sz w:val="20"/>
                <w:szCs w:val="20"/>
                <w:color w:val="auto"/>
              </w:rPr>
            </w:pPr>
            <w:r>
              <w:rPr>
                <w:rFonts w:ascii="Arial" w:cs="Arial" w:eastAsia="Arial" w:hAnsi="Arial"/>
                <w:sz w:val="18"/>
                <w:szCs w:val="18"/>
                <w:color w:val="auto"/>
              </w:rPr>
              <w:t>Reports to Participants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VI</w:t>
            </w:r>
          </w:p>
        </w:tc>
        <w:tc>
          <w:tcPr>
            <w:tcW w:w="4140" w:type="dxa"/>
            <w:vAlign w:val="bottom"/>
          </w:tcPr>
          <w:p>
            <w:pPr>
              <w:ind w:left="320"/>
              <w:spacing w:after="0"/>
              <w:rPr>
                <w:sz w:val="20"/>
                <w:szCs w:val="20"/>
                <w:color w:val="auto"/>
              </w:rPr>
            </w:pPr>
            <w:r>
              <w:rPr>
                <w:rFonts w:ascii="Arial" w:cs="Arial" w:eastAsia="Arial" w:hAnsi="Arial"/>
                <w:sz w:val="18"/>
                <w:szCs w:val="18"/>
                <w:color w:val="auto"/>
              </w:rPr>
              <w:t>VESTING</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VII</w:t>
            </w:r>
          </w:p>
        </w:tc>
        <w:tc>
          <w:tcPr>
            <w:tcW w:w="4140" w:type="dxa"/>
            <w:vAlign w:val="bottom"/>
          </w:tcPr>
          <w:p>
            <w:pPr>
              <w:ind w:left="320"/>
              <w:spacing w:after="0"/>
              <w:rPr>
                <w:sz w:val="20"/>
                <w:szCs w:val="20"/>
                <w:color w:val="auto"/>
              </w:rPr>
            </w:pPr>
            <w:r>
              <w:rPr>
                <w:rFonts w:ascii="Arial" w:cs="Arial" w:eastAsia="Arial" w:hAnsi="Arial"/>
                <w:sz w:val="18"/>
                <w:szCs w:val="18"/>
                <w:color w:val="auto"/>
              </w:rPr>
              <w:t>MANNER AND TIMING OF DISTRIBUTION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418"/>
        </w:trPr>
        <w:tc>
          <w:tcPr>
            <w:tcW w:w="1220" w:type="dxa"/>
            <w:vAlign w:val="bottom"/>
          </w:tcPr>
          <w:p>
            <w:pPr>
              <w:ind w:left="300"/>
              <w:spacing w:after="0"/>
              <w:rPr>
                <w:sz w:val="20"/>
                <w:szCs w:val="20"/>
                <w:color w:val="auto"/>
              </w:rPr>
            </w:pPr>
            <w:r>
              <w:rPr>
                <w:rFonts w:ascii="Arial" w:cs="Arial" w:eastAsia="Arial" w:hAnsi="Arial"/>
                <w:sz w:val="18"/>
                <w:szCs w:val="18"/>
                <w:color w:val="auto"/>
              </w:rPr>
              <w:t>7.1</w:t>
            </w:r>
          </w:p>
        </w:tc>
        <w:tc>
          <w:tcPr>
            <w:tcW w:w="4140" w:type="dxa"/>
            <w:vAlign w:val="bottom"/>
          </w:tcPr>
          <w:p>
            <w:pPr>
              <w:ind w:left="100"/>
              <w:spacing w:after="0"/>
              <w:rPr>
                <w:sz w:val="20"/>
                <w:szCs w:val="20"/>
                <w:color w:val="auto"/>
              </w:rPr>
            </w:pPr>
            <w:r>
              <w:rPr>
                <w:rFonts w:ascii="Arial" w:cs="Arial" w:eastAsia="Arial" w:hAnsi="Arial"/>
                <w:sz w:val="18"/>
                <w:szCs w:val="18"/>
                <w:color w:val="auto"/>
              </w:rPr>
              <w:t>Payment of Benefits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7.2</w:t>
            </w:r>
          </w:p>
        </w:tc>
        <w:tc>
          <w:tcPr>
            <w:tcW w:w="4140" w:type="dxa"/>
            <w:vAlign w:val="bottom"/>
          </w:tcPr>
          <w:p>
            <w:pPr>
              <w:ind w:left="100"/>
              <w:spacing w:after="0"/>
              <w:rPr>
                <w:sz w:val="20"/>
                <w:szCs w:val="20"/>
                <w:color w:val="auto"/>
              </w:rPr>
            </w:pPr>
            <w:r>
              <w:rPr>
                <w:rFonts w:ascii="Arial" w:cs="Arial" w:eastAsia="Arial" w:hAnsi="Arial"/>
                <w:sz w:val="18"/>
                <w:szCs w:val="18"/>
                <w:color w:val="auto"/>
              </w:rPr>
              <w:t>Payment Election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7.3</w:t>
            </w:r>
          </w:p>
        </w:tc>
        <w:tc>
          <w:tcPr>
            <w:tcW w:w="4140" w:type="dxa"/>
            <w:vAlign w:val="bottom"/>
          </w:tcPr>
          <w:p>
            <w:pPr>
              <w:ind w:left="100"/>
              <w:spacing w:after="0"/>
              <w:rPr>
                <w:sz w:val="20"/>
                <w:szCs w:val="20"/>
                <w:color w:val="auto"/>
              </w:rPr>
            </w:pPr>
            <w:r>
              <w:rPr>
                <w:rFonts w:ascii="Arial" w:cs="Arial" w:eastAsia="Arial" w:hAnsi="Arial"/>
                <w:sz w:val="18"/>
                <w:szCs w:val="18"/>
                <w:color w:val="auto"/>
              </w:rPr>
              <w:t>Financial Hardship</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7.4</w:t>
            </w:r>
          </w:p>
        </w:tc>
        <w:tc>
          <w:tcPr>
            <w:tcW w:w="4140" w:type="dxa"/>
            <w:vAlign w:val="bottom"/>
          </w:tcPr>
          <w:p>
            <w:pPr>
              <w:ind w:left="100"/>
              <w:spacing w:after="0"/>
              <w:rPr>
                <w:sz w:val="20"/>
                <w:szCs w:val="20"/>
                <w:color w:val="auto"/>
              </w:rPr>
            </w:pPr>
            <w:r>
              <w:rPr>
                <w:rFonts w:ascii="Arial" w:cs="Arial" w:eastAsia="Arial" w:hAnsi="Arial"/>
                <w:sz w:val="18"/>
                <w:szCs w:val="18"/>
                <w:color w:val="auto"/>
              </w:rPr>
              <w:t>Delayed Distribution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7.5</w:t>
            </w:r>
          </w:p>
        </w:tc>
        <w:tc>
          <w:tcPr>
            <w:tcW w:w="4140" w:type="dxa"/>
            <w:vAlign w:val="bottom"/>
          </w:tcPr>
          <w:p>
            <w:pPr>
              <w:ind w:left="100"/>
              <w:spacing w:after="0"/>
              <w:rPr>
                <w:sz w:val="20"/>
                <w:szCs w:val="20"/>
                <w:color w:val="auto"/>
              </w:rPr>
            </w:pPr>
            <w:r>
              <w:rPr>
                <w:rFonts w:ascii="Arial" w:cs="Arial" w:eastAsia="Arial" w:hAnsi="Arial"/>
                <w:sz w:val="18"/>
                <w:szCs w:val="18"/>
                <w:color w:val="auto"/>
              </w:rPr>
              <w:t>Inclusion in Income Under Section 409A</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7.6</w:t>
            </w:r>
          </w:p>
        </w:tc>
        <w:tc>
          <w:tcPr>
            <w:tcW w:w="4140" w:type="dxa"/>
            <w:vAlign w:val="bottom"/>
          </w:tcPr>
          <w:p>
            <w:pPr>
              <w:ind w:left="100"/>
              <w:spacing w:after="0"/>
              <w:rPr>
                <w:sz w:val="20"/>
                <w:szCs w:val="20"/>
                <w:color w:val="auto"/>
              </w:rPr>
            </w:pPr>
            <w:r>
              <w:rPr>
                <w:rFonts w:ascii="Arial" w:cs="Arial" w:eastAsia="Arial" w:hAnsi="Arial"/>
                <w:sz w:val="18"/>
                <w:szCs w:val="18"/>
                <w:color w:val="auto"/>
              </w:rPr>
              <w:t>Domestic Relations Order</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230"/>
        </w:trPr>
        <w:tc>
          <w:tcPr>
            <w:tcW w:w="1220" w:type="dxa"/>
            <w:vAlign w:val="bottom"/>
          </w:tcPr>
          <w:p>
            <w:pPr>
              <w:ind w:left="300"/>
              <w:spacing w:after="0"/>
              <w:rPr>
                <w:sz w:val="20"/>
                <w:szCs w:val="20"/>
                <w:color w:val="auto"/>
              </w:rPr>
            </w:pPr>
            <w:r>
              <w:rPr>
                <w:rFonts w:ascii="Arial" w:cs="Arial" w:eastAsia="Arial" w:hAnsi="Arial"/>
                <w:sz w:val="18"/>
                <w:szCs w:val="18"/>
                <w:color w:val="auto"/>
              </w:rPr>
              <w:t>7.7</w:t>
            </w:r>
          </w:p>
        </w:tc>
        <w:tc>
          <w:tcPr>
            <w:tcW w:w="4140" w:type="dxa"/>
            <w:vAlign w:val="bottom"/>
          </w:tcPr>
          <w:p>
            <w:pPr>
              <w:ind w:left="100"/>
              <w:spacing w:after="0"/>
              <w:rPr>
                <w:sz w:val="20"/>
                <w:szCs w:val="20"/>
                <w:color w:val="auto"/>
              </w:rPr>
            </w:pPr>
            <w:r>
              <w:rPr>
                <w:rFonts w:ascii="Arial" w:cs="Arial" w:eastAsia="Arial" w:hAnsi="Arial"/>
                <w:sz w:val="18"/>
                <w:szCs w:val="18"/>
                <w:color w:val="auto"/>
              </w:rPr>
              <w:t>De Minimis Amounts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VIII</w:t>
            </w:r>
          </w:p>
        </w:tc>
        <w:tc>
          <w:tcPr>
            <w:tcW w:w="4140" w:type="dxa"/>
            <w:vAlign w:val="bottom"/>
          </w:tcPr>
          <w:p>
            <w:pPr>
              <w:ind w:left="320"/>
              <w:spacing w:after="0"/>
              <w:rPr>
                <w:sz w:val="20"/>
                <w:szCs w:val="20"/>
                <w:color w:val="auto"/>
              </w:rPr>
            </w:pPr>
            <w:r>
              <w:rPr>
                <w:rFonts w:ascii="Arial" w:cs="Arial" w:eastAsia="Arial" w:hAnsi="Arial"/>
                <w:sz w:val="18"/>
                <w:szCs w:val="18"/>
                <w:color w:val="auto"/>
              </w:rPr>
              <w:t>PLAN OPERATION AND ADMINISTRATION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418"/>
        </w:trPr>
        <w:tc>
          <w:tcPr>
            <w:tcW w:w="1220" w:type="dxa"/>
            <w:vAlign w:val="bottom"/>
          </w:tcPr>
          <w:p>
            <w:pPr>
              <w:ind w:left="300"/>
              <w:spacing w:after="0"/>
              <w:rPr>
                <w:sz w:val="20"/>
                <w:szCs w:val="20"/>
                <w:color w:val="auto"/>
              </w:rPr>
            </w:pPr>
            <w:r>
              <w:rPr>
                <w:rFonts w:ascii="Arial" w:cs="Arial" w:eastAsia="Arial" w:hAnsi="Arial"/>
                <w:sz w:val="18"/>
                <w:szCs w:val="18"/>
                <w:color w:val="auto"/>
              </w:rPr>
              <w:t>8.1</w:t>
            </w:r>
          </w:p>
        </w:tc>
        <w:tc>
          <w:tcPr>
            <w:tcW w:w="4140" w:type="dxa"/>
            <w:vAlign w:val="bottom"/>
          </w:tcPr>
          <w:p>
            <w:pPr>
              <w:ind w:left="100"/>
              <w:spacing w:after="0"/>
              <w:rPr>
                <w:sz w:val="20"/>
                <w:szCs w:val="20"/>
                <w:color w:val="auto"/>
              </w:rPr>
            </w:pPr>
            <w:r>
              <w:rPr>
                <w:rFonts w:ascii="Arial" w:cs="Arial" w:eastAsia="Arial" w:hAnsi="Arial"/>
                <w:sz w:val="18"/>
                <w:szCs w:val="18"/>
                <w:color w:val="auto"/>
              </w:rPr>
              <w:t>Administrator</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8.2</w:t>
            </w:r>
          </w:p>
        </w:tc>
        <w:tc>
          <w:tcPr>
            <w:tcW w:w="414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8.3</w:t>
            </w:r>
          </w:p>
        </w:tc>
        <w:tc>
          <w:tcPr>
            <w:tcW w:w="4140" w:type="dxa"/>
            <w:vAlign w:val="bottom"/>
          </w:tcPr>
          <w:p>
            <w:pPr>
              <w:ind w:left="100"/>
              <w:spacing w:after="0"/>
              <w:rPr>
                <w:sz w:val="20"/>
                <w:szCs w:val="20"/>
                <w:color w:val="auto"/>
              </w:rPr>
            </w:pPr>
            <w:r>
              <w:rPr>
                <w:rFonts w:ascii="Arial" w:cs="Arial" w:eastAsia="Arial" w:hAnsi="Arial"/>
                <w:sz w:val="18"/>
                <w:szCs w:val="18"/>
                <w:color w:val="auto"/>
              </w:rPr>
              <w:t>Authority to Act</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8.4</w:t>
            </w:r>
          </w:p>
        </w:tc>
        <w:tc>
          <w:tcPr>
            <w:tcW w:w="4140" w:type="dxa"/>
            <w:vAlign w:val="bottom"/>
          </w:tcPr>
          <w:p>
            <w:pPr>
              <w:ind w:left="100"/>
              <w:spacing w:after="0"/>
              <w:rPr>
                <w:sz w:val="20"/>
                <w:szCs w:val="20"/>
                <w:color w:val="auto"/>
              </w:rPr>
            </w:pPr>
            <w:r>
              <w:rPr>
                <w:rFonts w:ascii="Arial" w:cs="Arial" w:eastAsia="Arial" w:hAnsi="Arial"/>
                <w:sz w:val="18"/>
                <w:szCs w:val="18"/>
                <w:color w:val="auto"/>
              </w:rPr>
              <w:t>Information from Participants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8.5</w:t>
            </w:r>
          </w:p>
        </w:tc>
        <w:tc>
          <w:tcPr>
            <w:tcW w:w="4140" w:type="dxa"/>
            <w:vAlign w:val="bottom"/>
          </w:tcPr>
          <w:p>
            <w:pPr>
              <w:ind w:left="100"/>
              <w:spacing w:after="0"/>
              <w:rPr>
                <w:sz w:val="20"/>
                <w:szCs w:val="20"/>
                <w:color w:val="auto"/>
              </w:rPr>
            </w:pPr>
            <w:r>
              <w:rPr>
                <w:rFonts w:ascii="Arial" w:cs="Arial" w:eastAsia="Arial" w:hAnsi="Arial"/>
                <w:sz w:val="18"/>
                <w:szCs w:val="18"/>
                <w:color w:val="auto"/>
              </w:rPr>
              <w:t>Committee Discretion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8.6</w:t>
            </w:r>
          </w:p>
        </w:tc>
        <w:tc>
          <w:tcPr>
            <w:tcW w:w="4140" w:type="dxa"/>
            <w:vAlign w:val="bottom"/>
          </w:tcPr>
          <w:p>
            <w:pPr>
              <w:ind w:left="100"/>
              <w:spacing w:after="0"/>
              <w:rPr>
                <w:sz w:val="20"/>
                <w:szCs w:val="20"/>
                <w:color w:val="auto"/>
              </w:rPr>
            </w:pPr>
            <w:r>
              <w:rPr>
                <w:rFonts w:ascii="Arial" w:cs="Arial" w:eastAsia="Arial" w:hAnsi="Arial"/>
                <w:sz w:val="18"/>
                <w:szCs w:val="18"/>
                <w:color w:val="auto"/>
              </w:rPr>
              <w:t>Committee Members’ Conflict of Interest</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8.7</w:t>
            </w:r>
          </w:p>
        </w:tc>
        <w:tc>
          <w:tcPr>
            <w:tcW w:w="41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8.8</w:t>
            </w:r>
          </w:p>
        </w:tc>
        <w:tc>
          <w:tcPr>
            <w:tcW w:w="4140" w:type="dxa"/>
            <w:vAlign w:val="bottom"/>
          </w:tcPr>
          <w:p>
            <w:pPr>
              <w:ind w:left="100"/>
              <w:spacing w:after="0"/>
              <w:rPr>
                <w:sz w:val="20"/>
                <w:szCs w:val="20"/>
                <w:color w:val="auto"/>
              </w:rPr>
            </w:pPr>
            <w:r>
              <w:rPr>
                <w:rFonts w:ascii="Arial" w:cs="Arial" w:eastAsia="Arial" w:hAnsi="Arial"/>
                <w:sz w:val="18"/>
                <w:szCs w:val="18"/>
                <w:color w:val="auto"/>
              </w:rPr>
              <w:t>Expenses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8.9</w:t>
            </w:r>
          </w:p>
        </w:tc>
        <w:tc>
          <w:tcPr>
            <w:tcW w:w="4140" w:type="dxa"/>
            <w:vAlign w:val="bottom"/>
          </w:tcPr>
          <w:p>
            <w:pPr>
              <w:ind w:left="100"/>
              <w:spacing w:after="0"/>
              <w:rPr>
                <w:sz w:val="20"/>
                <w:szCs w:val="20"/>
                <w:color w:val="auto"/>
              </w:rPr>
            </w:pPr>
            <w:r>
              <w:rPr>
                <w:rFonts w:ascii="Arial" w:cs="Arial" w:eastAsia="Arial" w:hAnsi="Arial"/>
                <w:sz w:val="18"/>
                <w:szCs w:val="18"/>
                <w:color w:val="auto"/>
              </w:rPr>
              <w:t>Minor or Incompetent Payees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300"/>
              <w:spacing w:after="0"/>
              <w:rPr>
                <w:sz w:val="20"/>
                <w:szCs w:val="20"/>
                <w:color w:val="auto"/>
              </w:rPr>
            </w:pPr>
            <w:r>
              <w:rPr>
                <w:rFonts w:ascii="Arial" w:cs="Arial" w:eastAsia="Arial" w:hAnsi="Arial"/>
                <w:sz w:val="18"/>
                <w:szCs w:val="18"/>
                <w:color w:val="auto"/>
              </w:rPr>
              <w:t>8.10</w:t>
            </w:r>
          </w:p>
        </w:tc>
        <w:tc>
          <w:tcPr>
            <w:tcW w:w="4140" w:type="dxa"/>
            <w:vAlign w:val="bottom"/>
          </w:tcPr>
          <w:p>
            <w:pPr>
              <w:ind w:left="100"/>
              <w:spacing w:after="0"/>
              <w:rPr>
                <w:sz w:val="20"/>
                <w:szCs w:val="20"/>
                <w:color w:val="auto"/>
              </w:rPr>
            </w:pPr>
            <w:r>
              <w:rPr>
                <w:rFonts w:ascii="Arial" w:cs="Arial" w:eastAsia="Arial" w:hAnsi="Arial"/>
                <w:sz w:val="18"/>
                <w:szCs w:val="18"/>
                <w:color w:val="auto"/>
              </w:rPr>
              <w:t>Withholding</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230"/>
        </w:trPr>
        <w:tc>
          <w:tcPr>
            <w:tcW w:w="1220" w:type="dxa"/>
            <w:vAlign w:val="bottom"/>
          </w:tcPr>
          <w:p>
            <w:pPr>
              <w:ind w:left="300"/>
              <w:spacing w:after="0"/>
              <w:rPr>
                <w:sz w:val="20"/>
                <w:szCs w:val="20"/>
                <w:color w:val="auto"/>
              </w:rPr>
            </w:pPr>
            <w:r>
              <w:rPr>
                <w:rFonts w:ascii="Arial" w:cs="Arial" w:eastAsia="Arial" w:hAnsi="Arial"/>
                <w:sz w:val="18"/>
                <w:szCs w:val="18"/>
                <w:color w:val="auto"/>
              </w:rPr>
              <w:t>8.11</w:t>
            </w:r>
          </w:p>
        </w:tc>
        <w:tc>
          <w:tcPr>
            <w:tcW w:w="414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IX</w:t>
            </w:r>
          </w:p>
        </w:tc>
        <w:tc>
          <w:tcPr>
            <w:tcW w:w="4140" w:type="dxa"/>
            <w:vAlign w:val="bottom"/>
          </w:tcPr>
          <w:p>
            <w:pPr>
              <w:ind w:left="320"/>
              <w:spacing w:after="0"/>
              <w:rPr>
                <w:sz w:val="20"/>
                <w:szCs w:val="20"/>
                <w:color w:val="auto"/>
              </w:rPr>
            </w:pPr>
            <w:r>
              <w:rPr>
                <w:rFonts w:ascii="Arial" w:cs="Arial" w:eastAsia="Arial" w:hAnsi="Arial"/>
                <w:sz w:val="18"/>
                <w:szCs w:val="18"/>
                <w:color w:val="auto"/>
              </w:rPr>
              <w:t>CLAIMS PROCEDURE</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tcPr>
          <w:p>
            <w:pPr>
              <w:ind w:left="300"/>
              <w:spacing w:after="0"/>
              <w:rPr>
                <w:sz w:val="20"/>
                <w:szCs w:val="20"/>
                <w:color w:val="auto"/>
              </w:rPr>
            </w:pPr>
            <w:r>
              <w:rPr>
                <w:rFonts w:ascii="Arial" w:cs="Arial" w:eastAsia="Arial" w:hAnsi="Arial"/>
                <w:sz w:val="18"/>
                <w:szCs w:val="18"/>
                <w:color w:val="auto"/>
              </w:rPr>
              <w:t>9.1</w:t>
            </w:r>
          </w:p>
        </w:tc>
        <w:tc>
          <w:tcPr>
            <w:tcW w:w="4140" w:type="dxa"/>
            <w:vAlign w:val="bottom"/>
          </w:tcPr>
          <w:p>
            <w:pPr>
              <w:ind w:left="100"/>
              <w:spacing w:after="0"/>
              <w:rPr>
                <w:sz w:val="20"/>
                <w:szCs w:val="20"/>
                <w:color w:val="auto"/>
              </w:rPr>
            </w:pPr>
            <w:r>
              <w:rPr>
                <w:rFonts w:ascii="Arial" w:cs="Arial" w:eastAsia="Arial" w:hAnsi="Arial"/>
                <w:sz w:val="18"/>
                <w:szCs w:val="18"/>
                <w:color w:val="auto"/>
              </w:rPr>
              <w:t>Claims</w:t>
            </w:r>
          </w:p>
        </w:tc>
        <w:tc>
          <w:tcPr>
            <w:tcW w:w="606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r>
      <w:tr>
        <w:trPr>
          <w:trHeight w:val="405"/>
        </w:trPr>
        <w:tc>
          <w:tcPr>
            <w:tcW w:w="1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60" w:type="dxa"/>
            <w:vAlign w:val="bottom"/>
            <w:gridSpan w:val="3"/>
          </w:tcPr>
          <w:p>
            <w:pPr>
              <w:ind w:left="300"/>
              <w:spacing w:after="0"/>
              <w:rPr>
                <w:sz w:val="20"/>
                <w:szCs w:val="20"/>
                <w:color w:val="auto"/>
              </w:rPr>
            </w:pPr>
            <w:r>
              <w:rPr>
                <w:rFonts w:ascii="Arial" w:cs="Arial" w:eastAsia="Arial" w:hAnsi="Arial"/>
                <w:sz w:val="18"/>
                <w:szCs w:val="18"/>
                <w:color w:val="auto"/>
              </w:rPr>
              <w:t>ii</w:t>
            </w:r>
          </w:p>
        </w:tc>
      </w:tr>
      <w:tr>
        <w:trPr>
          <w:trHeight w:val="226"/>
        </w:trPr>
        <w:tc>
          <w:tcPr>
            <w:tcW w:w="122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411"/>
        </w:trPr>
        <w:tc>
          <w:tcPr>
            <w:tcW w:w="1160" w:type="dxa"/>
            <w:vAlign w:val="bottom"/>
          </w:tcPr>
          <w:p>
            <w:pPr>
              <w:ind w:left="300"/>
              <w:spacing w:after="0"/>
              <w:rPr>
                <w:sz w:val="20"/>
                <w:szCs w:val="20"/>
                <w:color w:val="auto"/>
              </w:rPr>
            </w:pPr>
            <w:r>
              <w:rPr>
                <w:rFonts w:ascii="Arial" w:cs="Arial" w:eastAsia="Arial" w:hAnsi="Arial"/>
                <w:sz w:val="18"/>
                <w:szCs w:val="18"/>
                <w:color w:val="auto"/>
              </w:rPr>
              <w:t>9.2</w:t>
            </w:r>
          </w:p>
        </w:tc>
        <w:tc>
          <w:tcPr>
            <w:tcW w:w="9860" w:type="dxa"/>
            <w:vAlign w:val="bottom"/>
          </w:tcPr>
          <w:p>
            <w:pPr>
              <w:ind w:left="160"/>
              <w:spacing w:after="0"/>
              <w:rPr>
                <w:sz w:val="20"/>
                <w:szCs w:val="20"/>
                <w:color w:val="auto"/>
              </w:rPr>
            </w:pPr>
            <w:r>
              <w:rPr>
                <w:rFonts w:ascii="Arial" w:cs="Arial" w:eastAsia="Arial" w:hAnsi="Arial"/>
                <w:sz w:val="18"/>
                <w:szCs w:val="18"/>
                <w:color w:val="auto"/>
              </w:rPr>
              <w:t>Review</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160" w:type="dxa"/>
            <w:vAlign w:val="bottom"/>
          </w:tcPr>
          <w:p>
            <w:pPr>
              <w:ind w:left="300"/>
              <w:spacing w:after="0"/>
              <w:rPr>
                <w:sz w:val="20"/>
                <w:szCs w:val="20"/>
                <w:color w:val="auto"/>
              </w:rPr>
            </w:pPr>
            <w:r>
              <w:rPr>
                <w:rFonts w:ascii="Arial" w:cs="Arial" w:eastAsia="Arial" w:hAnsi="Arial"/>
                <w:sz w:val="18"/>
                <w:szCs w:val="18"/>
                <w:color w:val="auto"/>
              </w:rPr>
              <w:t>9.3</w:t>
            </w:r>
          </w:p>
        </w:tc>
        <w:tc>
          <w:tcPr>
            <w:tcW w:w="9860" w:type="dxa"/>
            <w:vAlign w:val="bottom"/>
          </w:tcPr>
          <w:p>
            <w:pPr>
              <w:ind w:left="160"/>
              <w:spacing w:after="0"/>
              <w:rPr>
                <w:sz w:val="20"/>
                <w:szCs w:val="20"/>
                <w:color w:val="auto"/>
              </w:rPr>
            </w:pPr>
            <w:r>
              <w:rPr>
                <w:rFonts w:ascii="Arial" w:cs="Arial" w:eastAsia="Arial" w:hAnsi="Arial"/>
                <w:sz w:val="18"/>
                <w:szCs w:val="18"/>
                <w:color w:val="auto"/>
              </w:rPr>
              <w:t>Disability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ARTICLE X</w:t>
            </w:r>
          </w:p>
        </w:tc>
        <w:tc>
          <w:tcPr>
            <w:tcW w:w="9860" w:type="dxa"/>
            <w:vAlign w:val="bottom"/>
          </w:tcPr>
          <w:p>
            <w:pPr>
              <w:ind w:left="380"/>
              <w:spacing w:after="0"/>
              <w:rPr>
                <w:sz w:val="20"/>
                <w:szCs w:val="20"/>
                <w:color w:val="auto"/>
              </w:rPr>
            </w:pPr>
            <w:r>
              <w:rPr>
                <w:rFonts w:ascii="Arial" w:cs="Arial" w:eastAsia="Arial" w:hAnsi="Arial"/>
                <w:sz w:val="18"/>
                <w:szCs w:val="18"/>
                <w:color w:val="auto"/>
              </w:rPr>
              <w:t>AMENDMENT AND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ARTICLE XI</w:t>
            </w:r>
          </w:p>
        </w:tc>
        <w:tc>
          <w:tcPr>
            <w:tcW w:w="9860" w:type="dxa"/>
            <w:vAlign w:val="bottom"/>
          </w:tcPr>
          <w:p>
            <w:pPr>
              <w:ind w:left="380"/>
              <w:spacing w:after="0"/>
              <w:rPr>
                <w:sz w:val="20"/>
                <w:szCs w:val="20"/>
                <w:color w:val="auto"/>
              </w:rPr>
            </w:pPr>
            <w:r>
              <w:rPr>
                <w:rFonts w:ascii="Arial" w:cs="Arial" w:eastAsia="Arial" w:hAnsi="Arial"/>
                <w:sz w:val="18"/>
                <w:szCs w:val="18"/>
                <w:color w:val="auto"/>
              </w:rPr>
              <w:t>MISCELLANEOUS PROVISIONS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160" w:type="dxa"/>
            <w:vAlign w:val="bottom"/>
          </w:tcPr>
          <w:p>
            <w:pPr>
              <w:ind w:left="300"/>
              <w:spacing w:after="0"/>
              <w:rPr>
                <w:sz w:val="20"/>
                <w:szCs w:val="20"/>
                <w:color w:val="auto"/>
              </w:rPr>
            </w:pPr>
            <w:r>
              <w:rPr>
                <w:rFonts w:ascii="Arial" w:cs="Arial" w:eastAsia="Arial" w:hAnsi="Arial"/>
                <w:sz w:val="18"/>
                <w:szCs w:val="18"/>
                <w:color w:val="auto"/>
              </w:rPr>
              <w:t>11.1</w:t>
            </w:r>
          </w:p>
        </w:tc>
        <w:tc>
          <w:tcPr>
            <w:tcW w:w="9860" w:type="dxa"/>
            <w:vAlign w:val="bottom"/>
          </w:tcPr>
          <w:p>
            <w:pPr>
              <w:ind w:left="160"/>
              <w:spacing w:after="0"/>
              <w:rPr>
                <w:sz w:val="20"/>
                <w:szCs w:val="20"/>
                <w:color w:val="auto"/>
              </w:rPr>
            </w:pPr>
            <w:r>
              <w:rPr>
                <w:rFonts w:ascii="Arial" w:cs="Arial" w:eastAsia="Arial" w:hAnsi="Arial"/>
                <w:sz w:val="18"/>
                <w:szCs w:val="18"/>
                <w:color w:val="auto"/>
              </w:rPr>
              <w:t>Headings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11.2</w:t>
            </w:r>
          </w:p>
        </w:tc>
        <w:tc>
          <w:tcPr>
            <w:tcW w:w="9860" w:type="dxa"/>
            <w:vAlign w:val="bottom"/>
          </w:tcPr>
          <w:p>
            <w:pPr>
              <w:ind w:left="160"/>
              <w:spacing w:after="0"/>
              <w:rPr>
                <w:sz w:val="20"/>
                <w:szCs w:val="20"/>
                <w:color w:val="auto"/>
              </w:rPr>
            </w:pPr>
            <w:r>
              <w:rPr>
                <w:rFonts w:ascii="Arial" w:cs="Arial" w:eastAsia="Arial" w:hAnsi="Arial"/>
                <w:sz w:val="18"/>
                <w:szCs w:val="18"/>
                <w:color w:val="auto"/>
              </w:rPr>
              <w:t>No Contract of Employment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11.3</w:t>
            </w:r>
          </w:p>
        </w:tc>
        <w:tc>
          <w:tcPr>
            <w:tcW w:w="9860" w:type="dxa"/>
            <w:vAlign w:val="bottom"/>
          </w:tcPr>
          <w:p>
            <w:pPr>
              <w:ind w:left="160"/>
              <w:spacing w:after="0"/>
              <w:rPr>
                <w:sz w:val="20"/>
                <w:szCs w:val="20"/>
                <w:color w:val="auto"/>
              </w:rPr>
            </w:pPr>
            <w:r>
              <w:rPr>
                <w:rFonts w:ascii="Arial" w:cs="Arial" w:eastAsia="Arial" w:hAnsi="Arial"/>
                <w:sz w:val="18"/>
                <w:szCs w:val="18"/>
                <w:color w:val="auto"/>
              </w:rPr>
              <w:t>Rights of Participants and Beneficiaries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11.4</w:t>
            </w:r>
          </w:p>
        </w:tc>
        <w:tc>
          <w:tcPr>
            <w:tcW w:w="9860" w:type="dxa"/>
            <w:vAlign w:val="bottom"/>
          </w:tcPr>
          <w:p>
            <w:pPr>
              <w:ind w:left="160"/>
              <w:spacing w:after="0"/>
              <w:rPr>
                <w:sz w:val="20"/>
                <w:szCs w:val="20"/>
                <w:color w:val="auto"/>
              </w:rPr>
            </w:pPr>
            <w:r>
              <w:rPr>
                <w:rFonts w:ascii="Arial" w:cs="Arial" w:eastAsia="Arial" w:hAnsi="Arial"/>
                <w:sz w:val="18"/>
                <w:szCs w:val="18"/>
                <w:color w:val="auto"/>
              </w:rPr>
              <w:t>Nonalienation of Benefits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11.5</w:t>
            </w:r>
          </w:p>
        </w:tc>
        <w:tc>
          <w:tcPr>
            <w:tcW w:w="9860" w:type="dxa"/>
            <w:vAlign w:val="bottom"/>
          </w:tcPr>
          <w:p>
            <w:pPr>
              <w:ind w:left="160"/>
              <w:spacing w:after="0"/>
              <w:rPr>
                <w:sz w:val="20"/>
                <w:szCs w:val="20"/>
                <w:color w:val="auto"/>
              </w:rPr>
            </w:pPr>
            <w:r>
              <w:rPr>
                <w:rFonts w:ascii="Arial" w:cs="Arial" w:eastAsia="Arial" w:hAnsi="Arial"/>
                <w:sz w:val="18"/>
                <w:szCs w:val="18"/>
                <w:color w:val="auto"/>
              </w:rPr>
              <w:t>Tax Treatment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11.6</w:t>
            </w:r>
          </w:p>
        </w:tc>
        <w:tc>
          <w:tcPr>
            <w:tcW w:w="9860" w:type="dxa"/>
            <w:vAlign w:val="bottom"/>
          </w:tcPr>
          <w:p>
            <w:pPr>
              <w:ind w:left="160"/>
              <w:spacing w:after="0"/>
              <w:rPr>
                <w:sz w:val="20"/>
                <w:szCs w:val="20"/>
                <w:color w:val="auto"/>
              </w:rPr>
            </w:pPr>
            <w:r>
              <w:rPr>
                <w:rFonts w:ascii="Arial" w:cs="Arial" w:eastAsia="Arial" w:hAnsi="Arial"/>
                <w:sz w:val="18"/>
                <w:szCs w:val="18"/>
                <w:color w:val="auto"/>
              </w:rPr>
              <w:t>Other Plans and Agreements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11.7</w:t>
            </w:r>
          </w:p>
        </w:tc>
        <w:tc>
          <w:tcPr>
            <w:tcW w:w="9860" w:type="dxa"/>
            <w:vAlign w:val="bottom"/>
          </w:tcPr>
          <w:p>
            <w:pPr>
              <w:ind w:left="160"/>
              <w:spacing w:after="0"/>
              <w:rPr>
                <w:sz w:val="20"/>
                <w:szCs w:val="20"/>
                <w:color w:val="auto"/>
              </w:rPr>
            </w:pPr>
            <w:r>
              <w:rPr>
                <w:rFonts w:ascii="Arial" w:cs="Arial" w:eastAsia="Arial" w:hAnsi="Arial"/>
                <w:sz w:val="18"/>
                <w:szCs w:val="18"/>
                <w:color w:val="auto"/>
              </w:rPr>
              <w:t>Number and Gender</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11.8</w:t>
            </w:r>
          </w:p>
        </w:tc>
        <w:tc>
          <w:tcPr>
            <w:tcW w:w="9860" w:type="dxa"/>
            <w:vAlign w:val="bottom"/>
          </w:tcPr>
          <w:p>
            <w:pPr>
              <w:ind w:left="160"/>
              <w:spacing w:after="0"/>
              <w:rPr>
                <w:sz w:val="20"/>
                <w:szCs w:val="20"/>
                <w:color w:val="auto"/>
              </w:rPr>
            </w:pPr>
            <w:r>
              <w:rPr>
                <w:rFonts w:ascii="Arial" w:cs="Arial" w:eastAsia="Arial" w:hAnsi="Arial"/>
                <w:sz w:val="18"/>
                <w:szCs w:val="18"/>
                <w:color w:val="auto"/>
              </w:rPr>
              <w:t>Plan Provisions Controlling</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11.9</w:t>
            </w:r>
          </w:p>
        </w:tc>
        <w:tc>
          <w:tcPr>
            <w:tcW w:w="98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11.10</w:t>
            </w:r>
          </w:p>
        </w:tc>
        <w:tc>
          <w:tcPr>
            <w:tcW w:w="9860" w:type="dxa"/>
            <w:vAlign w:val="bottom"/>
          </w:tcPr>
          <w:p>
            <w:pPr>
              <w:ind w:left="160"/>
              <w:spacing w:after="0"/>
              <w:rPr>
                <w:sz w:val="20"/>
                <w:szCs w:val="20"/>
                <w:color w:val="auto"/>
              </w:rPr>
            </w:pPr>
            <w:r>
              <w:rPr>
                <w:rFonts w:ascii="Arial" w:cs="Arial" w:eastAsia="Arial" w:hAnsi="Arial"/>
                <w:sz w:val="18"/>
                <w:szCs w:val="18"/>
                <w:color w:val="auto"/>
              </w:rPr>
              <w:t>Evidence Conclusive</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11.11</w:t>
            </w:r>
          </w:p>
        </w:tc>
        <w:tc>
          <w:tcPr>
            <w:tcW w:w="9860" w:type="dxa"/>
            <w:vAlign w:val="bottom"/>
          </w:tcPr>
          <w:p>
            <w:pPr>
              <w:ind w:left="160"/>
              <w:spacing w:after="0"/>
              <w:rPr>
                <w:sz w:val="20"/>
                <w:szCs w:val="20"/>
                <w:color w:val="auto"/>
              </w:rPr>
            </w:pPr>
            <w:r>
              <w:rPr>
                <w:rFonts w:ascii="Arial" w:cs="Arial" w:eastAsia="Arial" w:hAnsi="Arial"/>
                <w:sz w:val="18"/>
                <w:szCs w:val="18"/>
                <w:color w:val="auto"/>
              </w:rPr>
              <w:t>Status of Plan Under ERISA</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11.12</w:t>
            </w:r>
          </w:p>
        </w:tc>
        <w:tc>
          <w:tcPr>
            <w:tcW w:w="9860" w:type="dxa"/>
            <w:vAlign w:val="bottom"/>
          </w:tcPr>
          <w:p>
            <w:pPr>
              <w:ind w:left="160"/>
              <w:spacing w:after="0"/>
              <w:rPr>
                <w:sz w:val="20"/>
                <w:szCs w:val="20"/>
                <w:color w:val="auto"/>
              </w:rPr>
            </w:pPr>
            <w:r>
              <w:rPr>
                <w:rFonts w:ascii="Arial" w:cs="Arial" w:eastAsia="Arial" w:hAnsi="Arial"/>
                <w:sz w:val="18"/>
                <w:szCs w:val="18"/>
                <w:color w:val="auto"/>
              </w:rPr>
              <w:t>Name and Address Changes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ind w:left="300"/>
              <w:spacing w:after="0"/>
              <w:rPr>
                <w:sz w:val="20"/>
                <w:szCs w:val="20"/>
                <w:color w:val="auto"/>
              </w:rPr>
            </w:pPr>
            <w:r>
              <w:rPr>
                <w:rFonts w:ascii="Arial" w:cs="Arial" w:eastAsia="Arial" w:hAnsi="Arial"/>
                <w:sz w:val="18"/>
                <w:szCs w:val="18"/>
                <w:color w:val="auto"/>
              </w:rPr>
              <w:t>11.13</w:t>
            </w:r>
          </w:p>
        </w:tc>
        <w:tc>
          <w:tcPr>
            <w:tcW w:w="9860" w:type="dxa"/>
            <w:vAlign w:val="bottom"/>
          </w:tcPr>
          <w:p>
            <w:pPr>
              <w:ind w:left="160"/>
              <w:spacing w:after="0"/>
              <w:rPr>
                <w:sz w:val="20"/>
                <w:szCs w:val="20"/>
                <w:color w:val="auto"/>
              </w:rPr>
            </w:pPr>
            <w:r>
              <w:rPr>
                <w:rFonts w:ascii="Arial" w:cs="Arial" w:eastAsia="Arial" w:hAnsi="Arial"/>
                <w:sz w:val="18"/>
                <w:szCs w:val="18"/>
                <w:color w:val="auto"/>
              </w:rPr>
              <w:t>Assignability by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160" w:type="dxa"/>
            <w:vAlign w:val="bottom"/>
          </w:tcPr>
          <w:p>
            <w:pPr>
              <w:ind w:left="300"/>
              <w:spacing w:after="0"/>
              <w:rPr>
                <w:sz w:val="20"/>
                <w:szCs w:val="20"/>
                <w:color w:val="auto"/>
              </w:rPr>
            </w:pPr>
            <w:r>
              <w:rPr>
                <w:rFonts w:ascii="Arial" w:cs="Arial" w:eastAsia="Arial" w:hAnsi="Arial"/>
                <w:sz w:val="18"/>
                <w:szCs w:val="18"/>
                <w:color w:val="auto"/>
              </w:rPr>
              <w:t>11.14</w:t>
            </w:r>
          </w:p>
        </w:tc>
        <w:tc>
          <w:tcPr>
            <w:tcW w:w="9860" w:type="dxa"/>
            <w:vAlign w:val="bottom"/>
          </w:tcPr>
          <w:p>
            <w:pPr>
              <w:ind w:left="160"/>
              <w:spacing w:after="0"/>
              <w:rPr>
                <w:sz w:val="20"/>
                <w:szCs w:val="20"/>
                <w:color w:val="auto"/>
              </w:rPr>
            </w:pPr>
            <w:r>
              <w:rPr>
                <w:rFonts w:ascii="Arial" w:cs="Arial" w:eastAsia="Arial" w:hAnsi="Arial"/>
                <w:sz w:val="18"/>
                <w:szCs w:val="18"/>
                <w:color w:val="auto"/>
              </w:rPr>
              <w:t>Special rule for 2005-2007</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3" w:right="3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 and Effective Date</w:t>
      </w:r>
    </w:p>
    <w:p>
      <w:pPr>
        <w:spacing w:after="0" w:line="13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Brady Corporation established the Brady Corporation Restoration Plan effective as of January 1, 2000, and it is hereby restated effective as of January 1, 2008. This document describes how this Plan has been administered for periods after 2004 and prior to January 1, 2008 and how it shall be administered for periods after 2007.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p>
    <w:p>
      <w:pPr>
        <w:spacing w:after="0" w:line="135"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Plan is intended to restore to key management employees of Brady and its affiliates income deferral opportunities and employer contributions they would have had under the Company’s tax qualified Brady Matched 401(k) Plan and Brady Funded Retirement Plan but for the limitations of the Internal Revenue Code of 1986, as amended and to provide certain additional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Section 409A</w:t>
      </w:r>
    </w:p>
    <w:p>
      <w:pPr>
        <w:spacing w:after="0" w:line="135"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42" w:name="page43"/>
    <w:bookmarkEnd w:id="42"/>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when used in the Plan with initial capital letters, shall have the meaning given to them in this Article.</w:t>
      </w:r>
    </w:p>
    <w:p>
      <w:pPr>
        <w:spacing w:after="0" w:line="113" w:lineRule="exact"/>
        <w:rPr>
          <w:sz w:val="20"/>
          <w:szCs w:val="20"/>
          <w:color w:val="auto"/>
        </w:rPr>
      </w:pPr>
    </w:p>
    <w:p>
      <w:pPr>
        <w:ind w:left="340" w:right="260" w:hanging="337"/>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Account</w:t>
      </w:r>
      <w:r>
        <w:rPr>
          <w:rFonts w:ascii="Arial" w:cs="Arial" w:eastAsia="Arial" w:hAnsi="Arial"/>
          <w:sz w:val="18"/>
          <w:szCs w:val="18"/>
          <w:color w:val="auto"/>
        </w:rPr>
        <w:t xml:space="preserve"> shall mean the account maintained to record a Participant’s interest in the Plan and shall be composed of the following subaccounts: Elective Deferral Account, Matching Contribution Account and Employer Contribution Account.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Additional Employer Contribution</w:t>
      </w:r>
      <w:r>
        <w:rPr>
          <w:rFonts w:ascii="Arial" w:cs="Arial" w:eastAsia="Arial" w:hAnsi="Arial"/>
          <w:sz w:val="18"/>
          <w:szCs w:val="18"/>
          <w:color w:val="auto"/>
        </w:rPr>
        <w:t xml:space="preserve"> shall mean the amount credited to a Participant pursuant to Section 4.6.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Additional Matching Contribution</w:t>
      </w:r>
      <w:r>
        <w:rPr>
          <w:rFonts w:ascii="Arial" w:cs="Arial" w:eastAsia="Arial" w:hAnsi="Arial"/>
          <w:sz w:val="18"/>
          <w:szCs w:val="18"/>
          <w:color w:val="auto"/>
        </w:rPr>
        <w:t xml:space="preserve"> shall mean the amount credited to a Participant pursuant to Section 4.5.</w:t>
      </w:r>
    </w:p>
    <w:p>
      <w:pPr>
        <w:spacing w:after="0" w:line="131" w:lineRule="exact"/>
        <w:rPr>
          <w:sz w:val="20"/>
          <w:szCs w:val="20"/>
          <w:color w:val="auto"/>
        </w:rPr>
      </w:pPr>
    </w:p>
    <w:p>
      <w:pPr>
        <w:ind w:left="340" w:right="120" w:hanging="337"/>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each incorporated or unincorporated trade or business in which Brady Corporation directly or indirectly owns, as applicable, eighty percent (80%) of the voting stock or eighty percent (80%) of the capital or profits interest.</w:t>
      </w:r>
    </w:p>
    <w:p>
      <w:pPr>
        <w:spacing w:after="0" w:line="67" w:lineRule="exact"/>
        <w:rPr>
          <w:sz w:val="20"/>
          <w:szCs w:val="20"/>
          <w:color w:val="auto"/>
        </w:rPr>
      </w:pPr>
    </w:p>
    <w:p>
      <w:pPr>
        <w:jc w:val="both"/>
        <w:ind w:left="340" w:hanging="337"/>
        <w:spacing w:after="0" w:line="28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Beneficiary</w:t>
      </w:r>
      <w:r>
        <w:rPr>
          <w:rFonts w:ascii="Arial" w:cs="Arial" w:eastAsia="Arial" w:hAnsi="Arial"/>
          <w:sz w:val="16"/>
          <w:szCs w:val="16"/>
          <w:color w:val="auto"/>
        </w:rPr>
        <w:t xml:space="preserve">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Employer; provided, however, that the designation on file with the Employer at the time of the Participant’s death shall be controlling.</w:t>
      </w:r>
    </w:p>
    <w:p>
      <w:pPr>
        <w:spacing w:after="0" w:line="2" w:lineRule="exact"/>
        <w:rPr>
          <w:sz w:val="20"/>
          <w:szCs w:val="20"/>
          <w:color w:val="auto"/>
        </w:rPr>
      </w:pPr>
    </w:p>
    <w:p>
      <w:pPr>
        <w:ind w:left="340" w:right="280"/>
        <w:spacing w:after="0" w:line="271" w:lineRule="auto"/>
        <w:rPr>
          <w:sz w:val="20"/>
          <w:szCs w:val="20"/>
          <w:color w:val="auto"/>
        </w:rPr>
      </w:pPr>
      <w:r>
        <w:rPr>
          <w:rFonts w:ascii="Arial" w:cs="Arial" w:eastAsia="Arial" w:hAnsi="Arial"/>
          <w:sz w:val="17"/>
          <w:szCs w:val="17"/>
          <w:color w:val="auto"/>
        </w:rPr>
        <w:t>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Employer may reject any such instrument tendered for filing if it contains successive beneficiaries or contingencies unacceptable to it. If all Beneficiaries who survive the Participant shall die before receiving the full amounts payable hereunder, then the payments shall be paid to the estate of the Beneficiary last to die.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Board</w:t>
      </w:r>
      <w:r>
        <w:rPr>
          <w:rFonts w:ascii="Arial" w:cs="Arial" w:eastAsia="Arial" w:hAnsi="Arial"/>
          <w:sz w:val="18"/>
          <w:szCs w:val="18"/>
          <w:color w:val="auto"/>
        </w:rPr>
        <w:t xml:space="preserve"> shall mean the Board of Directors of Brady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Code</w:t>
      </w:r>
      <w:r>
        <w:rPr>
          <w:rFonts w:ascii="Arial" w:cs="Arial" w:eastAsia="Arial" w:hAnsi="Arial"/>
          <w:sz w:val="18"/>
          <w:szCs w:val="18"/>
          <w:color w:val="auto"/>
        </w:rPr>
        <w:t xml:space="preserve"> shall mean the Internal Revenue Code of 1986, as amended, and any regulations issued thereunder.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shall mean the Compensation Committee of the Board.</w:t>
      </w:r>
    </w:p>
    <w:p>
      <w:pPr>
        <w:spacing w:after="0" w:line="131" w:lineRule="exact"/>
        <w:rPr>
          <w:sz w:val="20"/>
          <w:szCs w:val="20"/>
          <w:color w:val="auto"/>
        </w:rPr>
      </w:pPr>
    </w:p>
    <w:p>
      <w:pPr>
        <w:jc w:val="both"/>
        <w:ind w:left="340" w:right="180" w:hanging="337"/>
        <w:spacing w:after="0" w:line="266"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shall mean the total compensation payable to a Participant by the Employer for any period (prior to elective deferrals under this Plan or any other plan or deferral agreement) required to be reported as wages on the Employee’s Form W-2 for income tax purposes, but reduced by all of the following items (even if includable 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3" w:name="page44"/>
    <w:bookmarkEnd w:id="43"/>
    <w:p>
      <w:pPr>
        <w:ind w:left="440"/>
        <w:spacing w:after="0"/>
        <w:rPr>
          <w:sz w:val="20"/>
          <w:szCs w:val="20"/>
          <w:color w:val="auto"/>
        </w:rPr>
      </w:pPr>
      <w:r>
        <w:rPr>
          <w:rFonts w:ascii="Arial" w:cs="Arial" w:eastAsia="Arial" w:hAnsi="Arial"/>
          <w:sz w:val="17"/>
          <w:szCs w:val="17"/>
          <w:color w:val="auto"/>
        </w:rPr>
        <w:t>gross income): reimbursements or other expense allowances, fringe benefits (cash and non-cash), moving expenses and welfare benefits.</w:t>
      </w:r>
    </w:p>
    <w:p>
      <w:pPr>
        <w:spacing w:after="0" w:line="138"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Elective Deferral</w:t>
      </w:r>
      <w:r>
        <w:rPr>
          <w:rFonts w:ascii="Arial" w:cs="Arial" w:eastAsia="Arial" w:hAnsi="Arial"/>
          <w:sz w:val="18"/>
          <w:szCs w:val="18"/>
          <w:color w:val="auto"/>
        </w:rPr>
        <w:t xml:space="preserve"> shall mean the portion of a Participant’s Compensation that is reduced and credited to his Elective Deferral Account pursuant to his election under Section 4.1.</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Elective Deferral Account</w:t>
      </w:r>
      <w:r>
        <w:rPr>
          <w:rFonts w:ascii="Arial" w:cs="Arial" w:eastAsia="Arial" w:hAnsi="Arial"/>
          <w:sz w:val="17"/>
          <w:szCs w:val="17"/>
          <w:color w:val="auto"/>
        </w:rPr>
        <w:t xml:space="preserve"> shall mean the account maintained to record a Participant’s interest in the Plan attributable to his Elective Deferrals.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Eligible Employee</w:t>
      </w:r>
      <w:r>
        <w:rPr>
          <w:rFonts w:ascii="Arial" w:cs="Arial" w:eastAsia="Arial" w:hAnsi="Arial"/>
          <w:sz w:val="18"/>
          <w:szCs w:val="18"/>
          <w:color w:val="auto"/>
        </w:rPr>
        <w:t xml:space="preserve"> shall mean an Employee eligible under Section 3.1 and 3.2(a).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mean an employee of the Employer.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Employer</w:t>
      </w:r>
      <w:r>
        <w:rPr>
          <w:rFonts w:ascii="Arial" w:cs="Arial" w:eastAsia="Arial" w:hAnsi="Arial"/>
          <w:sz w:val="18"/>
          <w:szCs w:val="18"/>
          <w:color w:val="auto"/>
        </w:rPr>
        <w:t xml:space="preserve"> shall mean Brady Corporation and any Affiliate that adopts the Plan with the approval of the Board.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Employer Contribution</w:t>
      </w:r>
      <w:r>
        <w:rPr>
          <w:rFonts w:ascii="Arial" w:cs="Arial" w:eastAsia="Arial" w:hAnsi="Arial"/>
          <w:sz w:val="18"/>
          <w:szCs w:val="18"/>
          <w:color w:val="auto"/>
        </w:rPr>
        <w:t xml:space="preserve"> shall mean the amount credited to a Participant pursuant to Section 4.4.</w:t>
      </w:r>
    </w:p>
    <w:p>
      <w:pPr>
        <w:spacing w:after="0" w:line="131" w:lineRule="exact"/>
        <w:rPr>
          <w:sz w:val="20"/>
          <w:szCs w:val="20"/>
          <w:color w:val="auto"/>
        </w:rPr>
      </w:pPr>
    </w:p>
    <w:p>
      <w:pPr>
        <w:ind w:left="440" w:right="820" w:hanging="431"/>
        <w:spacing w:after="0" w:line="282"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Employer Contribution Account</w:t>
      </w:r>
      <w:r>
        <w:rPr>
          <w:rFonts w:ascii="Arial" w:cs="Arial" w:eastAsia="Arial" w:hAnsi="Arial"/>
          <w:sz w:val="18"/>
          <w:szCs w:val="18"/>
          <w:color w:val="auto"/>
        </w:rPr>
        <w:t xml:space="preserve"> shall mean the account maintained to record a Participant’s interest in the Plan attributable to Employer Contributions and Additional Employer Contributions on his behalf.</w:t>
      </w:r>
    </w:p>
    <w:p>
      <w:pPr>
        <w:spacing w:after="0" w:line="67" w:lineRule="exact"/>
        <w:rPr>
          <w:sz w:val="20"/>
          <w:szCs w:val="20"/>
          <w:color w:val="auto"/>
        </w:rPr>
      </w:pPr>
    </w:p>
    <w:p>
      <w:pPr>
        <w:ind w:left="440" w:right="300" w:hanging="431"/>
        <w:spacing w:after="0" w:line="282"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Excess Compensation</w:t>
      </w:r>
      <w:r>
        <w:rPr>
          <w:rFonts w:ascii="Arial" w:cs="Arial" w:eastAsia="Arial" w:hAnsi="Arial"/>
          <w:sz w:val="18"/>
          <w:szCs w:val="18"/>
          <w:color w:val="auto"/>
        </w:rPr>
        <w:t xml:space="preserve"> shall mean the portion of Compensation earned by a Participant during a Plan Year after the date the Compensation he has earned during the Plan Year equals the limit in Code Section 401(a)(17) for such Plan Year.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Matching Contribution</w:t>
      </w:r>
      <w:r>
        <w:rPr>
          <w:rFonts w:ascii="Arial" w:cs="Arial" w:eastAsia="Arial" w:hAnsi="Arial"/>
          <w:sz w:val="18"/>
          <w:szCs w:val="18"/>
          <w:color w:val="auto"/>
        </w:rPr>
        <w:t xml:space="preserve"> shall mean the amount credited to a Participant pursuant to Section 4.3.</w:t>
      </w:r>
    </w:p>
    <w:p>
      <w:pPr>
        <w:spacing w:after="0" w:line="131" w:lineRule="exact"/>
        <w:rPr>
          <w:sz w:val="20"/>
          <w:szCs w:val="20"/>
          <w:color w:val="auto"/>
        </w:rPr>
      </w:pPr>
    </w:p>
    <w:p>
      <w:pPr>
        <w:ind w:left="440" w:right="860" w:hanging="431"/>
        <w:spacing w:after="0" w:line="282"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color w:val="auto"/>
        </w:rPr>
        <w:t>Matching Contribution Account</w:t>
      </w:r>
      <w:r>
        <w:rPr>
          <w:rFonts w:ascii="Arial" w:cs="Arial" w:eastAsia="Arial" w:hAnsi="Arial"/>
          <w:sz w:val="18"/>
          <w:szCs w:val="18"/>
          <w:color w:val="auto"/>
        </w:rPr>
        <w:t xml:space="preserve"> shall mean the account maintained to record a Participant’s interest in the Plan attributable to Matching Contributions and Additional Matching Contributions on his behalf.</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shall mean (i) an Eligible Employee under Section 3.1 and 3.2(a) or (ii) a former Eligible Employee who has an Account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color w:val="auto"/>
        </w:rPr>
        <w:t>Plan</w:t>
      </w:r>
      <w:r>
        <w:rPr>
          <w:rFonts w:ascii="Arial" w:cs="Arial" w:eastAsia="Arial" w:hAnsi="Arial"/>
          <w:sz w:val="16"/>
          <w:szCs w:val="16"/>
          <w:color w:val="auto"/>
        </w:rPr>
        <w:t xml:space="preserve"> shall mean the Brady Corporation Restoration Plan, as set forth in this document, as the same may be amended or restated from time to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Plan Year</w:t>
      </w:r>
      <w:r>
        <w:rPr>
          <w:rFonts w:ascii="Arial" w:cs="Arial" w:eastAsia="Arial" w:hAnsi="Arial"/>
          <w:sz w:val="18"/>
          <w:szCs w:val="18"/>
          <w:color w:val="auto"/>
        </w:rPr>
        <w:t xml:space="preserve"> shall mean the calendar year.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color w:val="auto"/>
        </w:rPr>
        <w:t>Qualified 401(k) Plan</w:t>
      </w:r>
      <w:r>
        <w:rPr>
          <w:rFonts w:ascii="Arial" w:cs="Arial" w:eastAsia="Arial" w:hAnsi="Arial"/>
          <w:sz w:val="17"/>
          <w:szCs w:val="17"/>
          <w:color w:val="auto"/>
        </w:rPr>
        <w:t xml:space="preserve"> shall mean the Brady Matched 401(k) Plan (or any successor plan thereto qualified under Code §§ 401(a) and 401(k)).</w:t>
      </w:r>
    </w:p>
    <w:p>
      <w:pPr>
        <w:spacing w:after="0" w:line="142" w:lineRule="exact"/>
        <w:rPr>
          <w:sz w:val="20"/>
          <w:szCs w:val="20"/>
          <w:color w:val="auto"/>
        </w:rPr>
      </w:pPr>
    </w:p>
    <w:p>
      <w:pPr>
        <w:ind w:left="440" w:right="120" w:hanging="431"/>
        <w:spacing w:after="0" w:line="282"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shall have the meaning set forth in IRS Regulation Section 1.409A-1 the requirements of which are summarized in part as follows: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44" w:name="page45"/>
    <w:bookmarkEnd w:id="44"/>
    <w:p>
      <w:pPr>
        <w:ind w:left="440" w:right="60" w:hanging="436"/>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The Participant shall have a Separation from Service with the Employer if the Participant dies, retires, or otherwise has a termination of employment with the Employer. However, for purposes of this Section 2.24,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Employer under an applicable statute or by contract. For purposes of this paragraph</w:t>
      </w:r>
    </w:p>
    <w:p>
      <w:pPr>
        <w:spacing w:after="0" w:line="1" w:lineRule="exact"/>
        <w:rPr>
          <w:rFonts w:ascii="Arial" w:cs="Arial" w:eastAsia="Arial" w:hAnsi="Arial"/>
          <w:sz w:val="16"/>
          <w:szCs w:val="16"/>
          <w:color w:val="auto"/>
        </w:rPr>
      </w:pPr>
    </w:p>
    <w:p>
      <w:pPr>
        <w:ind w:left="440"/>
        <w:spacing w:after="0" w:line="269" w:lineRule="auto"/>
        <w:rPr>
          <w:rFonts w:ascii="Arial" w:cs="Arial" w:eastAsia="Arial" w:hAnsi="Arial"/>
          <w:sz w:val="16"/>
          <w:szCs w:val="16"/>
          <w:color w:val="auto"/>
        </w:rPr>
      </w:pPr>
      <w:r>
        <w:rPr>
          <w:rFonts w:ascii="Arial" w:cs="Arial" w:eastAsia="Arial" w:hAnsi="Arial"/>
          <w:sz w:val="17"/>
          <w:szCs w:val="17"/>
          <w:color w:val="auto"/>
        </w:rPr>
        <w:t>(a) of this Section 2.24, a leave of absence constitutes a bona fide leave of absence only if there is a reasonable expectation that the Participant will return to perform services for the Employer.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may be substituted for such six-month period.</w:t>
      </w:r>
    </w:p>
    <w:p>
      <w:pPr>
        <w:spacing w:after="0" w:line="86" w:lineRule="exact"/>
        <w:rPr>
          <w:rFonts w:ascii="Arial" w:cs="Arial" w:eastAsia="Arial" w:hAnsi="Arial"/>
          <w:sz w:val="16"/>
          <w:szCs w:val="16"/>
          <w:color w:val="auto"/>
        </w:rPr>
      </w:pPr>
    </w:p>
    <w:p>
      <w:pPr>
        <w:ind w:left="440" w:right="60" w:hanging="436"/>
        <w:spacing w:after="0" w:line="269"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Whether a termination of employment has occurred is determined based on whether the facts and circumstances indicate that the Employer and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Employer if the Participant has been providing services to the Employer less than 36 months). Facts and circumstances to be considered in making this determination include, but are not limited to, whether the Participant continues to be treated as an employee for other purposes (such as continuation of salary and participation in employee benefit programs), whether similarly situated service providers have been treated consistently, and whether the Participant is permitted, and realistically available, to perform services for other service recipients in the same line of business. The Participant is presumed to have Separated from Service where the level of bona fide services performed decreases to a level equal to 20 percent or less of the average level of services performed by the employee during the immediately</w:t>
      </w:r>
    </w:p>
    <w:p>
      <w:pPr>
        <w:spacing w:after="0" w:line="1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1043" w:right="279" w:bottom="1440" w:gutter="0" w:footer="0" w:header="0"/>
        </w:sectPr>
      </w:pPr>
    </w:p>
    <w:bookmarkStart w:id="45" w:name="page46"/>
    <w:bookmarkEnd w:id="45"/>
    <w:p>
      <w:pPr>
        <w:ind w:left="440"/>
        <w:spacing w:after="0" w:line="285" w:lineRule="auto"/>
        <w:rPr>
          <w:sz w:val="20"/>
          <w:szCs w:val="20"/>
          <w:color w:val="auto"/>
        </w:rPr>
      </w:pPr>
      <w:r>
        <w:rPr>
          <w:rFonts w:ascii="Arial" w:cs="Arial" w:eastAsia="Arial" w:hAnsi="Arial"/>
          <w:sz w:val="16"/>
          <w:szCs w:val="16"/>
          <w:color w:val="auto"/>
        </w:rPr>
        <w:t>preceding 36-month period. The Participant will be presumed not to have Separated from Service where the level of bona fide services performed continues at a level that is 50 percent or more of the average level of service performed by the Participant during the immediately preceding 36-month period. No presumption applies to a decrease in the level of bona fide services performed to a level that is more than 20 percent and less than 50 percent of the average level of bona fide services performed during the immediately preceding 36-month period. The presumption is rebuttable by demonstrating that the Employer and the Participant reasonably anticipated that as of a certain date the level of bona fide services would be reduced permanently to a level less than or equal to 20 percent of the average level of bona fide services provided during the immediately preceding 36-month period or the full period of services to the Employer if the Participant has been providing services to the Employer less than 36 months (or that the level of bona fide services would not be so reduced). For example, the Participant may demonstrate that the Employer and the Participant reasonably anticipated that the Participant would cease providing services, but that, after the original cessation of services, business circumstances such as termination of the Participant’s replacement caused the Participant to return to employment. Although the Participant’s return to employment may cause the Participant to be presumed to have continued in employment because the Participant is providing services at a rate equal to the rate at which the Participant was providing services before the termination of employment, the facts and circumstances in this case would demonstrate that at the time the Participant originally ceased to provide services, the Employer reasonably anticipated that the Participant would not provide services in the future. For purposes of this paragraph (b), for periods during which the Participant is on a paid bona fide leave of absence (as defined in paragraph (a) of this Section 2.24) and has not otherwise terminated employment pursuant to paragraph (a) of this Section 2.24, the Participant is treated as providing bona fide services at a level equal to the level of services that the Participant would have been required to perform to receive the compensation paid with respect to such leave of absence. Periods during which the Participant is on an unpaid bona fide leave of absence (as defined in paragraph (a) of this Section 2.24) and has not otherwise terminated employment pursuant to paragraph (a) of this Section 2.24, are disregarded for purposes of this paragraph (b) of this Section 2.24 (including for purposes of determining the applicable 36-month (or shorter) period).</w:t>
      </w:r>
    </w:p>
    <w:p>
      <w:pPr>
        <w:spacing w:after="0" w:line="76" w:lineRule="exact"/>
        <w:rPr>
          <w:sz w:val="20"/>
          <w:szCs w:val="20"/>
          <w:color w:val="auto"/>
        </w:rPr>
      </w:pPr>
    </w:p>
    <w:p>
      <w:pPr>
        <w:ind w:left="440" w:right="20" w:hanging="436"/>
        <w:spacing w:after="0" w:line="270"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Asset Purchase Transactions</w:t>
      </w:r>
      <w:r>
        <w:rPr>
          <w:rFonts w:ascii="Arial" w:cs="Arial" w:eastAsia="Arial" w:hAnsi="Arial"/>
          <w:sz w:val="17"/>
          <w:szCs w:val="17"/>
          <w:color w:val="auto"/>
        </w:rPr>
        <w:t>. Where as part of a sale or other disposition of assets by the Employer as seller to an unrelated service recipient (buyer), a Participant of the Employer would otherwise experience a Separation from Service with the Employer, the Employer and the buyer may retain the discretion to specify, and may specify, whether a Participant providing services to the Employer immediately before the asset purchase transaction and providing services to the buyer after and in connection with the asset purchase transaction has experienced a Separation from Service, provided that the asset purchase transaction results from bona fide, arm’s length negotiations, all service providers providing services to the Employer immediately before the asset purchase transaction and providing services to the buyer after and in connection with the asset purchase transaction are treated consistently (regardless of position at the Employer) for purposes of applying the provisions of any nonqualified deferred compensation plan, and such treatment is specified in writing no later than the closing date of the asset purchase transaction. For purposes of this paragraph (c), references to a sale or other disposition of assets, or an asset purchase transaction,</w:t>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refer only to a transfer of substantial assets, such as a plant or division or substantially all the assets of a trade or business.</w:t>
      </w:r>
    </w:p>
    <w:p>
      <w:pPr>
        <w:spacing w:after="0" w:line="131" w:lineRule="exact"/>
        <w:rPr>
          <w:sz w:val="20"/>
          <w:szCs w:val="20"/>
          <w:color w:val="auto"/>
        </w:rPr>
      </w:pPr>
    </w:p>
    <w:p>
      <w:pPr>
        <w:ind w:left="660" w:right="100" w:hanging="436"/>
        <w:spacing w:after="0" w:line="29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Dual Status</w:t>
      </w:r>
      <w:r>
        <w:rPr>
          <w:rFonts w:ascii="Arial" w:cs="Arial" w:eastAsia="Arial" w:hAnsi="Arial"/>
          <w:sz w:val="16"/>
          <w:szCs w:val="16"/>
          <w:color w:val="auto"/>
        </w:rPr>
        <w:t>. If a Participant provides services both as an employee of the Employer and as an independent contractor of the Employer, the Participant must separate from service both as an employee and as an independent contractor to be treated as having Separated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a Separation from Service until the Participant has ceased providing services in both capacities. Notwithstanding the foregoing, if a Participant provides services both as an employee of the Employer and a member of the board of directors of the Employer, the services provided as a director are not taken into account in determining whether the Participant has a Separation from Service as an employee for purposes of this Plan unless this Plan is aggregated with any plan in which the Participant participates as a director under IRS Regulation Section 1.409A-1(c)(2)(ii).</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b w:val="1"/>
          <w:bCs w:val="1"/>
          <w:color w:val="auto"/>
        </w:rPr>
        <w:t>Specified Employee</w:t>
      </w:r>
      <w:r>
        <w:rPr>
          <w:rFonts w:ascii="Arial" w:cs="Arial" w:eastAsia="Arial" w:hAnsi="Arial"/>
          <w:sz w:val="16"/>
          <w:szCs w:val="16"/>
          <w:color w:val="auto"/>
        </w:rPr>
        <w:t xml:space="preserve"> shall have the meaning set forth in IRS Regulation Section 1.409A-1 the requirements of which are summarized in part as follows:</w:t>
      </w:r>
    </w:p>
    <w:p>
      <w:pPr>
        <w:spacing w:after="0" w:line="144" w:lineRule="exact"/>
        <w:rPr>
          <w:sz w:val="20"/>
          <w:szCs w:val="20"/>
          <w:color w:val="auto"/>
        </w:rPr>
      </w:pPr>
    </w:p>
    <w:p>
      <w:pPr>
        <w:ind w:left="660" w:right="40" w:hanging="436"/>
        <w:spacing w:after="0" w:line="288"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“Specified Employee” means a Participant who as of the date of his separation from service is a “key employee” as defined in Code Section 416(i) (disregarding Section 416(i)(5)), i.e., an employee who at any time during the 12 month period ending on an identification date is an officer of the Employer or one of its affiliates having an annual compensation as defined in IRS Regulation Section 1.409A-1(i)(2) greater than $130,000, a 5% owner of the Employer or one of its affiliates or a 1% owner of the Employer or one of its affiliates having compensation of more than $150,000. The $130,000 amount described in the preceding sentence shall be adjusted for cost of living increases in such amounts and at such times as specified by the Internal Revenue Service. Further, no more than 50 employees (or, if lesser, the greater of 3 or 10% of the employees) shall be treated as officers. The foregoing definition shall be interpreted at all times in a manner consistent with such regulations as may be adopted from time to time by the Internal Revenue Service for purposes of applying the key employee definition of Section 416(i) to the requirements of Code Section 409A. If a person is a key employee as of an identification date, the person is treated as a Specified Employee for the 12-month period beginning on the first day of the fourth month following the identification date. The “identification date” is December 31.</w:t>
      </w:r>
    </w:p>
    <w:p>
      <w:pPr>
        <w:spacing w:after="0" w:line="74" w:lineRule="exact"/>
        <w:rPr>
          <w:rFonts w:ascii="Arial" w:cs="Arial" w:eastAsia="Arial" w:hAnsi="Arial"/>
          <w:sz w:val="16"/>
          <w:szCs w:val="16"/>
          <w:color w:val="auto"/>
        </w:rPr>
      </w:pPr>
    </w:p>
    <w:p>
      <w:pPr>
        <w:ind w:left="660" w:right="640" w:hanging="43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 public offering, merger, acquisition, spin-off, reorganization or other corporate transaction, “Specified Employees” shall be determined as provided in IRS Reg. Section 1.409A-(1)(i)(6).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ind w:left="380" w:hanging="431"/>
        <w:spacing w:after="0" w:line="290"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b w:val="1"/>
          <w:bCs w:val="1"/>
          <w:color w:val="auto"/>
        </w:rPr>
        <w:t>Unforeseeable Emergency</w:t>
      </w:r>
      <w:r>
        <w:rPr>
          <w:rFonts w:ascii="Arial" w:cs="Arial" w:eastAsia="Arial" w:hAnsi="Arial"/>
          <w:sz w:val="16"/>
          <w:szCs w:val="16"/>
          <w:color w:val="auto"/>
        </w:rPr>
        <w:t xml:space="preserve">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040" w:right="29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Eligibility to Participate</w:t>
      </w:r>
    </w:p>
    <w:p>
      <w:pPr>
        <w:spacing w:after="0" w:line="135" w:lineRule="exact"/>
        <w:rPr>
          <w:sz w:val="20"/>
          <w:szCs w:val="20"/>
          <w:color w:val="auto"/>
        </w:rPr>
      </w:pPr>
    </w:p>
    <w:p>
      <w:pPr>
        <w:jc w:val="both"/>
        <w:ind w:left="340" w:right="260"/>
        <w:spacing w:after="0" w:line="286" w:lineRule="auto"/>
        <w:rPr>
          <w:sz w:val="20"/>
          <w:szCs w:val="20"/>
          <w:color w:val="auto"/>
        </w:rPr>
      </w:pPr>
      <w:r>
        <w:rPr>
          <w:rFonts w:ascii="Arial" w:cs="Arial" w:eastAsia="Arial" w:hAnsi="Arial"/>
          <w:sz w:val="17"/>
          <w:szCs w:val="17"/>
          <w:color w:val="auto"/>
        </w:rPr>
        <w:t>An Employee shall be eligible to elect deferrals and receive Employer contributions in accordance with the provisions of Article IV beginning on the date the Committee advises the Employee he is eligible because the Committee in its discretion has determined that the Employee may reasonably be anticipated to earn Compensation from the Employer in excess of the limit described in Code Section 401(a)(17).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Continuation of Eligibility</w:t>
      </w:r>
    </w:p>
    <w:p>
      <w:pPr>
        <w:spacing w:after="0" w:line="121" w:lineRule="exact"/>
        <w:rPr>
          <w:sz w:val="20"/>
          <w:szCs w:val="20"/>
          <w:color w:val="auto"/>
        </w:rPr>
      </w:pPr>
    </w:p>
    <w:p>
      <w:pPr>
        <w:ind w:left="660" w:hanging="43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Employee shall continue to be eligible to elect deferrals and receive Employer contributions in accordance with the provisions of Article IV only for so long as he continues in employment with the Employer.</w:t>
      </w:r>
    </w:p>
    <w:p>
      <w:pPr>
        <w:spacing w:after="0" w:line="75"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who has a Separation from Service shall cease to be eligible and shall again be eligible to elect deferrals and receive Employer contributions in accordance with the provisions of Article IV only in accordance with Section 3.1.</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6" w:right="299" w:bottom="1440" w:gutter="0" w:footer="0" w:header="0"/>
        </w:sectPr>
      </w:pPr>
    </w:p>
    <w:bookmarkStart w:id="49" w:name="page50"/>
    <w:bookmarkEnd w:id="49"/>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DEFERRALS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Elective Deferrals</w:t>
      </w:r>
    </w:p>
    <w:p>
      <w:pPr>
        <w:spacing w:after="0" w:line="121" w:lineRule="exact"/>
        <w:rPr>
          <w:sz w:val="20"/>
          <w:szCs w:val="20"/>
          <w:color w:val="auto"/>
        </w:rPr>
      </w:pPr>
    </w:p>
    <w:p>
      <w:pPr>
        <w:ind w:left="660" w:right="180" w:hanging="43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Eligible Employee may elect an Elective Deferral of up to four percent (4%) of his Excess Compensation for services performed during a Plan Year by completing and filing such forms as may be required by the Employer.</w:t>
      </w:r>
    </w:p>
    <w:p>
      <w:pPr>
        <w:spacing w:after="0" w:line="75" w:lineRule="exact"/>
        <w:rPr>
          <w:rFonts w:ascii="Arial" w:cs="Arial" w:eastAsia="Arial" w:hAnsi="Arial"/>
          <w:sz w:val="18"/>
          <w:szCs w:val="18"/>
          <w:color w:val="auto"/>
        </w:rPr>
      </w:pPr>
    </w:p>
    <w:p>
      <w:pPr>
        <w:ind w:left="660" w:right="100" w:hanging="43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Eligible Employee’s Elective Deferral election under paragraph (a) of this Section shall apply to and reduce his Excess Compensation, i.e., the portion of his Compensation earned during a Plan Year after the date the Compensation he has earned during the Plan Year equals the limit in Code Section 401(a)(17) for such Plan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Additional Rules Governing Deferral Elections</w:t>
      </w:r>
    </w:p>
    <w:p>
      <w:pPr>
        <w:spacing w:after="0" w:line="121" w:lineRule="exact"/>
        <w:rPr>
          <w:sz w:val="20"/>
          <w:szCs w:val="20"/>
          <w:color w:val="auto"/>
        </w:rPr>
      </w:pPr>
    </w:p>
    <w:p>
      <w:pPr>
        <w:ind w:left="660" w:right="300" w:hanging="436"/>
        <w:spacing w:after="0" w:line="29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Eligible Employee’s election under Section 4.1 shall (i) if made within the thirty (30) day period following the date he is first eligible to participate in the Plan, be effective for that portion of his Excess Compensation to be paid for services performed subsequent to the election, and</w:t>
      </w:r>
    </w:p>
    <w:p>
      <w:pPr>
        <w:ind w:left="660" w:right="80" w:firstLine="10"/>
        <w:spacing w:after="0" w:line="261" w:lineRule="auto"/>
        <w:tabs>
          <w:tab w:leader="none" w:pos="9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not made within said thirty (30) day period, be effective for Excess Compensation paid for services performed during the Plan Year following the date the election is received by the Employer, or its designee.</w:t>
      </w:r>
    </w:p>
    <w:p>
      <w:pPr>
        <w:spacing w:after="0" w:line="89" w:lineRule="exact"/>
        <w:rPr>
          <w:rFonts w:ascii="Arial" w:cs="Arial" w:eastAsia="Arial" w:hAnsi="Arial"/>
          <w:sz w:val="18"/>
          <w:szCs w:val="18"/>
          <w:color w:val="auto"/>
        </w:rPr>
      </w:pPr>
    </w:p>
    <w:p>
      <w:pPr>
        <w:ind w:left="660" w:right="40" w:hanging="436"/>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Eligible Employee’s election for a Plan Year under this Article IV shall be irrevocable after the last day upon which such election is permitted to be made for such Plan Year and shall continue in effect for subsequent Plan Years until changed or revoked pursuant to paragraph (c) below.</w:t>
      </w:r>
    </w:p>
    <w:p>
      <w:pPr>
        <w:spacing w:after="0" w:line="29" w:lineRule="exact"/>
        <w:rPr>
          <w:rFonts w:ascii="Arial" w:cs="Arial" w:eastAsia="Arial" w:hAnsi="Arial"/>
          <w:sz w:val="16"/>
          <w:szCs w:val="16"/>
          <w:color w:val="auto"/>
        </w:rPr>
      </w:pPr>
    </w:p>
    <w:p>
      <w:pPr>
        <w:ind w:left="660" w:hanging="43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Eligible Employee may change or revoke his election which would otherwise be effective for a Plan Year by completing and filing such forms as may be required by the Employer by the last day of the preceding Plan Year.</w:t>
      </w:r>
    </w:p>
    <w:p>
      <w:pPr>
        <w:spacing w:after="0" w:line="75" w:lineRule="exact"/>
        <w:rPr>
          <w:rFonts w:ascii="Arial" w:cs="Arial" w:eastAsia="Arial" w:hAnsi="Arial"/>
          <w:sz w:val="18"/>
          <w:szCs w:val="18"/>
          <w:color w:val="auto"/>
        </w:rPr>
      </w:pPr>
    </w:p>
    <w:p>
      <w:pPr>
        <w:ind w:left="660" w:right="240" w:hanging="436"/>
        <w:spacing w:after="0" w:line="27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paragraphs (a), (b) and (c), in the event that a Participant makes application for a hardship distribution under Section 7.3 and the Administrator determines that an Unforeseeable Emergency exists, his deferral election otherwise in effect under this Article IV and any other nonqualified deferred compensation plan of the account balance type shall immediately terminate upon such determination. To resume deferrals thereafter, a Participant must make an election satisfying the provisions of paragraph (c).</w:t>
      </w:r>
    </w:p>
    <w:p>
      <w:pPr>
        <w:spacing w:after="0" w:line="76" w:lineRule="exact"/>
        <w:rPr>
          <w:rFonts w:ascii="Arial" w:cs="Arial" w:eastAsia="Arial" w:hAnsi="Arial"/>
          <w:sz w:val="17"/>
          <w:szCs w:val="17"/>
          <w:color w:val="auto"/>
        </w:rPr>
      </w:pPr>
    </w:p>
    <w:p>
      <w:pPr>
        <w:ind w:left="660" w:right="140" w:hanging="436"/>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paragraphs (a), (b) and (c), if an Eligible Employee receives a withdrawal of his elective contributions under the Qualified 401(k) Plan or any other 401(k) plan (i.e., a qualified cash or deferred arrangement) of the Employer (or any affiliate treated under the Code as a single employer with the Employer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6" w:right="279" w:bottom="1440" w:gutter="0" w:footer="0" w:header="0"/>
        </w:sectPr>
      </w:pPr>
    </w:p>
    <w:bookmarkStart w:id="50" w:name="page51"/>
    <w:bookmarkEnd w:id="50"/>
    <w:p>
      <w:pPr>
        <w:ind w:left="660" w:right="120"/>
        <w:spacing w:after="0" w:line="255" w:lineRule="auto"/>
        <w:rPr>
          <w:sz w:val="20"/>
          <w:szCs w:val="20"/>
          <w:color w:val="auto"/>
        </w:rPr>
      </w:pPr>
      <w:r>
        <w:rPr>
          <w:rFonts w:ascii="Arial" w:cs="Arial" w:eastAsia="Arial" w:hAnsi="Arial"/>
          <w:sz w:val="18"/>
          <w:szCs w:val="18"/>
          <w:color w:val="auto"/>
        </w:rPr>
        <w:t>for purposes of the 401(k) plan) due to financial hardship pursuant to IRS Regulation Section 1.40(k)-1(d)(3) or its successor, his deferral election under this Section 4.1 shall be revoked automatically (effective on the date such hardship withdrawal is paid). In addition, such Eligible Employee shall not be eligible to have another deferral election in effect until the first day of the Plan Year which begins after a six month suspension period that begins on the first day of the calendar month following the date the hardship withdrawal is paid. Such Eligible Employee may then resume deferrals by making an election, pursuant to the rules of paragraph (c) above, effective for any Plan Year which begins after the end of such suspension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Matching Contribution</w:t>
      </w:r>
    </w:p>
    <w:p>
      <w:pPr>
        <w:spacing w:after="0" w:line="13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An Eligible Employee shall be credited with a Matching Contribution for a Plan Year in an amount equal to the amount of the Elective Deferral made on the Eligible Employee’s behalf for the Plan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Employer Contribution</w:t>
      </w:r>
    </w:p>
    <w:p>
      <w:pPr>
        <w:spacing w:after="0" w:line="135" w:lineRule="exact"/>
        <w:rPr>
          <w:sz w:val="20"/>
          <w:szCs w:val="20"/>
          <w:color w:val="auto"/>
        </w:rPr>
      </w:pPr>
    </w:p>
    <w:p>
      <w:pPr>
        <w:ind w:left="340" w:right="340"/>
        <w:spacing w:after="0" w:line="308" w:lineRule="auto"/>
        <w:rPr>
          <w:sz w:val="20"/>
          <w:szCs w:val="20"/>
          <w:color w:val="auto"/>
        </w:rPr>
      </w:pPr>
      <w:r>
        <w:rPr>
          <w:rFonts w:ascii="Arial" w:cs="Arial" w:eastAsia="Arial" w:hAnsi="Arial"/>
          <w:sz w:val="17"/>
          <w:szCs w:val="17"/>
          <w:color w:val="auto"/>
        </w:rPr>
        <w:t>An Eligible Employee shall be credited with an Employer Contribution for a Plan Year in an amount equal to 4% of the Eligible Employee’s Excess Compensation for the Plan Year; provided the Eligible Employee remains in the Employer’s employ on the last day of such Plan Year.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Additional Matching Contribution</w:t>
      </w:r>
    </w:p>
    <w:p>
      <w:pPr>
        <w:spacing w:after="0" w:line="135"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color w:val="auto"/>
        </w:rPr>
        <w:t>There shall be credited to the Participant’s Matching Contribution Account for a Plan Year an amount in addition to amounts credited under Section 4.3 for the same year. The amount credited under this Section 4.5 shall be equal to .04(X-(Y-Z)) where X is the limit in Code Section 401(a)(17) for such Plan Year, Y is the Participant’s Compensation for the Plan Year as defined in Section 2.9 and Z is the amount of elective deferrals for the Plan Year under all nonqualified deferred compensation plans and agreements (including this Plan) of the Employer covering the Participant. No amount shall be credited under this Section if X does not exceed the remainder of Y minus Z.</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Additional Employer Contribution</w:t>
      </w:r>
    </w:p>
    <w:p>
      <w:pPr>
        <w:spacing w:after="0" w:line="135" w:lineRule="exact"/>
        <w:rPr>
          <w:sz w:val="20"/>
          <w:szCs w:val="20"/>
          <w:color w:val="auto"/>
        </w:rPr>
      </w:pPr>
    </w:p>
    <w:p>
      <w:pPr>
        <w:ind w:left="340" w:right="160"/>
        <w:spacing w:after="0" w:line="291" w:lineRule="auto"/>
        <w:rPr>
          <w:sz w:val="20"/>
          <w:szCs w:val="20"/>
          <w:color w:val="auto"/>
        </w:rPr>
      </w:pPr>
      <w:r>
        <w:rPr>
          <w:rFonts w:ascii="Arial" w:cs="Arial" w:eastAsia="Arial" w:hAnsi="Arial"/>
          <w:sz w:val="16"/>
          <w:szCs w:val="16"/>
          <w:color w:val="auto"/>
        </w:rPr>
        <w:t>As of the last day of a Plan Year, there shall be credited to the Participant’s Employer Contribution Account an amount in addition to amounts credited under Section 4.4 for the same year. The amount credited under this Section 4.6 shall be equal to .04(X-(Y-Z)) where X is the limit in Code</w:t>
      </w:r>
    </w:p>
    <w:p>
      <w:pPr>
        <w:ind w:left="340" w:right="240"/>
        <w:spacing w:after="0" w:line="277" w:lineRule="auto"/>
        <w:rPr>
          <w:sz w:val="20"/>
          <w:szCs w:val="20"/>
          <w:color w:val="auto"/>
        </w:rPr>
      </w:pPr>
      <w:r>
        <w:rPr>
          <w:rFonts w:ascii="Arial" w:cs="Arial" w:eastAsia="Arial" w:hAnsi="Arial"/>
          <w:sz w:val="17"/>
          <w:szCs w:val="17"/>
          <w:color w:val="auto"/>
        </w:rPr>
        <w:t>Section 401(a)(17) for such Plan Year, Y is the Participant’s Compensation for the Plan Year as defined in Section 2.9 and Z is the amount of elective deferrals for the Plan Year under all nonqualified deferred compensation plans and agreements (other than this Plan) of the Employer covering the Participant. No amount shall be credited under this Section if X does not exceed the remainder of Y minus Z.”</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ACCOUNTS AND CREDITS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Credits to Accounts</w:t>
      </w:r>
    </w:p>
    <w:p>
      <w:pPr>
        <w:spacing w:after="0" w:line="121" w:lineRule="exact"/>
        <w:rPr>
          <w:sz w:val="20"/>
          <w:szCs w:val="20"/>
          <w:color w:val="auto"/>
        </w:rPr>
      </w:pPr>
    </w:p>
    <w:p>
      <w:pPr>
        <w:ind w:left="900" w:right="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amount equal to the amount by which a Participant’s Compensation has been reduced pursuant to his deferral election under Section 4.1 shall be credited to his Elective Deferral Account.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Matching Contributions and Additional Matching Contributions on a Participant’s behalf shall be credited to his Matching Contribution Account.</w:t>
      </w:r>
    </w:p>
    <w:p>
      <w:pPr>
        <w:spacing w:after="0" w:line="153" w:lineRule="exact"/>
        <w:rPr>
          <w:rFonts w:ascii="Arial" w:cs="Arial" w:eastAsia="Arial" w:hAnsi="Arial"/>
          <w:sz w:val="16"/>
          <w:szCs w:val="16"/>
          <w:color w:val="auto"/>
        </w:rPr>
      </w:pPr>
    </w:p>
    <w:p>
      <w:pPr>
        <w:ind w:left="900" w:right="6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Employer Contributions and Additional Employer Contributions on a Participant’s behalf shall be credited to his Employer Contribution Account.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Said credits shall be made at times established by the Committee but no later than 60 days after the last day of the Plan Year to which they relate.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Account shall also be credited or charged with deemed earnings and losses as if it were invested in accordance with Section 5.3.</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No Funding</w:t>
      </w:r>
    </w:p>
    <w:p>
      <w:pPr>
        <w:spacing w:after="0" w:line="121" w:lineRule="exact"/>
        <w:rPr>
          <w:sz w:val="20"/>
          <w:szCs w:val="20"/>
          <w:color w:val="auto"/>
        </w:rPr>
      </w:pPr>
    </w:p>
    <w:p>
      <w:pPr>
        <w:ind w:left="900" w:right="100" w:hanging="446"/>
        <w:spacing w:after="0" w:line="255"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 of any individual to receive payment under the provisions of this Plan shall be an unsecured claim against the general assets of the Employer, and no provisions contained in this Plan, nor any action taken pursuant to this Plan, shall be construed to give any individual at any time a security interest in any asset of the Employer, of any affiliated company, or of the stockholders of the Employer. The liabilities of the Employer to any individual pursuant to this Plan shall be those of a debtor pursuant to such contractual obligations as are created by this Plan and, to the extent any person acquires a right to receive payment from the Employer under this Plan, such right shall be no greater than the right of any unsecured general creditor of the Employer.</w:t>
      </w:r>
    </w:p>
    <w:p>
      <w:pPr>
        <w:spacing w:after="0" w:line="98"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Employer may establish a grantor trust (but shall not be required to do so) to which shall be contributed (subject to the claims of the general creditors of the Employer) the amounts credited to the Accounts. If a grantor trust is so established, except as specifically provided otherwise by the terms of the trust agreement for the trust, payment by the trust of the amounts due to a Participant or his Beneficiary under the Plan shall be considered a payment by the Employer for purposes of the Plan.</w:t>
      </w:r>
    </w:p>
    <w:p>
      <w:pPr>
        <w:spacing w:after="0" w:line="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Deemed Investment of Accounts</w:t>
      </w:r>
    </w:p>
    <w:p>
      <w:pPr>
        <w:spacing w:after="0" w:line="121" w:lineRule="exact"/>
        <w:rPr>
          <w:sz w:val="20"/>
          <w:szCs w:val="20"/>
          <w:color w:val="auto"/>
        </w:rPr>
      </w:pPr>
    </w:p>
    <w:p>
      <w:pPr>
        <w:ind w:left="900" w:right="18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Committee shall select one or more investment funds for the deemed investment of Accounts. However, in no event shall the Employer be required to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52" w:name="page53"/>
    <w:bookmarkEnd w:id="52"/>
    <w:p>
      <w:pPr>
        <w:ind w:left="900" w:right="280"/>
        <w:spacing w:after="0" w:line="277" w:lineRule="auto"/>
        <w:rPr>
          <w:sz w:val="20"/>
          <w:szCs w:val="20"/>
          <w:color w:val="auto"/>
        </w:rPr>
      </w:pPr>
      <w:r>
        <w:rPr>
          <w:rFonts w:ascii="Arial" w:cs="Arial" w:eastAsia="Arial" w:hAnsi="Arial"/>
          <w:sz w:val="18"/>
          <w:szCs w:val="18"/>
          <w:color w:val="auto"/>
        </w:rPr>
        <w:t>make any such investment in the investment funds, and to the extent such investments are made, such investments shall remain an asset of the Employer subject to the claims of its general creditors.</w:t>
      </w:r>
    </w:p>
    <w:p>
      <w:pPr>
        <w:spacing w:after="0" w:line="76" w:lineRule="exact"/>
        <w:rPr>
          <w:sz w:val="20"/>
          <w:szCs w:val="20"/>
          <w:color w:val="auto"/>
        </w:rPr>
      </w:pPr>
    </w:p>
    <w:p>
      <w:pPr>
        <w:ind w:left="900" w:right="100" w:hanging="446"/>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the date credited to the respective Account, a Participant’s Elective Deferrals, Matching Contributions, Additional Matching Contributions, Employer Contributions and Additional Employer Contributions shall be deemed to be invested in one or more of the investment funds designated by the Participant for such deemed investment. Once made, the Participant’s investment designation shall continue in effect for all future Elective Deferrals, Matching Contributions, Additional Matching Contributions, Employer Contributions and Additional Employer Contributions until changed by the Participant. Any such change may be elected by the Participant at the times established by the Committee, which shall be no less frequently than quarterly, and shall be effective only for Elective Deferrals, Matching Contributions, Additional Matching Contributions, Employer Contributions and Additional Employer Contributions credited from and after its effective date.</w:t>
      </w:r>
    </w:p>
    <w:p>
      <w:pPr>
        <w:spacing w:after="0" w:line="72"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Participant may elect to reallocate the balance of his Accounts deemed to be invested in the investment funds under this Section at the times established by the Committee, which shall be no less frequently quarterly.</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elections and designations under this Section shall be made in accordance with procedures prescribed by the Committee. The Committee may prescribe uniform percentages for such elections and designations.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distribution of a Participant’s Account which is not a distribution of the entire account shall be taken pro rata from each of the investment funds in which the account is deemed to be invested.</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Reports to Participants</w:t>
      </w:r>
    </w:p>
    <w:p>
      <w:pPr>
        <w:spacing w:after="0" w:line="13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Employer shall provide annual reports to each Participant showing (a) the value of the Account as of the most recent December 31st (b) the amount of contributions made by the Employer for the year ending on such date and (c) the amount of any investment earnings or loss credited or debited to the Participant’s Account.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left="496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Participant shall be fully vested and nonforfeitable at all times in all of his Accounts herein.</w:t>
      </w:r>
    </w:p>
    <w:p>
      <w:pPr>
        <w:spacing w:after="0" w:line="22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9"/>
          </w:cols>
          <w:pgMar w:left="460" w:top="1256"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MANNER AND TIMING OF DISTRIBUTION</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Payment of Benefits</w:t>
      </w:r>
    </w:p>
    <w:p>
      <w:pPr>
        <w:spacing w:after="0" w:line="121" w:lineRule="exact"/>
        <w:rPr>
          <w:sz w:val="20"/>
          <w:szCs w:val="20"/>
          <w:color w:val="auto"/>
        </w:rPr>
      </w:pPr>
    </w:p>
    <w:p>
      <w:pPr>
        <w:ind w:left="900" w:right="8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a Participant’s Separation from Service the Participant’s Account shall be paid to the Participant (or in the event of the Participant’s death, to the Participant’s Beneficiary). Payment shall be made in one of the following forms as specified in the Participant’s payment election pursuant to Section 7.2:</w:t>
      </w:r>
    </w:p>
    <w:p>
      <w:pPr>
        <w:spacing w:after="0" w:line="73" w:lineRule="exact"/>
        <w:rPr>
          <w:rFonts w:ascii="Arial" w:cs="Arial" w:eastAsia="Arial" w:hAnsi="Arial"/>
          <w:sz w:val="18"/>
          <w:szCs w:val="18"/>
          <w:color w:val="auto"/>
        </w:rPr>
      </w:pPr>
    </w:p>
    <w:p>
      <w:pPr>
        <w:ind w:left="1360" w:right="600" w:hanging="447"/>
        <w:spacing w:after="0" w:line="277"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Single Sum</w:t>
      </w:r>
      <w:r>
        <w:rPr>
          <w:rFonts w:ascii="Arial" w:cs="Arial" w:eastAsia="Arial" w:hAnsi="Arial"/>
          <w:sz w:val="18"/>
          <w:szCs w:val="18"/>
          <w:color w:val="auto"/>
        </w:rPr>
        <w:t>. A single sum distribution of the value of the balance of the Account on the first day of the second month following the Participant’s Separation from Service; or</w:t>
      </w:r>
    </w:p>
    <w:p>
      <w:pPr>
        <w:spacing w:after="0" w:line="75" w:lineRule="exact"/>
        <w:rPr>
          <w:rFonts w:ascii="Arial" w:cs="Arial" w:eastAsia="Arial" w:hAnsi="Arial"/>
          <w:sz w:val="18"/>
          <w:szCs w:val="18"/>
          <w:color w:val="auto"/>
        </w:rPr>
      </w:pPr>
    </w:p>
    <w:p>
      <w:pPr>
        <w:ind w:left="1360" w:right="100" w:hanging="447"/>
        <w:spacing w:after="0" w:line="255"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Installments</w:t>
      </w:r>
      <w:r>
        <w:rPr>
          <w:rFonts w:ascii="Arial" w:cs="Arial" w:eastAsia="Arial" w:hAnsi="Arial"/>
          <w:sz w:val="18"/>
          <w:szCs w:val="18"/>
          <w:color w:val="auto"/>
        </w:rPr>
        <w:t>. This subparagraph (ii) shall only be applicable after April 30, 2006. The value of the balance of the Account shall be paid in annual installments with the first of such installment to be paid on the first day of the second month following the Participant’s Separation from Service and with subsequent annual installments to be paid on an anniversary of the payment of the first installment. Annual installments shall be paid in one of the alternative methods specified below over the number of years selected by the Participant in the payment election made pursuant to Section 7.2, but not to exceed 10. The earnings (or losses) provided for in Section 5.1(e) shall continue to accrue on the balance remaining in the Account during the period of installment payments. The alternative methods available are as follows:</w:t>
      </w:r>
    </w:p>
    <w:p>
      <w:pPr>
        <w:spacing w:after="0" w:line="81" w:lineRule="exact"/>
        <w:rPr>
          <w:rFonts w:ascii="Arial" w:cs="Arial" w:eastAsia="Arial" w:hAnsi="Arial"/>
          <w:sz w:val="18"/>
          <w:szCs w:val="18"/>
          <w:color w:val="auto"/>
        </w:rPr>
      </w:pPr>
    </w:p>
    <w:p>
      <w:pPr>
        <w:ind w:left="1380" w:firstLine="222"/>
        <w:spacing w:after="0" w:line="259" w:lineRule="auto"/>
        <w:tabs>
          <w:tab w:leader="none" w:pos="1900"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most recent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w:t>
      </w:r>
    </w:p>
    <w:p>
      <w:pPr>
        <w:spacing w:after="0" w:line="78" w:lineRule="exact"/>
        <w:rPr>
          <w:rFonts w:ascii="Arial" w:cs="Arial" w:eastAsia="Arial" w:hAnsi="Arial"/>
          <w:sz w:val="18"/>
          <w:szCs w:val="18"/>
          <w:color w:val="auto"/>
        </w:rPr>
      </w:pPr>
    </w:p>
    <w:p>
      <w:pPr>
        <w:ind w:left="1380" w:right="20" w:firstLine="222"/>
        <w:spacing w:after="0" w:line="276" w:lineRule="auto"/>
        <w:tabs>
          <w:tab w:leader="none" w:pos="1890" w:val="left"/>
        </w:tabs>
        <w:numPr>
          <w:ilvl w:val="2"/>
          <w:numId w:val="43"/>
        </w:numPr>
        <w:rPr>
          <w:rFonts w:ascii="Arial" w:cs="Arial" w:eastAsia="Arial" w:hAnsi="Arial"/>
          <w:sz w:val="17"/>
          <w:szCs w:val="17"/>
          <w:color w:val="auto"/>
        </w:rPr>
      </w:pPr>
      <w:r>
        <w:rPr>
          <w:rFonts w:ascii="Arial" w:cs="Arial" w:eastAsia="Arial" w:hAnsi="Arial"/>
          <w:sz w:val="17"/>
          <w:szCs w:val="17"/>
          <w:u w:val="single" w:color="auto"/>
          <w:color w:val="auto"/>
        </w:rPr>
        <w:t>Percentage or Fixed Dollar Method</w:t>
      </w:r>
      <w:r>
        <w:rPr>
          <w:rFonts w:ascii="Arial" w:cs="Arial" w:eastAsia="Arial" w:hAnsi="Arial"/>
          <w:sz w:val="17"/>
          <w:szCs w:val="17"/>
          <w:color w:val="auto"/>
        </w:rPr>
        <w:t>. The annual installment shall be calculated by multiplying the most recent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Executive,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5" w:name="page56"/>
    <w:bookmarkEnd w:id="55"/>
    <w:p>
      <w:pPr>
        <w:ind w:left="1380"/>
        <w:spacing w:after="0"/>
        <w:rPr>
          <w:sz w:val="20"/>
          <w:szCs w:val="20"/>
          <w:color w:val="auto"/>
        </w:rPr>
      </w:pPr>
      <w:r>
        <w:rPr>
          <w:rFonts w:ascii="Arial" w:cs="Arial" w:eastAsia="Arial" w:hAnsi="Arial"/>
          <w:sz w:val="18"/>
          <w:szCs w:val="18"/>
          <w:color w:val="auto"/>
        </w:rPr>
        <w:t>the final installment payment will include 100% of the then remaining Account value.</w:t>
      </w:r>
    </w:p>
    <w:p>
      <w:pPr>
        <w:spacing w:after="0" w:line="117" w:lineRule="exact"/>
        <w:rPr>
          <w:sz w:val="20"/>
          <w:szCs w:val="20"/>
          <w:color w:val="auto"/>
        </w:rPr>
      </w:pPr>
    </w:p>
    <w:p>
      <w:pPr>
        <w:ind w:left="900" w:hanging="446"/>
        <w:spacing w:after="0" w:line="286"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case of a Participant who is a Specified Employee, payment pursuant to paragraph (a) above shall commence no earlier than the first day of the seventh month following the Participant’s Separation from Service. This delay in distribution rule does not apply if the payment is being made as a result of the Participant’s death or disability. For this purpose, “disability” means that the Participant:</w:t>
      </w:r>
    </w:p>
    <w:p>
      <w:pPr>
        <w:spacing w:after="0" w:line="57" w:lineRule="exact"/>
        <w:rPr>
          <w:rFonts w:ascii="Arial" w:cs="Arial" w:eastAsia="Arial" w:hAnsi="Arial"/>
          <w:sz w:val="17"/>
          <w:szCs w:val="17"/>
          <w:color w:val="auto"/>
        </w:rPr>
      </w:pPr>
    </w:p>
    <w:p>
      <w:pPr>
        <w:ind w:left="1360" w:hanging="447"/>
        <w:spacing w:after="0" w:line="308" w:lineRule="auto"/>
        <w:tabs>
          <w:tab w:leader="none" w:pos="13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is unable to engage in any substantial gainful activity by reason of any medically determinable or physical or mental impairment which can be expected to result in death or can be expected to last for a continuous period of not less than 12 months, or</w:t>
      </w:r>
    </w:p>
    <w:p>
      <w:pPr>
        <w:spacing w:after="0" w:line="51" w:lineRule="exact"/>
        <w:rPr>
          <w:rFonts w:ascii="Arial" w:cs="Arial" w:eastAsia="Arial" w:hAnsi="Arial"/>
          <w:sz w:val="17"/>
          <w:szCs w:val="17"/>
          <w:color w:val="auto"/>
        </w:rPr>
      </w:pPr>
    </w:p>
    <w:p>
      <w:pPr>
        <w:ind w:left="1360" w:right="140" w:hanging="447"/>
        <w:spacing w:after="0" w:line="312" w:lineRule="auto"/>
        <w:tabs>
          <w:tab w:leader="none" w:pos="13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is, by reason of any medically determinable physical or mental impairment which can be expected to result in death or can be expected to last for a continued period of not less than 12 months, receiving income replacement benefits for a period of not less than three months under an accident and health plan covering the employees of the Employer or one of its affiliates in which the Participant is covered.</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Payment Election</w:t>
      </w:r>
    </w:p>
    <w:p>
      <w:pPr>
        <w:spacing w:after="0" w:line="135"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An individual who first becomes a Participant at the beginning of a Plan Year shall, prior to his date of participation, complete a payment election form specifying the form of payment applicable to such Participant’s Account under the Plan. Absent an actual election by such Participant by the effective date of participation, the Participant shall be deemed to have elected the five (5) annual installment payment form. An individual who first becomes a Participant other than on the first day of a Plan Year shall, no later than 30 days after the effective date of participation, complete a payment election form specifying the form of payment applicable to such Participant’s Account. In the event such a Participant does not make an actual election within such 30 day period, the Participant shall be deemed to have elected the five (5) annual installment payment form; provided, however, that if such Participant is already a participant in any other nonqualified plan or plans sponsored by the Employer of the account balance type, the most recent payment election with respect to any one of those plans shall be the payment election form deemed elected under this Plan regardless of whether the individual elects a different payment election form during that initial 30 day period. Elections shall be made on a “payment election form” — the form established from time to time by the Committee which a Participant completes, signs and returns to the Committee to make an election under the Plan. To the extent authorized by the Committee, such form may be provided electronically and, in such case, need not be signed by the Participant. A Participant may change the form of payment by completing and filing a new payment election form with the Committee, and the payment election form on file with the Committee as of the date of the Participant’s Separation from Service shall be controlling. Notwithstanding the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ind w:left="460"/>
        <w:spacing w:after="0"/>
        <w:rPr>
          <w:sz w:val="20"/>
          <w:szCs w:val="20"/>
          <w:color w:val="auto"/>
        </w:rPr>
      </w:pPr>
      <w:r>
        <w:rPr>
          <w:rFonts w:ascii="Arial" w:cs="Arial" w:eastAsia="Arial" w:hAnsi="Arial"/>
          <w:sz w:val="16"/>
          <w:szCs w:val="16"/>
          <w:color w:val="auto"/>
        </w:rPr>
        <w:t>foregoing, a payment election form changing the Participant’s form of payment shall not be effective if the Participant has a Separation from Service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within twelve months after the date on which the election change is filed with the Committee. Any change in payment method must have the effect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delaying the commencement of payments to a date which is at least five (5) years following the initially scheduled commencement date of payment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previously in effect. For purposes of compliance with Code Section 409A, a series of installment payments is designated as a single payment rather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than a right to a series of separate payments; therefore, a Participant who has elected (or is deemed to have elected) any option available under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7.1(a)(i) or (ii) may substitute any of the other options for the option originally selected as long as the foregoing one-year and five year rules are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satisfied. A switch from the percentage method to the fixed dollar method or vice versa and a switch from either of those methods to the fractional</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method or vice versa is considered a substitution of a new option for the original option for purposes of this rule even if the number of yearly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installments is not changed. The five year delay rule does not apply if the revised payment method applies only upon the Participant’s death or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disability. For this purpose, disability has the same meaning as in Section 7.1(b). In the event that the Participant’s new payment election would not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under the foregoing rules, the payment election previously in effect shall be controlling.</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Financial Hardship</w:t>
      </w:r>
    </w:p>
    <w:p>
      <w:pPr>
        <w:spacing w:after="0" w:line="135" w:lineRule="exact"/>
        <w:rPr>
          <w:sz w:val="20"/>
          <w:szCs w:val="20"/>
          <w:color w:val="auto"/>
        </w:rPr>
      </w:pPr>
    </w:p>
    <w:p>
      <w:pPr>
        <w:ind w:left="460" w:right="80"/>
        <w:spacing w:after="0" w:line="286" w:lineRule="auto"/>
        <w:rPr>
          <w:sz w:val="20"/>
          <w:szCs w:val="20"/>
          <w:color w:val="auto"/>
        </w:rPr>
      </w:pPr>
      <w:r>
        <w:rPr>
          <w:rFonts w:ascii="Arial" w:cs="Arial" w:eastAsia="Arial" w:hAnsi="Arial"/>
          <w:sz w:val="16"/>
          <w:szCs w:val="16"/>
          <w:color w:val="auto"/>
        </w:rPr>
        <w:t>A partial or total distribution of the Participant’s Account shall be made prior to Separation from Service upon the Participant’s request and a demonstration by the Participant of severe financial hardship as a result of an Unforeseeable Emergency. Such distribution shall be made in a single sum as soon as administratively practicable following the Committee’s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Article IV and any other nonqualified deferred compensation plan of the account balance type sponsored by the Employer.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Article IV and any other nonqualified deferred compensation plan of the account balance type sponsored by the Employer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Delayed Distribution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left="900" w:hanging="446"/>
        <w:spacing w:after="0" w:line="273"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payment otherwise required to be made pursuant to the provisions of this Article VII shall be delayed if the Employer reasonably anticipates that the Employer’s deduction with respect to such payment would be limited or eliminated by application of Code Section 162(m); provided, however that such payment shall be made on the earliest date on which the Employer anticipates that the deduction of the payment of the amount will not be limited or eliminated by application of Code Section 162(m). In any event, such payment shall be made no later than the last day of the calendar year in which the Participant has a Separation from Service or, in the case of a Specified Employee, the last day of the calendar year in which occurs the six (6) month anniversary of such Separation from Service.</w:t>
      </w:r>
    </w:p>
    <w:p>
      <w:pPr>
        <w:spacing w:after="0" w:line="83"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VII shall be delayed if the Employer reasonably determines that the making of the payment will jeopardize the ability of the Employer to continue as a going concern; provided, however, that payments shall be made on the earliest date on which the Employer reasonably determines that the making of the payment will not jeopardize the ability of the Employer to continue as a going concern.</w:t>
      </w:r>
    </w:p>
    <w:p>
      <w:pPr>
        <w:spacing w:after="0" w:line="92"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VII shall be delayed if the Employer reasonably anticipates that the making of the payment will violate federal securities laws or other applicable law; provided, however, that payments shall nevertheless be made on the earliest date on which the Employer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93"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VII shall be delayed upon such other events and conditions as the Internal Revenue Service may prescribe in generally applicable guidance published in the Internal Revenue Bulletin.</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Inclusion in Income Under Section 409A</w:t>
      </w:r>
    </w:p>
    <w:p>
      <w:pPr>
        <w:spacing w:after="0" w:line="135"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Notwithstanding any other provision of this Article VII,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w:t>
      </w:r>
    </w:p>
    <w:p>
      <w:pPr>
        <w:spacing w:after="0" w:line="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color w:val="auto"/>
        </w:rPr>
        <w:t>Domestic Relations Order</w:t>
      </w:r>
    </w:p>
    <w:p>
      <w:pPr>
        <w:spacing w:after="0" w:line="135"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Notwithstanding any other provision of this Article VII, payments shall be made from the Account of a Participant in this Plan to such individual or individuals (other than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t>Participant) and at such times as are necessary to comply with a domestic relations order (as defined in Code Section 414(p)(1)(B)).</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De Minimis Amounts</w:t>
      </w:r>
    </w:p>
    <w:p>
      <w:pPr>
        <w:spacing w:after="0" w:line="13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Notwithstanding any other provision of this Article VII hereof, a Participant’s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IRS Regulations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9" w:name="page60"/>
    <w:bookmarkEnd w:id="59"/>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OPERATION AND ADMINISTRATION</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Administrator</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be the plan administrator and shall be responsible for and perform the duties imposed on a plan administrator.</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Committee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Committee shall have the power and duty to administer the Plan in accordance with its terms, including, but not limited to, the following:</w:t>
      </w:r>
    </w:p>
    <w:p>
      <w:pPr>
        <w:spacing w:after="0" w:line="129"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and enforce such rules and regulations as it may deem necessary or desirable for the efficient administration of the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interpret the Plan, including the right to remedy possible ambiguities, inconsistencies or omissions;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decide all questions related to participation in, and payment of amounts under, the Plan, including all factual questions related thereto;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maintain all necessary records for the administration of the Plan.</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Authority to Act</w:t>
      </w:r>
    </w:p>
    <w:p>
      <w:pPr>
        <w:spacing w:after="0" w:line="13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Brady Corporation or the Committee may authorize one or more of Brady Corporation’s employees, members, representatives or agents, as applicable, to execute on its behalf instructions or directions to any interested party, and any such interested party may rely thereupon and the information contained therein.</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Information from Participants</w:t>
      </w:r>
    </w:p>
    <w:p>
      <w:pPr>
        <w:spacing w:after="0" w:line="135" w:lineRule="exact"/>
        <w:rPr>
          <w:sz w:val="20"/>
          <w:szCs w:val="20"/>
          <w:color w:val="auto"/>
        </w:rPr>
      </w:pPr>
    </w:p>
    <w:p>
      <w:pPr>
        <w:ind w:left="460" w:right="800"/>
        <w:spacing w:after="0" w:line="342" w:lineRule="auto"/>
        <w:rPr>
          <w:sz w:val="20"/>
          <w:szCs w:val="20"/>
          <w:color w:val="auto"/>
        </w:rPr>
      </w:pPr>
      <w:r>
        <w:rPr>
          <w:rFonts w:ascii="Arial" w:cs="Arial" w:eastAsia="Arial" w:hAnsi="Arial"/>
          <w:sz w:val="16"/>
          <w:szCs w:val="16"/>
          <w:color w:val="auto"/>
        </w:rPr>
        <w:t>Each Participant and Beneficiary shall furnish the Committee in the form prescribed by it and at its request, such personal data, affidavits, authorizations to obtain information, or other information as the Committee deems necessary or desirable for the administration of the Plan.</w:t>
      </w:r>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Committee Discretion</w:t>
      </w:r>
    </w:p>
    <w:p>
      <w:pPr>
        <w:spacing w:after="0" w:line="135"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 xml:space="preserve">The Committee has full and complete discretionary authority to determine eligibility for benefits, to construe the terms of the Plan and to decide any matter presented through the claims review procedure. Any final determination by the Committee (including claims decisions made pursuant to Article IX) shall be binding on all parties and afforded the maximum deference allowed by law. If challenged in court, such determination shall not be subject to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review and shall not be overturned unless proven to be arbitrary and</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6" w:right="3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t>capricious upon the evidence considered by the Committee at the time of such determination.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Committee Members’ Conflict of Interest</w:t>
      </w:r>
    </w:p>
    <w:p>
      <w:pPr>
        <w:spacing w:after="0" w:line="135"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A member of the Committee who is covered hereunder may not vote or decide upon any matter relating solely to himself or vote in any case in which his individual right to any benefit under the Plan is particularly involved. Decisions shall be made by remaining Committee or Board members even if there is no quorum under normal Committee or Board rules.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Governing Law</w:t>
      </w:r>
    </w:p>
    <w:p>
      <w:pPr>
        <w:spacing w:after="0" w:line="135"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This Plan shall be construed in accordance with the laws of the State of Wisconsin to the extent not preempted by the provisions of the Employee Retirement Income Security Act of 1974, as amended, or other federal law.</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4"/>
          <w:szCs w:val="14"/>
          <w:b w:val="1"/>
          <w:bCs w:val="1"/>
          <w:color w:val="auto"/>
        </w:rPr>
        <w:t>Expenses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expenses and costs incurred in connection with the administration and operation of the Plan shall be borne by the Employer and/or the Trust.</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Minor or Incompetent Payees</w:t>
      </w:r>
    </w:p>
    <w:p>
      <w:pPr>
        <w:spacing w:after="0" w:line="135" w:lineRule="exact"/>
        <w:rPr>
          <w:sz w:val="20"/>
          <w:szCs w:val="20"/>
          <w:color w:val="auto"/>
        </w:rPr>
      </w:pPr>
    </w:p>
    <w:p>
      <w:pPr>
        <w:jc w:val="both"/>
        <w:ind w:left="460" w:right="40"/>
        <w:spacing w:after="0" w:line="286" w:lineRule="auto"/>
        <w:rPr>
          <w:sz w:val="20"/>
          <w:szCs w:val="20"/>
          <w:color w:val="auto"/>
        </w:rPr>
      </w:pPr>
      <w:r>
        <w:rPr>
          <w:rFonts w:ascii="Arial" w:cs="Arial" w:eastAsia="Arial" w:hAnsi="Arial"/>
          <w:sz w:val="17"/>
          <w:szCs w:val="17"/>
          <w:color w:val="auto"/>
        </w:rPr>
        <w:t>If a person to whom a benefit is payable is a minor or is otherwise incompetent by reason of a physical or mental disability, the Committee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Withholding</w:t>
      </w:r>
    </w:p>
    <w:p>
      <w:pPr>
        <w:spacing w:after="0" w:line="135"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The Employer shall comply with all applicable tax and governmental withholding requirements. To the extent required by law, the Employer shall withhold any taxes required to be withheld by the federal or any state or local government from payments made hereunder or from any other amounts paid to a Participant by the Employer. If FICA taxes must be withheld in connection with amounts credited hereunder before payments are otherwise due hereunder and if there are no other wages from which to withhold them, the Employer shall pay such FICA taxes generated by such payment (and taxes under Code Section 3401 triggered thereby and additional taxes under Section 3401 attributable to pyramiding of Section 3401 wages and taxes) but no more and the Participant’s Account hereunder shall be reduced by an amount equal to the payments made by the Employer.</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Except as otherwise provided by law, neither the Board nor the Committee nor any individual member of the Board or the Committee, nor the Employer, nor any officer, shareholder or employee of the Employer shall be liable for any error of judgment, action or failure to act hereunder or for any good faith exercise of discretion, excepting only liability for gross negligence or willful misconduct. Such individuals and entities shall be indemnified and held harmless by the Employer against any and all claims, damages, liabilities, costs and expenses (including attorneys’ fees) arising by reason of any good faith error of omission or commission with respect to any responsibility, duty or action hereunder. Nothing herein contained shall preclude the Employer from purchasing insurance to cover potential liability of one or more persons who serve in an administrative capacity with respect to the Plan.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PROCEDURE</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Claims</w:t>
      </w:r>
    </w:p>
    <w:p>
      <w:pPr>
        <w:spacing w:after="0" w:line="135"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Committee or its designee. The Committee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6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Review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Claimant is entitled to request a review of any denial of his claim. The request for review must be submitted in writing to the Committee within</w:t>
      </w:r>
    </w:p>
    <w:p>
      <w:pPr>
        <w:spacing w:after="0" w:line="35"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Committee. The Committee shall fully and fairly review the matter and shall consider all information submitted in the review request, without regard to whether or not such information was submitted or considered in the initial claim determination. The Committee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Committee’s decision shall include specific reasons for the decision, including references to the particular Plan provisions upon which the decision is based, notification that the Claimant can receive or review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63" w:name="page64"/>
    <w:bookmarkEnd w:id="63"/>
    <w:p>
      <w:pPr>
        <w:ind w:left="460" w:right="120"/>
        <w:spacing w:after="0" w:line="277" w:lineRule="auto"/>
        <w:rPr>
          <w:sz w:val="20"/>
          <w:szCs w:val="20"/>
          <w:color w:val="auto"/>
        </w:rPr>
      </w:pPr>
      <w:r>
        <w:rPr>
          <w:rFonts w:ascii="Arial" w:cs="Arial" w:eastAsia="Arial" w:hAnsi="Arial"/>
          <w:sz w:val="18"/>
          <w:szCs w:val="18"/>
          <w:color w:val="auto"/>
        </w:rPr>
        <w:t>copies of all documents, records and information relevant to the claim, and information as to the Claimant’s right to file suit under Section 502(a) of ERISA.</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Disability</w:t>
      </w:r>
    </w:p>
    <w:p>
      <w:pPr>
        <w:spacing w:after="0" w:line="135"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If a determination of disability for purposes of Section 7.1(b) or 7.2 becomes necessary and if such determination is considered to be with respect to a claim for benefits based on disability for purposes of 29 CFR Section 2560.503-1, then the Committee shall adopt and administer a special procedure for considering such disability claims meeting the requirements of 29 CFR Section 2560.503-1 for disability benefit claims.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Brady Corporation (through its Board of Directors or authorized officers or employees and/or the Committee) reserves the right to alter or amend the Plan, or any part thereof, in such manner as it may determine, at any time and for any reason. Further, the Board of Directors of Brady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Brady Corporation may prospectively change the manner in which earnings are credited or discontinue the crediting of earnings and, further, Brady Corporation may make any amendment it deems necessary or desirable for purposes of compliance with the requirements of Code Section 409A and regulations thereunder.</w:t>
      </w:r>
    </w:p>
    <w:p>
      <w:pPr>
        <w:spacing w:after="0" w:line="5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If the Plan is amended to freeze benefit accruals, no additional deferrals or contributions shall be credited to any Participant Account hereunder. Following such a freeze of benefit accruals, Participants’ Accounts shall be paid at such time and in such form as provided under Article VII of the Plan. If the Employer terminates the Plan and if the termination is of the type described in regulations issued by the Internal Revenue Service pursuant to Code Section 409A, then the Employer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VII of the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Headings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headings of the Plan have been inserted for convenience of reference and shall be ignored in the construction of the provisions herein.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No Contract of Employment</w:t>
      </w:r>
    </w:p>
    <w:p>
      <w:pPr>
        <w:spacing w:after="0" w:line="135"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existence of the Plan shall not create or change any contract, express or implied, between the Employer and its employees and shall not affect the Employer’s right to take any action with respect to its 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Rights of Participants and Beneficiaries</w:t>
      </w:r>
    </w:p>
    <w:p>
      <w:pPr>
        <w:spacing w:after="0" w:line="135"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The interest and rights of a Participant and Beneficiary under the Plan shall be those of a general unsecured creditor of the Employer, and with respect to the creditors of the Employer, no Participant or Beneficiary shall have any preferred claims on, or any beneficial ownership in, the assets of the Employer, including any assets in which the Employer may invest to aid in meeting its obligations under the Plan.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Nonalienation of Benefits</w:t>
      </w:r>
    </w:p>
    <w:p>
      <w:pPr>
        <w:spacing w:after="0" w:line="135"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All benefits payable hereunder are for the sole use and benefit of the Participants and their Beneficiaries and, to the extent permitted by law, shall be free, clear and discharged of and from, and are not to be in any way liable for, debts, contracts or agreements, now contracted or which may hereafter be contracted and from all claims and liabilities now or hereafter incurred by any Participant or Beneficiary covered by this Plan. No Participant or Beneficiary covered by this Plan shall have the right to anticipate, surrender, encumber, alienate or assign, whether voluntarily or involuntarily, any of the benefits to become due hereunder unto any person or person upon any terms whatsoever, and any attempt to do so shall be void.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Tax Treatment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commitment or guarantee with respect to the tax treatment to be accorded to a Participant or Beneficiary under the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Other Plans and Agreements</w:t>
      </w:r>
    </w:p>
    <w:p>
      <w:pPr>
        <w:spacing w:after="0" w:line="121" w:lineRule="exact"/>
        <w:rPr>
          <w:sz w:val="20"/>
          <w:szCs w:val="20"/>
          <w:color w:val="auto"/>
        </w:rPr>
      </w:pPr>
    </w:p>
    <w:p>
      <w:pPr>
        <w:ind w:left="900" w:right="34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Participation in the Plan shall not affect a Participant’s rights to participate in and receive benefits under any other plans of the Employer, nor shall it affect his rights under any other agreement entered into with the Employer, unless explicitly provided otherwise by such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6" w:name="page67"/>
    <w:bookmarkEnd w:id="66"/>
    <w:p>
      <w:pPr>
        <w:jc w:val="both"/>
        <w:ind w:left="900" w:right="2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amount credited under or paid pursuant to the Plan shall not be treated as wages, salary or any other type of compensation or otherwise taken into account in the determination of the Participant’s benefits under any other plans of the Employer, unless explicitly provided otherwise by such plan.</w:t>
      </w:r>
    </w:p>
    <w:p>
      <w:pPr>
        <w:spacing w:after="0" w:line="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b w:val="1"/>
          <w:bCs w:val="1"/>
          <w:color w:val="auto"/>
        </w:rPr>
        <w:t>Number and Gender</w:t>
      </w:r>
    </w:p>
    <w:p>
      <w:pPr>
        <w:spacing w:after="0" w:line="135"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The use of the singular shall be interpreted to include the plural and the plural the singular, as the context shall require. The use of the masculine, feminine or neuter shall be interpreted to include the masculine, feminine or neuter, as the context shall require.</w:t>
      </w:r>
    </w:p>
    <w:p>
      <w:pPr>
        <w:spacing w:after="0" w:line="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color w:val="auto"/>
        </w:rPr>
        <w:t>Plan Provisions Controlling</w:t>
      </w:r>
    </w:p>
    <w:p>
      <w:pPr>
        <w:spacing w:after="0" w:line="135"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color w:val="auto"/>
        </w:rPr>
        <w:t>In the event of any conflict between the provisions of the Plan and the provisions of a summary or description of the Plan or the terms of any agreement or instrument related to the Plan, the provisions of the Plan shall be controlling.</w:t>
      </w:r>
    </w:p>
    <w:p>
      <w:pPr>
        <w:spacing w:after="0" w:line="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Severability</w:t>
      </w:r>
    </w:p>
    <w:p>
      <w:pPr>
        <w:spacing w:after="0" w:line="135"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If any provisions of the Plan shall be held illegal or invalid for any reason, such illegality or invalidity shall not affect the remaining parts of the Plan, but this Plan shall be construed and enforced as if the illegal and invalid provisions had never been included herein.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Evidence Conclusive</w:t>
      </w:r>
    </w:p>
    <w:p>
      <w:pPr>
        <w:spacing w:after="0" w:line="135"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The Employer, the Committee and any person or persons involved in the administration of the Plan shall be entitled to rely upon any certification, statement, or representation made or evidence furnished by any person with respect to any facts required to be determined under any of the provisions of the Plan, and shall not be liable on account of the payment of any monies or the doing of any act or failure to act in reliance thereon. Any such certification, statement, representation, or evidence, upon being duly made or furnished, shall be conclusively binding upon the person furnishing it but not upon the Employer, the Committee or any other person involved in the administration of the Plan. Nothing herein contained shall be construed to prevent any of such parties from contesting any such certification, statement, representation, or evidence or to relieve any person from the duty of submitting satisfactory proof of any fact.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Status of Plan Under ERISA</w:t>
      </w:r>
    </w:p>
    <w:p>
      <w:pPr>
        <w:spacing w:after="0" w:line="135"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The Plan is intended to be an unfunded plan maintained by an Employer primarily for the purpose of providing deferred compensation for a select group of management or highly compensated employees, as described in Section 201(2), Section 301(a)(3), Section 401(a)(1) and Section 4021(b)(6) of the Employee Retirement Income Security Act of 1974, as amended.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color w:val="auto"/>
        </w:rPr>
        <w:t>Name and Address Changes</w:t>
      </w:r>
    </w:p>
    <w:p>
      <w:pPr>
        <w:spacing w:after="0" w:line="135" w:lineRule="exact"/>
        <w:rPr>
          <w:sz w:val="20"/>
          <w:szCs w:val="20"/>
          <w:color w:val="auto"/>
        </w:rPr>
      </w:pPr>
    </w:p>
    <w:p>
      <w:pPr>
        <w:ind w:left="520" w:right="60"/>
        <w:spacing w:after="0" w:line="257" w:lineRule="auto"/>
        <w:rPr>
          <w:sz w:val="20"/>
          <w:szCs w:val="20"/>
          <w:color w:val="auto"/>
        </w:rPr>
      </w:pPr>
      <w:r>
        <w:rPr>
          <w:rFonts w:ascii="Arial" w:cs="Arial" w:eastAsia="Arial" w:hAnsi="Arial"/>
          <w:sz w:val="18"/>
          <w:szCs w:val="18"/>
          <w:color w:val="auto"/>
        </w:rPr>
        <w:t>Each Participant shall keep his name and address on file with the Employer and shall promptly notify the Employer of any changes in his name or address. All notices required or contemplated by this Plan shall be deemed to have been given to a Participant if mailed with adequate postage prepaid thereon addressed to him at his last address on file with the Employer. If any check in payment of a benefit hereunder (which was mailed to the last address of the payee as shown on the Employer’s records) is returned unclaimed, further payments shall be discontinued unless evidence is furnished that the recipient is still alive.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Assignability by Corporation</w:t>
      </w:r>
    </w:p>
    <w:p>
      <w:pPr>
        <w:spacing w:after="0" w:line="135"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Employer shall have the right to assign all of its right, title and obligation in and under this Plan upon a merger or consolidation in which the Employer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Employer. Upon such assignment, all of the rights, as well as all obligations, of the Employer under this Plan shall thereupon cease and terminate.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Special rule for 2005-2007</w:t>
      </w:r>
      <w:r>
        <w:rPr>
          <w:rFonts w:ascii="Arial" w:cs="Arial" w:eastAsia="Arial" w:hAnsi="Arial"/>
          <w:sz w:val="18"/>
          <w:szCs w:val="18"/>
          <w:color w:val="auto"/>
        </w:rPr>
        <w:t>.</w:t>
      </w:r>
    </w:p>
    <w:p>
      <w:pPr>
        <w:spacing w:after="0" w:line="135" w:lineRule="exact"/>
        <w:rPr>
          <w:sz w:val="20"/>
          <w:szCs w:val="20"/>
          <w:color w:val="auto"/>
        </w:rPr>
      </w:pPr>
    </w:p>
    <w:p>
      <w:pPr>
        <w:ind w:left="520" w:right="60"/>
        <w:spacing w:after="0" w:line="255" w:lineRule="auto"/>
        <w:rPr>
          <w:sz w:val="20"/>
          <w:szCs w:val="20"/>
          <w:color w:val="auto"/>
        </w:rPr>
      </w:pPr>
      <w:r>
        <w:rPr>
          <w:rFonts w:ascii="Arial" w:cs="Arial" w:eastAsia="Arial" w:hAnsi="Arial"/>
          <w:sz w:val="18"/>
          <w:szCs w:val="18"/>
          <w:color w:val="auto"/>
        </w:rPr>
        <w:t>Notwithstanding the usual rules regarding distribution elections contained in Article VII, a Participant, on or before December 31, 2007, may make an election as to distribution of his Account from among the choices described in Section 7.1 hereof without complying with the rules described in Section 7.2 hereof as long as the effect of the election is not to accelerate payments into 2006 or to defer payments which would otherwise have been made in 2006 or to accelerate payments into 2007 or to defer payments which would otherwise have been made in 2007. Such election shall become effective after the last day upon which it is permitted to be made. In order to change any such election after it has become effective, the requirements of Section 7.2 hereof must be satisfied.</w:t>
      </w:r>
    </w:p>
    <w:p>
      <w:pPr>
        <w:spacing w:after="0" w:line="85"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WITNESS WHEREOF, the Employer has caused its duly authorized officer to execute this Plan document on its behalf this 17th day of September, 2007.</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Frank M. Jaehnert</w:t>
      </w:r>
    </w:p>
    <w:p>
      <w:pPr>
        <w:spacing w:after="0" w:line="23" w:lineRule="exact"/>
        <w:rPr>
          <w:sz w:val="20"/>
          <w:szCs w:val="20"/>
          <w:color w:val="auto"/>
        </w:rPr>
      </w:pPr>
    </w:p>
    <w:p>
      <w:pPr>
        <w:ind w:left="5460"/>
        <w:spacing w:after="0"/>
        <w:tabs>
          <w:tab w:leader="none" w:pos="60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987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14605</wp:posOffset>
            </wp:positionV>
            <wp:extent cx="24009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932"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sales and net income for fiscal 2007 fourth quarter and year end</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MILWAUKEE (September 12, 2007)—Brady Corporation (NYSE: BRC) today reported record results for its fiscal 2007 fourth quarter and fiscal year ended July 31, 2007.</w:t>
      </w:r>
    </w:p>
    <w:p>
      <w:pPr>
        <w:spacing w:after="0" w:line="62"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Sales in the fiscal 2007 fourth quarter rose 26 percent to $362.8 million compared to sales in the fourth quarter of fiscal 2006 of $288.3 million. The increase was comprised of organic growth of 5 percent compared to the prior year’s quarter, with acquisitions adding 17 percent, and foreign currency translation contributing 4 percent to sales growth. Regionally, sales were up 25 percent in the Americas, 28 percent in Europe, and 25 percent in Asia/Pacific.</w:t>
      </w:r>
    </w:p>
    <w:p>
      <w:pPr>
        <w:spacing w:after="0" w:line="39"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Net income for the fiscal 2007 fourth quarter was up 17 percent to $26.2 million or $0.48 per diluted Class A Common share, compared with $22.5 million or $0.43 per diluted Class A Common Share in the fourth quarter of fiscal 2006. Net income results include cost reduction charges of $5.4 million after tax in the quarter, or $0.10 per share.</w:t>
      </w:r>
    </w:p>
    <w:p>
      <w:pPr>
        <w:spacing w:after="0" w:line="73"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Brady’s fiscal 2007 net sales rose 34 percent to $1.363 billion compared to $1.018 billion in sales in fiscal 2006. Organic growth was 4 percent, acquisitions added 26 percent and foreign currency translation contributed 4 percent to total sales results.</w:t>
      </w:r>
    </w:p>
    <w:p>
      <w:pPr>
        <w:spacing w:after="0" w:line="62"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Net income for fiscal 2007 rose 5 percent to $109.4 million or $2.00 per diluted Class A Common Share, compared to $104.2 million or $2.07 per diluted Class A Common in fiscal 2006. Net income results for the year include cost reduction charges of $8.3 million after tax, or $0.15 per share. Average shares outstanding in fiscal 2007 were 54.7 million versus 50.4 million in fiscal 2006 due to last year’s equity offering.</w:t>
      </w:r>
    </w:p>
    <w:p>
      <w:pPr>
        <w:spacing w:after="0" w:line="5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“Fiscal 2007 was a very busy year for Brady, and included 7 acquisitions, 16 SAP implementations, and further expansions in Mexico, Thailand, Malaysia, India, China and the Philippines among other geographic areas. In spite of this high-level of activity throughout the year and challenges in some of our markets, we continued to grow at a rapid pace and reached record sales and net income for the year. Our strategy for sustainable growth is positioning us well to provide long-term shareholder value,” said Brady President and Chief Executive Officer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9" w:name="page70"/>
    <w:bookmarkEnd w:id="69"/>
    <w:p>
      <w:pPr>
        <w:ind w:right="20" w:firstLine="225"/>
        <w:spacing w:after="0" w:line="312" w:lineRule="auto"/>
        <w:rPr>
          <w:sz w:val="20"/>
          <w:szCs w:val="20"/>
          <w:color w:val="auto"/>
        </w:rPr>
      </w:pPr>
      <w:r>
        <w:rPr>
          <w:rFonts w:ascii="Arial" w:cs="Arial" w:eastAsia="Arial" w:hAnsi="Arial"/>
          <w:sz w:val="16"/>
          <w:szCs w:val="16"/>
          <w:color w:val="auto"/>
        </w:rPr>
        <w:t>“A particular highlight for our fiscal 2007 fourth quarter was the resumption of operating income margin expansion. Excluding charges for cost reductions, our operating income in the fourth quarter increased 31 percent outpacing the sales increase of 26 percent. Net income also increased despite significant cost reduction charges which exceeded our orginal estimates,” said Brady Senior Vice President and Chief Financial Officer David Mathieson.</w:t>
      </w:r>
    </w:p>
    <w:p>
      <w:pPr>
        <w:spacing w:after="0" w:line="39" w:lineRule="exact"/>
        <w:rPr>
          <w:sz w:val="20"/>
          <w:szCs w:val="20"/>
          <w:color w:val="auto"/>
        </w:rPr>
      </w:pPr>
    </w:p>
    <w:p>
      <w:pPr>
        <w:ind w:right="340" w:firstLine="222"/>
        <w:spacing w:after="0" w:line="308" w:lineRule="auto"/>
        <w:rPr>
          <w:sz w:val="20"/>
          <w:szCs w:val="20"/>
          <w:color w:val="auto"/>
        </w:rPr>
      </w:pPr>
      <w:r>
        <w:rPr>
          <w:rFonts w:ascii="Arial" w:cs="Arial" w:eastAsia="Arial" w:hAnsi="Arial"/>
          <w:sz w:val="17"/>
          <w:szCs w:val="17"/>
          <w:color w:val="auto"/>
        </w:rPr>
        <w:t>The company also issued guidance for fiscal 2008 of sales between $1.430 and $1.460 billion, net income between $129 and $135 million, and diluted earnings per share between $2.31 and $2.42. In keeping with prior practice, this guidance does not assume any future acquisitions.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Webcast regarding fiscal 2007 results will be available at www.investor.bradycorp.com beginning at 9:30 a.m. Central Daylight Time today.</w:t>
      </w:r>
    </w:p>
    <w:p>
      <w:pPr>
        <w:spacing w:after="0" w:line="117"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8,600 people at operations in the Americas, Europe and Asia/Pacific. More information is available on the Internet at </w:t>
      </w:r>
      <w:r>
        <w:rPr>
          <w:rFonts w:ascii="Arial" w:cs="Arial" w:eastAsia="Arial" w:hAnsi="Arial"/>
          <w:sz w:val="16"/>
          <w:szCs w:val="16"/>
          <w:u w:val="single" w:color="auto"/>
          <w:color w:val="auto"/>
        </w:rPr>
        <w:t>www.bradycorp.com</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regional segment for the three and twelve months ended July 31, 2007 and 2006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ind w:left="320"/>
              <w:spacing w:after="0"/>
              <w:rPr>
                <w:sz w:val="20"/>
                <w:szCs w:val="20"/>
                <w:color w:val="auto"/>
              </w:rPr>
            </w:pPr>
            <w:r>
              <w:rPr>
                <w:rFonts w:ascii="Arial" w:cs="Arial" w:eastAsia="Arial" w:hAnsi="Arial"/>
                <w:sz w:val="14"/>
                <w:szCs w:val="14"/>
                <w:color w:val="auto"/>
              </w:rPr>
              <w:t>Corporate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180" w:type="dxa"/>
            <w:vAlign w:val="bottom"/>
            <w:gridSpan w:val="3"/>
          </w:tcPr>
          <w:p>
            <w:pPr>
              <w:jc w:val="right"/>
              <w:ind w:right="500"/>
              <w:spacing w:after="0"/>
              <w:rPr>
                <w:sz w:val="20"/>
                <w:szCs w:val="20"/>
                <w:color w:val="auto"/>
              </w:rPr>
            </w:pPr>
            <w:r>
              <w:rPr>
                <w:rFonts w:ascii="Arial" w:cs="Arial" w:eastAsia="Arial" w:hAnsi="Arial"/>
                <w:sz w:val="14"/>
                <w:szCs w:val="14"/>
                <w:color w:val="auto"/>
              </w:rPr>
              <w:t>Americas</w:t>
            </w:r>
          </w:p>
        </w:tc>
        <w:tc>
          <w:tcPr>
            <w:tcW w:w="1680" w:type="dxa"/>
            <w:vAlign w:val="bottom"/>
            <w:gridSpan w:val="3"/>
          </w:tcPr>
          <w:p>
            <w:pPr>
              <w:jc w:val="right"/>
              <w:ind w:right="940"/>
              <w:spacing w:after="0"/>
              <w:rPr>
                <w:sz w:val="20"/>
                <w:szCs w:val="20"/>
                <w:color w:val="auto"/>
              </w:rPr>
            </w:pPr>
            <w:r>
              <w:rPr>
                <w:rFonts w:ascii="Arial" w:cs="Arial" w:eastAsia="Arial" w:hAnsi="Arial"/>
                <w:sz w:val="14"/>
                <w:szCs w:val="14"/>
                <w:color w:val="auto"/>
              </w:rPr>
              <w:t>Europe</w:t>
            </w:r>
          </w:p>
        </w:tc>
        <w:tc>
          <w:tcPr>
            <w:tcW w:w="1360" w:type="dxa"/>
            <w:vAlign w:val="bottom"/>
            <w:gridSpan w:val="3"/>
          </w:tcPr>
          <w:p>
            <w:pPr>
              <w:spacing w:after="0"/>
              <w:rPr>
                <w:sz w:val="20"/>
                <w:szCs w:val="20"/>
                <w:color w:val="auto"/>
              </w:rPr>
            </w:pPr>
            <w:r>
              <w:rPr>
                <w:rFonts w:ascii="Arial" w:cs="Arial" w:eastAsia="Arial" w:hAnsi="Arial"/>
                <w:sz w:val="14"/>
                <w:szCs w:val="14"/>
                <w:color w:val="auto"/>
              </w:rPr>
              <w:t>Asia</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Subtotals</w:t>
            </w:r>
          </w:p>
        </w:tc>
        <w:tc>
          <w:tcPr>
            <w:tcW w:w="1760" w:type="dxa"/>
            <w:vAlign w:val="bottom"/>
            <w:gridSpan w:val="3"/>
          </w:tcPr>
          <w:p>
            <w:pPr>
              <w:ind w:left="320"/>
              <w:spacing w:after="0"/>
              <w:rPr>
                <w:sz w:val="20"/>
                <w:szCs w:val="20"/>
                <w:color w:val="auto"/>
              </w:rPr>
            </w:pPr>
            <w:r>
              <w:rPr>
                <w:rFonts w:ascii="Arial" w:cs="Arial" w:eastAsia="Arial" w:hAnsi="Arial"/>
                <w:sz w:val="14"/>
                <w:szCs w:val="14"/>
                <w:color w:val="auto"/>
              </w:rPr>
              <w:t>Eliminations</w:t>
            </w:r>
          </w:p>
        </w:tc>
        <w:tc>
          <w:tcPr>
            <w:tcW w:w="1000" w:type="dxa"/>
            <w:vAlign w:val="bottom"/>
            <w:gridSpan w:val="3"/>
          </w:tcPr>
          <w:p>
            <w:pPr>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60" w:type="dxa"/>
            <w:vAlign w:val="bottom"/>
            <w:gridSpan w:val="3"/>
          </w:tcPr>
          <w:p>
            <w:pPr>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$ 169,063</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$ 114,035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79,667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362,765</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gridSpan w:val="2"/>
          </w:tcPr>
          <w:p>
            <w:pPr>
              <w:ind w:left="200"/>
              <w:spacing w:after="0"/>
              <w:rPr>
                <w:sz w:val="20"/>
                <w:szCs w:val="20"/>
                <w:color w:val="auto"/>
              </w:rPr>
            </w:pPr>
            <w:r>
              <w:rPr>
                <w:rFonts w:ascii="Arial" w:cs="Arial" w:eastAsia="Arial" w:hAnsi="Arial"/>
                <w:sz w:val="18"/>
                <w:szCs w:val="18"/>
                <w:color w:val="auto"/>
              </w:rPr>
              <w:t>July 31, 2006</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135,470</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88,966</w:t>
            </w:r>
          </w:p>
        </w:tc>
        <w:tc>
          <w:tcPr>
            <w:tcW w:w="1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63,897</w:t>
            </w:r>
          </w:p>
        </w:tc>
        <w:tc>
          <w:tcPr>
            <w:tcW w:w="1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288,333</w:t>
            </w:r>
          </w:p>
        </w:tc>
        <w:tc>
          <w:tcPr>
            <w:tcW w:w="320" w:type="dxa"/>
            <w:vAlign w:val="bottom"/>
          </w:tcPr>
          <w:p>
            <w:pPr>
              <w:spacing w:after="0"/>
              <w:rPr>
                <w:sz w:val="20"/>
                <w:szCs w:val="20"/>
                <w:color w:val="auto"/>
              </w:rPr>
            </w:pP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288,333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Twelve months ended: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200"/>
              <w:spacing w:after="0"/>
              <w:rPr>
                <w:sz w:val="20"/>
                <w:szCs w:val="20"/>
                <w:color w:val="auto"/>
              </w:rPr>
            </w:pPr>
            <w:r>
              <w:rPr>
                <w:rFonts w:ascii="Arial" w:cs="Arial" w:eastAsia="Arial" w:hAnsi="Arial"/>
                <w:sz w:val="18"/>
                <w:szCs w:val="18"/>
                <w:color w:val="auto"/>
              </w:rPr>
              <w:t>July 31, 2007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$ 609,855</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$ 416,513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336,263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1,362,631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1,362,631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2006</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498,916</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319,432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200,088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1,018,436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1,018,436</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SALES GROWTH INFORMATION</w:t>
            </w: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July 31, 2007:</w:t>
            </w: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Base</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8.6%</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0.3%</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5.1%</w:t>
            </w:r>
          </w:p>
        </w:tc>
        <w:tc>
          <w:tcPr>
            <w:tcW w:w="1380" w:type="dxa"/>
            <w:vAlign w:val="bottom"/>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w:t>
            </w: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w:t>
            </w:r>
          </w:p>
        </w:tc>
        <w:tc>
          <w:tcPr>
            <w:tcW w:w="15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w:t>
            </w:r>
          </w:p>
        </w:tc>
        <w:tc>
          <w:tcPr>
            <w:tcW w:w="13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58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18.8%</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24.8%</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Twelve months ended July 31, 2007:</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Currency</w:t>
            </w:r>
          </w:p>
        </w:tc>
        <w:tc>
          <w:tcPr>
            <w:tcW w:w="5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18.4%</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22.2%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39,143</w:t>
            </w:r>
          </w:p>
        </w:tc>
        <w:tc>
          <w:tcPr>
            <w:tcW w:w="1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$ 32,574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82,562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($2,475)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July 31, 2006</w:t>
            </w:r>
          </w:p>
        </w:tc>
        <w:tc>
          <w:tcPr>
            <w:tcW w:w="58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30,337</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21,899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12,192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64,428</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29.0%</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Twelve months ended:</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6"/>
              </w:rPr>
              <w:t>142,306</w:t>
            </w:r>
          </w:p>
        </w:tc>
        <w:tc>
          <w:tcPr>
            <w:tcW w:w="1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$ 107,552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57,236</w:t>
            </w:r>
          </w:p>
        </w:tc>
        <w:tc>
          <w:tcPr>
            <w:tcW w:w="16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$ 307,094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$ 298,886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July 31, 2006</w:t>
            </w:r>
          </w:p>
        </w:tc>
        <w:tc>
          <w:tcPr>
            <w:tcW w:w="58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w w:val="86"/>
              </w:rPr>
              <w:t>122,525</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83,970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49,316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255,811</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(10,633)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245,178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432"/>
        </w:trPr>
        <w:tc>
          <w:tcPr>
            <w:tcW w:w="47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6"/>
          </w:tcPr>
          <w:p>
            <w:pPr>
              <w:jc w:val="right"/>
              <w:ind w:right="11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24"/>
                <w:szCs w:val="24"/>
                <w:color w:val="auto"/>
              </w:rPr>
            </w:pPr>
          </w:p>
        </w:tc>
        <w:tc>
          <w:tcPr>
            <w:tcW w:w="2200" w:type="dxa"/>
            <w:vAlign w:val="bottom"/>
            <w:gridSpan w:val="5"/>
          </w:tcPr>
          <w:p>
            <w:pPr>
              <w:jc w:val="right"/>
              <w:ind w:right="56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rPr>
              <w:t>July 31, 2007</w:t>
            </w:r>
          </w:p>
        </w:tc>
        <w:tc>
          <w:tcPr>
            <w:tcW w:w="98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color w:val="auto"/>
                <w:w w:val="88"/>
              </w:rPr>
              <w:t>July 31, 2006</w:t>
            </w:r>
          </w:p>
        </w:tc>
        <w:tc>
          <w:tcPr>
            <w:tcW w:w="680" w:type="dxa"/>
            <w:vAlign w:val="bottom"/>
          </w:tcPr>
          <w:p>
            <w:pPr>
              <w:spacing w:after="0"/>
              <w:rPr>
                <w:sz w:val="12"/>
                <w:szCs w:val="12"/>
                <w:color w:val="auto"/>
              </w:rPr>
            </w:pPr>
          </w:p>
        </w:tc>
        <w:tc>
          <w:tcPr>
            <w:tcW w:w="14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31, 2007</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31,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82,562</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64,428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307,094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(2,475)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(8,208)</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(39,068)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(24,651)</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(126,899)</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8"/>
              </w:rPr>
              <w:t>(6,527)</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(5,311)</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(22,934)</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36,450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31,218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151,928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(10,206)</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(8,741)</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(42,540)</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26,244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22,477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109,388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104,175</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0" w:right="23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2006.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color w:val="auto"/>
                <w:w w:val="92"/>
              </w:rPr>
              <w:t>(Unaudited)</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color w:val="auto"/>
                <w:w w:val="92"/>
              </w:rPr>
              <w:t>Three Months Ended July 31st</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color w:val="auto"/>
                <w:w w:val="93"/>
              </w:rPr>
              <w:t>Twelve Months Ended July 31st</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86"/>
              </w:rPr>
              <w:t>Percentage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9"/>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6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2006</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362,765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288,333</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1,362,631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1,018,436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189,161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144,429</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705,587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492,681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173,604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143,904</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657,044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525,755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30,443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122,984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97,253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449,103</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338,796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132,585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107,019</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485,057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369,239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41,019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36,885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171,987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156,516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1,958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2,403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36,450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31,218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151,928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144,688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42,540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40,513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26,244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22,477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109,388</w:t>
            </w:r>
          </w:p>
        </w:tc>
        <w:tc>
          <w:tcPr>
            <w:tcW w:w="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104,175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0.49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0.52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0.49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0.50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(in Thousands):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54,047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50,791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53,907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49,494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51,672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50,385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color w:val="auto"/>
              </w:rPr>
              <w:t>(Unaudited)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July 31, 2007</w:t>
            </w: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142,846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19,200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($9,109 and $6,390, respectively)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239,569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Finished products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80,486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21,309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Raw materials and supplies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37,983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139,778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42,020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583,413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459,157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737,450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149,761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34,083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942,405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766,123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6,332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90,688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248,356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18,107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363,483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188,869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174,614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1,700,432</w:t>
            </w:r>
          </w:p>
        </w:tc>
        <w:tc>
          <w:tcPr>
            <w:tcW w:w="6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3480"/>
              <w:spacing w:after="0"/>
              <w:rPr>
                <w:sz w:val="20"/>
                <w:szCs w:val="20"/>
                <w:color w:val="auto"/>
              </w:rPr>
            </w:pPr>
            <w:r>
              <w:rPr>
                <w:rFonts w:ascii="Arial" w:cs="Arial" w:eastAsia="Arial" w:hAnsi="Arial"/>
                <w:sz w:val="18"/>
                <w:szCs w:val="18"/>
                <w:b w:val="1"/>
                <w:bCs w:val="1"/>
                <w:color w:val="auto"/>
              </w:rPr>
              <w:t>LIABILITIES AND STOCKHOLDERS’ INVESTMENT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91,596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73,622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8,461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25,542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60,254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Short-term borrowings and current maturities on long-term debt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21,444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280,919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218,620</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478,575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49,216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808,710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619,140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Class A nonvoting common stock — Issued 50,586,524 and 50,481,743 shares, respectively and outstanding</w:t>
            </w:r>
          </w:p>
        </w:tc>
        <w:tc>
          <w:tcPr>
            <w:tcW w:w="1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506</w:t>
            </w: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50,586,524 and 50,188,842 shares, respectively</w:t>
            </w:r>
          </w:p>
        </w:tc>
        <w:tc>
          <w:tcPr>
            <w:tcW w:w="10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266,203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540,238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 0 and 292,901 shares, respectively of Class A nonvoting common stock, at cost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(10,865)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84,086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800"/>
              <w:spacing w:after="0"/>
              <w:rPr>
                <w:sz w:val="20"/>
                <w:szCs w:val="20"/>
                <w:color w:val="auto"/>
              </w:rPr>
            </w:pPr>
            <w:r>
              <w:rPr>
                <w:rFonts w:ascii="Arial" w:cs="Arial" w:eastAsia="Arial" w:hAnsi="Arial"/>
                <w:sz w:val="18"/>
                <w:szCs w:val="18"/>
                <w:b w:val="1"/>
                <w:bCs w:val="1"/>
                <w:color w:val="auto"/>
              </w:rPr>
              <w:t>Total stockholders’ investment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891,722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746,046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$ 1,700,432</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tbl>
      <w:tblPr>
        <w:tblLayout w:type="fixed"/>
        <w:tblInd w:w="0" w:type="dxa"/>
        <w:tblCellMar>
          <w:top w:w="0" w:type="dxa"/>
          <w:left w:w="0" w:type="dxa"/>
          <w:bottom w:w="0" w:type="dxa"/>
          <w:right w:w="0" w:type="dxa"/>
        </w:tblCellMar>
      </w:tblPr>
      <w:tr>
        <w:trPr>
          <w:trHeight w:val="152"/>
        </w:trPr>
        <w:tc>
          <w:tcPr>
            <w:tcW w:w="9120" w:type="dxa"/>
            <w:vAlign w:val="bottom"/>
            <w:gridSpan w:val="2"/>
          </w:tcPr>
          <w:p>
            <w:pPr>
              <w:spacing w:after="0" w:line="153" w:lineRule="exact"/>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tcPr>
          <w:p>
            <w:pPr>
              <w:jc w:val="center"/>
              <w:ind w:left="471"/>
              <w:spacing w:after="0" w:line="153" w:lineRule="exact"/>
              <w:rPr>
                <w:sz w:val="20"/>
                <w:szCs w:val="20"/>
                <w:color w:val="auto"/>
              </w:rPr>
            </w:pPr>
            <w:r>
              <w:rPr>
                <w:rFonts w:ascii="Arial" w:cs="Arial" w:eastAsia="Arial" w:hAnsi="Arial"/>
                <w:sz w:val="14"/>
                <w:szCs w:val="14"/>
                <w:color w:val="auto"/>
                <w:w w:val="92"/>
              </w:rPr>
              <w:t>(Unaudited)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7"/>
          </w:tcPr>
          <w:p>
            <w:pPr>
              <w:jc w:val="center"/>
              <w:ind w:right="220"/>
              <w:spacing w:after="0" w:line="149" w:lineRule="exact"/>
              <w:rPr>
                <w:sz w:val="20"/>
                <w:szCs w:val="20"/>
                <w:color w:val="auto"/>
              </w:rPr>
            </w:pPr>
            <w:r>
              <w:rPr>
                <w:rFonts w:ascii="Arial" w:cs="Arial" w:eastAsia="Arial" w:hAnsi="Arial"/>
                <w:sz w:val="14"/>
                <w:szCs w:val="14"/>
                <w:color w:val="auto"/>
                <w:w w:val="93"/>
              </w:rPr>
              <w:t>Twelve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105"/>
              <w:spacing w:after="0"/>
              <w:rPr>
                <w:sz w:val="20"/>
                <w:szCs w:val="20"/>
                <w:color w:val="auto"/>
              </w:rPr>
            </w:pPr>
            <w:r>
              <w:rPr>
                <w:rFonts w:ascii="Arial" w:cs="Arial" w:eastAsia="Arial" w:hAnsi="Arial"/>
                <w:sz w:val="14"/>
                <w:szCs w:val="14"/>
                <w:color w:val="auto"/>
                <w:w w:val="94"/>
              </w:rPr>
              <w:t>July 31st</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109,388</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53,856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foreign currency contract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property, plant &amp;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3,287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6,907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(20,308)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8,058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7,198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136,018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(159,475)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(10,906)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60,400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(51,940)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 of foreign currency contract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2,166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(9,184)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(237,039)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(395,282)</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(30,141)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6,829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(110,870)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(417,601)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259,300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Income tax benefit from the exercise of stock options and deferred comp distributions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129,421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318,958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1,438</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29,838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113,008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142,846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19,842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49,233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87,398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(33,248)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105,325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247,098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00"/>
              <w:spacing w:after="0"/>
              <w:rPr>
                <w:sz w:val="20"/>
                <w:szCs w:val="20"/>
                <w:color w:val="auto"/>
              </w:rPr>
            </w:pPr>
            <w:r>
              <w:rPr>
                <w:rFonts w:ascii="Arial" w:cs="Arial" w:eastAsia="Arial" w:hAnsi="Arial"/>
                <w:sz w:val="18"/>
                <w:szCs w:val="18"/>
                <w:color w:val="auto"/>
              </w:rPr>
              <w:t>Net cash paid for acquisitions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159,475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6" w:name="page77"/>
    <w:bookmarkEnd w:id="76"/>
    <w:p>
      <w:pPr>
        <w:ind w:right="5540"/>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w w:val="97"/>
              </w:rPr>
              <w:t>Fiscal 2006</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Q1</w:t>
            </w:r>
          </w:p>
        </w:tc>
        <w:tc>
          <w:tcPr>
            <w:tcW w:w="340" w:type="dxa"/>
            <w:vAlign w:val="bottom"/>
          </w:tcPr>
          <w:p>
            <w:pPr>
              <w:spacing w:after="0"/>
              <w:rPr>
                <w:sz w:val="12"/>
                <w:szCs w:val="12"/>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Q2</w:t>
            </w:r>
          </w:p>
        </w:tc>
        <w:tc>
          <w:tcPr>
            <w:tcW w:w="1360" w:type="dxa"/>
            <w:vAlign w:val="bottom"/>
            <w:gridSpan w:val="2"/>
          </w:tcPr>
          <w:p>
            <w:pPr>
              <w:jc w:val="right"/>
              <w:ind w:right="920"/>
              <w:spacing w:after="0" w:line="142" w:lineRule="exact"/>
              <w:rPr>
                <w:sz w:val="20"/>
                <w:szCs w:val="20"/>
                <w:color w:val="auto"/>
              </w:rPr>
            </w:pPr>
            <w:r>
              <w:rPr>
                <w:rFonts w:ascii="Arial" w:cs="Arial" w:eastAsia="Arial" w:hAnsi="Arial"/>
                <w:sz w:val="14"/>
                <w:szCs w:val="14"/>
                <w:color w:val="auto"/>
              </w:rPr>
              <w:t>Q3</w:t>
            </w:r>
          </w:p>
        </w:tc>
        <w:tc>
          <w:tcPr>
            <w:tcW w:w="14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Total</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30,198</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$ 21,254</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$ 30,246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22,477</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$ 104,175</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1,989</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2,435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4,496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5,311</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14,231</w:t>
            </w:r>
          </w:p>
        </w:tc>
      </w:tr>
      <w:tr>
        <w:trPr>
          <w:trHeight w:val="216"/>
        </w:trPr>
        <w:tc>
          <w:tcPr>
            <w:tcW w:w="38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12,334</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7,675</w:t>
            </w:r>
          </w:p>
        </w:tc>
        <w:tc>
          <w:tcPr>
            <w:tcW w:w="680" w:type="dxa"/>
            <w:vAlign w:val="bottom"/>
          </w:tcPr>
          <w:p>
            <w:pPr>
              <w:jc w:val="right"/>
              <w:spacing w:after="0"/>
              <w:rPr>
                <w:sz w:val="20"/>
                <w:szCs w:val="20"/>
                <w:color w:val="auto"/>
              </w:rPr>
            </w:pPr>
            <w:r>
              <w:rPr>
                <w:rFonts w:ascii="Arial" w:cs="Arial" w:eastAsia="Arial" w:hAnsi="Arial"/>
                <w:sz w:val="18"/>
                <w:szCs w:val="18"/>
                <w:color w:val="auto"/>
              </w:rPr>
              <w:t>11,763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8,741</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40,513</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7,360</w:t>
            </w:r>
          </w:p>
        </w:tc>
        <w:tc>
          <w:tcPr>
            <w:tcW w:w="1680" w:type="dxa"/>
            <w:vAlign w:val="bottom"/>
            <w:tcBorders>
              <w:bottom w:val="single" w:sz="8" w:color="auto"/>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7,194</w:t>
            </w:r>
          </w:p>
        </w:tc>
        <w:tc>
          <w:tcPr>
            <w:tcW w:w="136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9,419</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11,171</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35,144</w:t>
            </w:r>
          </w:p>
        </w:tc>
      </w:tr>
      <w:tr>
        <w:trPr>
          <w:trHeight w:val="439"/>
        </w:trPr>
        <w:tc>
          <w:tcPr>
            <w:tcW w:w="38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51,881</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$ 38,558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$ 55,924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47,700</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$ 194,063</w:t>
            </w:r>
          </w:p>
        </w:tc>
      </w:tr>
      <w:tr>
        <w:trPr>
          <w:trHeight w:val="365"/>
        </w:trPr>
        <w:tc>
          <w:tcPr>
            <w:tcW w:w="3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w w:val="97"/>
              </w:rPr>
              <w:t>Fiscal 2007</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42"/>
        </w:trPr>
        <w:tc>
          <w:tcPr>
            <w:tcW w:w="3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Q1</w:t>
            </w:r>
          </w:p>
        </w:tc>
        <w:tc>
          <w:tcPr>
            <w:tcW w:w="340" w:type="dxa"/>
            <w:vAlign w:val="bottom"/>
          </w:tcPr>
          <w:p>
            <w:pPr>
              <w:spacing w:after="0"/>
              <w:rPr>
                <w:sz w:val="12"/>
                <w:szCs w:val="12"/>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Q2</w:t>
            </w:r>
          </w:p>
        </w:tc>
        <w:tc>
          <w:tcPr>
            <w:tcW w:w="1360" w:type="dxa"/>
            <w:vAlign w:val="bottom"/>
            <w:gridSpan w:val="2"/>
          </w:tcPr>
          <w:p>
            <w:pPr>
              <w:jc w:val="right"/>
              <w:ind w:right="920"/>
              <w:spacing w:after="0" w:line="142" w:lineRule="exact"/>
              <w:rPr>
                <w:sz w:val="20"/>
                <w:szCs w:val="20"/>
                <w:color w:val="auto"/>
              </w:rPr>
            </w:pPr>
            <w:r>
              <w:rPr>
                <w:rFonts w:ascii="Arial" w:cs="Arial" w:eastAsia="Arial" w:hAnsi="Arial"/>
                <w:sz w:val="14"/>
                <w:szCs w:val="14"/>
                <w:color w:val="auto"/>
              </w:rPr>
              <w:t>Q3</w:t>
            </w:r>
          </w:p>
        </w:tc>
        <w:tc>
          <w:tcPr>
            <w:tcW w:w="14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Total</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34,448</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$ 19,709</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$ 28,987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26,244</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$ 109,388</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4,735</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5,244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6,527</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22,934</w:t>
            </w:r>
          </w:p>
        </w:tc>
      </w:tr>
      <w:tr>
        <w:trPr>
          <w:trHeight w:val="216"/>
        </w:trPr>
        <w:tc>
          <w:tcPr>
            <w:tcW w:w="38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13,396</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7,665</w:t>
            </w:r>
          </w:p>
        </w:tc>
        <w:tc>
          <w:tcPr>
            <w:tcW w:w="680" w:type="dxa"/>
            <w:vAlign w:val="bottom"/>
          </w:tcPr>
          <w:p>
            <w:pPr>
              <w:jc w:val="right"/>
              <w:spacing w:after="0"/>
              <w:rPr>
                <w:sz w:val="20"/>
                <w:szCs w:val="20"/>
                <w:color w:val="auto"/>
              </w:rPr>
            </w:pPr>
            <w:r>
              <w:rPr>
                <w:rFonts w:ascii="Arial" w:cs="Arial" w:eastAsia="Arial" w:hAnsi="Arial"/>
                <w:sz w:val="18"/>
                <w:szCs w:val="18"/>
                <w:color w:val="auto"/>
              </w:rPr>
              <w:t>11,273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10,206</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42,540</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12,927</w:t>
            </w:r>
          </w:p>
        </w:tc>
        <w:tc>
          <w:tcPr>
            <w:tcW w:w="1680" w:type="dxa"/>
            <w:vAlign w:val="bottom"/>
            <w:tcBorders>
              <w:bottom w:val="single" w:sz="8" w:color="auto"/>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13,169</w:t>
            </w:r>
          </w:p>
        </w:tc>
        <w:tc>
          <w:tcPr>
            <w:tcW w:w="136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14,307</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13,453</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53,856</w:t>
            </w:r>
          </w:p>
        </w:tc>
      </w:tr>
      <w:tr>
        <w:trPr>
          <w:trHeight w:val="439"/>
        </w:trPr>
        <w:tc>
          <w:tcPr>
            <w:tcW w:w="38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65,506</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$ 45,787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$ 60,995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56,430</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$ 228,718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93"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ectPr>
          <w:pgSz w:w="11900" w:h="16838" w:orient="portrait"/>
          <w:cols w:equalWidth="0" w:num="1">
            <w:col w:w="11420"/>
          </w:cols>
          <w:pgMar w:left="240" w:top="9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Barbara Bolens (414) 438-6940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quarterly dividend to shareholders</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MILWAUKEE (September 11, 2007) — Brady Corporation’s (NYSE: BRC) Board of Directors has announced an increase in its quarterly dividend to shareholders of the company’s Class A Common Stock, from $0.14 to $0.15 per share. The dividend will be paid on October 31, 2007, to shareholders of record at the close of business on October 10, 2007. This dividend is the 22nd consecutive annual increase in dividends since the company went public in 1984.</w:t>
      </w:r>
    </w:p>
    <w:p>
      <w:pPr>
        <w:spacing w:after="0" w:line="79"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8,600 people at operations in the Americas, Europe and Asia/Pacific. Brady’s fiscal 2006 sales were approximately $1.018 billion.</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The company plans to release its fiscal 2007 results tomorrow September 12, 2007. More information is available on the Internet at </w:t>
      </w:r>
      <w:r>
        <w:rPr>
          <w:rFonts w:ascii="Arial" w:cs="Arial" w:eastAsia="Arial" w:hAnsi="Arial"/>
          <w:sz w:val="16"/>
          <w:szCs w:val="16"/>
          <w:u w:val="single" w:color="auto"/>
          <w:color w:val="auto"/>
        </w:rPr>
        <w:t>www.bradycorp.com</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414"/>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1)"/>
      <w:numFmt w:val="lowerLetter"/>
      <w:start w:val="5"/>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3"/>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1"/>
    </w:lvl>
    <w:lvl w:ilvl="1">
      <w:lvlJc w:val="left"/>
      <w:lvlText w:val="(%2)"/>
      <w:numFmt w:val="lowerRoman"/>
      <w:start w:val="2"/>
    </w:lvl>
  </w:abstractNum>
  <w:abstractNum w:abstractNumId="9">
    <w:nsid w:val="813864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10">
    <w:nsid w:val="1E7FF521"/>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11">
    <w:nsid w:val="7C3DBD3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
    <w:nsid w:val="737B8DD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
    <w:nsid w:val="6CEAF08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
    <w:nsid w:val="22221A7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5">
    <w:nsid w:val="4516DDE9"/>
    <w:multiLevelType w:val="hybridMultilevel"/>
    <w:lvl w:ilvl="0">
      <w:lvlJc w:val="left"/>
      <w:lvlText w:val="(%1)"/>
      <w:numFmt w:val="lowerRoman"/>
      <w:start w:val="2"/>
    </w:lvl>
  </w:abstractNum>
  <w:abstractNum w:abstractNumId="16">
    <w:nsid w:val="3006C83E"/>
    <w:multiLevelType w:val="hybridMultilevel"/>
    <w:lvl w:ilvl="0">
      <w:lvlJc w:val="left"/>
      <w:lvlText w:val="(%1)"/>
      <w:numFmt w:val="decimal"/>
      <w:start w:val="5"/>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lvl w:ilvl="1">
      <w:lvlJc w:val="left"/>
      <w:lvlText w:val="(%2)"/>
      <w:numFmt w:val="lowerRoman"/>
      <w:start w:val="1"/>
    </w:lvl>
  </w:abstractNum>
  <w:abstractNum w:abstractNumId="19">
    <w:nsid w:val="5577F8E1"/>
    <w:multiLevelType w:val="hybridMultilevel"/>
    <w:lvl w:ilvl="0">
      <w:lvlJc w:val="left"/>
      <w:lvlText w:val="(%1)"/>
      <w:numFmt w:val="lowerLetter"/>
      <w:start w:val="3"/>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1"/>
    </w:lvl>
    <w:lvl w:ilvl="1">
      <w:lvlJc w:val="left"/>
      <w:lvlText w:val="(%2)"/>
      <w:numFmt w:val="lowerRoman"/>
      <w:start w:val="2"/>
    </w:lvl>
  </w:abstractNum>
  <w:abstractNum w:abstractNumId="22">
    <w:nsid w:val="3804823E"/>
    <w:multiLevelType w:val="hybridMultilevel"/>
    <w:lvl w:ilvl="0">
      <w:lvlJc w:val="left"/>
      <w:lvlText w:val="%1"/>
      <w:numFmt w:val="lowerLetter"/>
      <w:start w:val="1"/>
    </w:lvl>
    <w:lvl w:ilvl="1">
      <w:lvlJc w:val="left"/>
      <w:lvlText w:val="(%2)"/>
      <w:numFmt w:val="lowerRoman"/>
      <w:start w:val="6"/>
    </w:lvl>
  </w:abstractNum>
  <w:abstractNum w:abstractNumId="23">
    <w:nsid w:val="77465F01"/>
    <w:multiLevelType w:val="hybridMultilevel"/>
    <w:lvl w:ilvl="0">
      <w:lvlJc w:val="left"/>
      <w:lvlText w:val="(%1)"/>
      <w:numFmt w:val="lowerLetter"/>
      <w:start w:val="3"/>
    </w:lvl>
    <w:lvl w:ilvl="1">
      <w:lvlJc w:val="left"/>
      <w:lvlText w:val="%2"/>
      <w:numFmt w:val="lowerRoman"/>
      <w:start w:val="1"/>
    </w:lvl>
  </w:abstractNum>
  <w:abstractNum w:abstractNumId="24">
    <w:nsid w:val="7724C67E"/>
    <w:multiLevelType w:val="hybridMultilevel"/>
    <w:lvl w:ilvl="0">
      <w:lvlJc w:val="left"/>
      <w:lvlText w:val="(%1)"/>
      <w:numFmt w:val="lowerLetter"/>
      <w:start w:val="4"/>
    </w:lvl>
  </w:abstractNum>
  <w:abstractNum w:abstractNumId="25">
    <w:nsid w:val="5C482A97"/>
    <w:multiLevelType w:val="hybridMultilevel"/>
    <w:lvl w:ilvl="0">
      <w:lvlJc w:val="left"/>
      <w:lvlText w:val="(%1)"/>
      <w:numFmt w:val="lowerRoman"/>
      <w:start w:val="1"/>
    </w:lvl>
    <w:lvl w:ilvl="1">
      <w:lvlJc w:val="left"/>
      <w:lvlText w:val="(%2)"/>
      <w:numFmt w:val="upperLetter"/>
      <w:start w:val="1"/>
    </w:lvl>
  </w:abstractNum>
  <w:abstractNum w:abstractNumId="26">
    <w:nsid w:val="2463B9EA"/>
    <w:multiLevelType w:val="hybridMultilevel"/>
    <w:lvl w:ilvl="0">
      <w:lvlJc w:val="left"/>
      <w:lvlText w:val="%1"/>
      <w:numFmt w:val="lowerRoman"/>
      <w:start w:val="1"/>
    </w:lvl>
    <w:lvl w:ilvl="1">
      <w:lvlJc w:val="left"/>
      <w:lvlText w:val="(%2)"/>
      <w:numFmt w:val="upperLetter"/>
      <w:start w:val="2"/>
    </w:lvl>
  </w:abstractNum>
  <w:abstractNum w:abstractNumId="27">
    <w:nsid w:val="5E884ADC"/>
    <w:multiLevelType w:val="hybridMultilevel"/>
    <w:lvl w:ilvl="0">
      <w:lvlJc w:val="left"/>
      <w:lvlText w:val="(%1)"/>
      <w:numFmt w:val="lowerRoman"/>
      <w:start w:val="3"/>
    </w:lvl>
    <w:lvl w:ilvl="1">
      <w:lvlJc w:val="left"/>
      <w:lvlText w:val="(%2)"/>
      <w:numFmt w:val="upp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lvl w:ilvl="1">
      <w:lvlJc w:val="left"/>
      <w:lvlText w:val="(%2)"/>
      <w:numFmt w:val="lowerRoman"/>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3"/>
    </w:lvl>
  </w:abstractNum>
  <w:abstractNum w:abstractNumId="33">
    <w:nsid w:val="70A64E2A"/>
    <w:multiLevelType w:val="hybridMultilevel"/>
    <w:lvl w:ilvl="0">
      <w:lvlJc w:val="left"/>
      <w:lvlText w:val="(%1)"/>
      <w:numFmt w:val="lowerLetter"/>
      <w:start w:val="4"/>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lvl w:ilvl="1">
      <w:lvlJc w:val="left"/>
      <w:lvlText w:val="(%2)"/>
      <w:numFmt w:val="lowerLetter"/>
      <w:start w:val="35"/>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
    <w:nsid w:val="6DE91B18"/>
    <w:multiLevelType w:val="hybridMultilevel"/>
    <w:lvl w:ilvl="0">
      <w:lvlJc w:val="left"/>
      <w:lvlText w:val="(%1)"/>
      <w:numFmt w:val="lowerLetter"/>
      <w:start w:val="2"/>
    </w:lvl>
    <w:lvl w:ilvl="1">
      <w:lvlJc w:val="left"/>
      <w:lvlText w:val="(%2)"/>
      <w:numFmt w:val="lowerRoman"/>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Letter"/>
      <w:start w:val="2"/>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2019-12-13T14:26:00Z</dcterms:created>
  <dcterms:modified xsi:type="dcterms:W3CDTF">2019-12-13T14:26:00Z</dcterms:modified>
</cp:coreProperties>
</file>