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October 31, 2010</w:t>
      </w:r>
    </w:p>
    <w:p>
      <w:pPr>
        <w:spacing w:after="0" w:line="185"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ind w:left="1900"/>
              <w:spacing w:after="0"/>
              <w:rPr>
                <w:sz w:val="20"/>
                <w:szCs w:val="20"/>
                <w:color w:val="auto"/>
              </w:rPr>
            </w:pPr>
            <w:r>
              <w:rPr>
                <w:rFonts w:ascii="Arial" w:cs="Arial" w:eastAsia="Arial" w:hAnsi="Arial"/>
                <w:sz w:val="18"/>
                <w:szCs w:val="18"/>
                <w:b w:val="1"/>
                <w:bCs w:val="1"/>
                <w:color w:val="auto"/>
              </w:rPr>
              <w:t>Wisconsin</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39-0178960</w:t>
            </w:r>
          </w:p>
        </w:tc>
      </w:tr>
      <w:tr>
        <w:trPr>
          <w:trHeight w:val="209"/>
        </w:trPr>
        <w:tc>
          <w:tcPr>
            <w:tcW w:w="4600" w:type="dxa"/>
            <w:vAlign w:val="bottom"/>
            <w:tcBorders>
              <w:top w:val="single" w:sz="8" w:color="auto"/>
            </w:tcBorders>
          </w:tcPr>
          <w:p>
            <w:pPr>
              <w:ind w:left="1220"/>
              <w:spacing w:after="0"/>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8"/>
                <w:szCs w:val="18"/>
                <w:color w:val="auto"/>
              </w:rPr>
            </w:pPr>
          </w:p>
        </w:tc>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ind w:left="1220"/>
              <w:spacing w:after="0"/>
              <w:rPr>
                <w:sz w:val="20"/>
                <w:szCs w:val="20"/>
                <w:color w:val="auto"/>
              </w:rPr>
            </w:pPr>
            <w:r>
              <w:rPr>
                <w:rFonts w:ascii="Arial" w:cs="Arial" w:eastAsia="Arial" w:hAnsi="Arial"/>
                <w:sz w:val="18"/>
                <w:szCs w:val="18"/>
                <w:color w:val="auto"/>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98"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(Zip Code)</w:t>
      </w:r>
    </w:p>
    <w:p>
      <w:pPr>
        <w:spacing w:after="0" w:line="18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5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240" w:val="left"/>
          <w:tab w:leader="none" w:pos="558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2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APPLICABLE ONLY TO CORPORATE ISSUERS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As of December 2, 2010, there were outstanding 49,031,965 shares of Class A Nonvoting Common Stock and 3,538,628 shares of Class B Voting Common Stock. The Class B Voting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115570</wp:posOffset>
            </wp:positionV>
            <wp:extent cx="617474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791210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40" w:type="dxa"/>
            <w:vAlign w:val="bottom"/>
            <w:gridSpan w:val="4"/>
          </w:tcPr>
          <w:p>
            <w:pPr>
              <w:jc w:val="center"/>
              <w:ind w:right="3060"/>
              <w:spacing w:after="0"/>
              <w:rPr>
                <w:sz w:val="20"/>
                <w:szCs w:val="20"/>
                <w:color w:val="auto"/>
              </w:rPr>
            </w:pPr>
            <w:r>
              <w:rPr>
                <w:rFonts w:ascii="Arial" w:cs="Arial" w:eastAsia="Arial" w:hAnsi="Arial"/>
                <w:sz w:val="18"/>
                <w:szCs w:val="18"/>
                <w:color w:val="auto"/>
                <w:w w:val="93"/>
              </w:rPr>
              <w:t>FORM 10-Q</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5"/>
          </w:tcPr>
          <w:p>
            <w:pPr>
              <w:jc w:val="center"/>
              <w:ind w:right="2760"/>
              <w:spacing w:after="0"/>
              <w:rPr>
                <w:sz w:val="20"/>
                <w:szCs w:val="20"/>
                <w:color w:val="auto"/>
              </w:rPr>
            </w:pPr>
            <w:r>
              <w:rPr>
                <w:rFonts w:ascii="Arial" w:cs="Arial" w:eastAsia="Arial" w:hAnsi="Arial"/>
                <w:sz w:val="18"/>
                <w:szCs w:val="18"/>
                <w:color w:val="auto"/>
                <w:w w:val="96"/>
              </w:rPr>
              <w:t>BRADY CORPORATION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gridSpan w:val="3"/>
          </w:tcPr>
          <w:p>
            <w:pPr>
              <w:jc w:val="center"/>
              <w:ind w:right="334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00" w:type="dxa"/>
            <w:vAlign w:val="bottom"/>
            <w:gridSpan w:val="9"/>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460" w:type="dxa"/>
            <w:vAlign w:val="bottom"/>
            <w:gridSpan w:val="9"/>
            <w:vMerge w:val="restart"/>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200" w:type="dxa"/>
            <w:vAlign w:val="bottom"/>
            <w:tcBorders>
              <w:bottom w:val="single" w:sz="8" w:color="0000EE"/>
            </w:tcBorders>
            <w:gridSpan w:val="9"/>
            <w:vMerge w:val="continue"/>
          </w:tcPr>
          <w:p>
            <w:pPr>
              <w:spacing w:after="0"/>
              <w:rPr>
                <w:sz w:val="14"/>
                <w:szCs w:val="14"/>
                <w:color w:val="auto"/>
              </w:rPr>
            </w:pPr>
          </w:p>
        </w:tc>
        <w:tc>
          <w:tcPr>
            <w:tcW w:w="6460" w:type="dxa"/>
            <w:vAlign w:val="bottom"/>
            <w:gridSpan w:val="9"/>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3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5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Item 2.</w:t>
              </w:r>
            </w:hyperlink>
          </w:p>
        </w:tc>
        <w:tc>
          <w:tcPr>
            <w:tcW w:w="7940" w:type="dxa"/>
            <w:vAlign w:val="bottom"/>
            <w:gridSpan w:val="14"/>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jc w:val="cente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6480" w:type="dxa"/>
            <w:vAlign w:val="bottom"/>
            <w:tcBorders>
              <w:top w:val="single" w:sz="8" w:color="0000EE"/>
            </w:tcBorders>
            <w:gridSpan w:val="13"/>
          </w:tcPr>
          <w:p>
            <w:pPr>
              <w:ind w:left="20"/>
              <w:spacing w:after="0"/>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jc w:val="cente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6"/>
          </w:tcPr>
          <w:p>
            <w:pPr>
              <w:ind w:left="20"/>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200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PART II. Other Information</w:t>
              </w:r>
            </w:hyperlink>
          </w:p>
        </w:tc>
        <w:tc>
          <w:tcPr>
            <w:tcW w:w="6660" w:type="dxa"/>
            <w:vAlign w:val="bottom"/>
            <w:gridSpan w:val="10"/>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jc w:val="cente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7940" w:type="dxa"/>
            <w:vAlign w:val="bottom"/>
            <w:gridSpan w:val="1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24"/>
                <w:szCs w:val="24"/>
                <w:color w:val="auto"/>
              </w:rPr>
            </w:pPr>
          </w:p>
        </w:tc>
        <w:tc>
          <w:tcPr>
            <w:tcW w:w="7320" w:type="dxa"/>
            <w:vAlign w:val="bottom"/>
            <w:gridSpan w:val="11"/>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8620" w:type="dxa"/>
            <w:vAlign w:val="bottom"/>
            <w:gridSpan w:val="17"/>
          </w:tcPr>
          <w:p>
            <w:pPr>
              <w:jc w:val="center"/>
              <w:ind w:right="7760"/>
              <w:spacing w:after="0"/>
              <w:rPr>
                <w:sz w:val="20"/>
                <w:szCs w:val="20"/>
                <w:color w:val="auto"/>
              </w:rPr>
            </w:pPr>
            <w:r>
              <w:rPr>
                <w:rFonts w:ascii="Arial" w:cs="Arial" w:eastAsia="Arial" w:hAnsi="Arial"/>
                <w:sz w:val="18"/>
                <w:szCs w:val="18"/>
                <w:color w:val="0000EE"/>
                <w:w w:val="91"/>
              </w:rPr>
              <w:t>Exhibit 31.1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jc w:val="center"/>
              <w:ind w:right="7760"/>
              <w:spacing w:after="0" w:line="196" w:lineRule="exact"/>
              <w:rPr>
                <w:sz w:val="20"/>
                <w:szCs w:val="20"/>
                <w:color w:val="auto"/>
              </w:rPr>
            </w:pPr>
            <w:r>
              <w:rPr>
                <w:rFonts w:ascii="Arial" w:cs="Arial" w:eastAsia="Arial" w:hAnsi="Arial"/>
                <w:sz w:val="18"/>
                <w:szCs w:val="18"/>
                <w:color w:val="0000EE"/>
                <w:w w:val="91"/>
              </w:rPr>
              <w:t>Exhibit 31.2</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620" w:type="dxa"/>
            <w:vAlign w:val="bottom"/>
            <w:gridSpan w:val="17"/>
          </w:tcPr>
          <w:p>
            <w:pPr>
              <w:jc w:val="center"/>
              <w:ind w:right="7760"/>
              <w:spacing w:after="0" w:line="196" w:lineRule="exact"/>
              <w:rPr>
                <w:sz w:val="20"/>
                <w:szCs w:val="20"/>
                <w:color w:val="auto"/>
              </w:rPr>
            </w:pPr>
            <w:r>
              <w:rPr>
                <w:rFonts w:ascii="Arial" w:cs="Arial" w:eastAsia="Arial" w:hAnsi="Arial"/>
                <w:sz w:val="18"/>
                <w:szCs w:val="18"/>
                <w:color w:val="0000EE"/>
                <w:w w:val="91"/>
              </w:rPr>
              <w:t>Exhibit 32.1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Exhibit 32.2</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0" w:lineRule="exact"/>
        <w:rPr>
          <w:sz w:val="20"/>
          <w:szCs w:val="20"/>
          <w:color w:val="auto"/>
        </w:rPr>
      </w:pP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October 31, 2010</w:t>
            </w:r>
          </w:p>
        </w:tc>
        <w:tc>
          <w:tcPr>
            <w:tcW w:w="126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July 31, 2010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326,100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242,207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53,935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15,781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31,479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38,017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707,519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786,203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101,070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21,261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6,346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102,781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295,605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415,758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273,437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Property, plant and equipment —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r>
      <w:tr>
        <w:trPr>
          <w:trHeight w:val="223"/>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1,805,248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95,513</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51,577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19,975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Short-term borrowings and current maturities on long-term obligations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61,264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291,126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389,660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r>
      <w:tr>
        <w:trPr>
          <w:trHeight w:val="223"/>
        </w:trPr>
        <w:tc>
          <w:tcPr>
            <w:tcW w:w="340" w:type="dxa"/>
            <w:vAlign w:val="bottom"/>
          </w:tcPr>
          <w:p>
            <w:pPr>
              <w:spacing w:after="0"/>
              <w:rPr>
                <w:sz w:val="19"/>
                <w:szCs w:val="19"/>
                <w:color w:val="auto"/>
              </w:rPr>
            </w:pPr>
          </w:p>
        </w:tc>
        <w:tc>
          <w:tcPr>
            <w:tcW w:w="69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748,029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741,504</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9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 xml:space="preserve">Class A nonvoting common stock </w:t>
            </w:r>
            <w:r>
              <w:rPr>
                <w:rFonts w:ascii="Arial" w:cs="Arial" w:eastAsia="Arial" w:hAnsi="Arial"/>
                <w:sz w:val="18"/>
                <w:szCs w:val="18"/>
                <w:b w:val="1"/>
                <w:bCs w:val="1"/>
                <w:color w:val="auto"/>
              </w:rPr>
              <w:t>—</w:t>
            </w:r>
            <w:r>
              <w:rPr>
                <w:rFonts w:ascii="Arial" w:cs="Arial" w:eastAsia="Arial" w:hAnsi="Arial"/>
                <w:sz w:val="18"/>
                <w:szCs w:val="18"/>
                <w:color w:val="auto"/>
              </w:rPr>
              <w:t xml:space="preserve"> Issued 51,261,487 and 51,261,487 shares,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respectively and outstanding 48,981,331 and 48,875,716 shares, respectively</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Class B voting common stock </w:t>
            </w:r>
            <w:r>
              <w:rPr>
                <w:rFonts w:ascii="Arial" w:cs="Arial" w:eastAsia="Arial" w:hAnsi="Arial"/>
                <w:sz w:val="18"/>
                <w:szCs w:val="18"/>
                <w:b w:val="1"/>
                <w:bCs w:val="1"/>
                <w:color w:val="auto"/>
              </w:rPr>
              <w:t>—</w:t>
            </w:r>
            <w:r>
              <w:rPr>
                <w:rFonts w:ascii="Arial" w:cs="Arial" w:eastAsia="Arial" w:hAnsi="Arial"/>
                <w:sz w:val="18"/>
                <w:szCs w:val="18"/>
                <w:color w:val="auto"/>
              </w:rPr>
              <w:t xml:space="preserve"> Issued and outstanding 3,538,628 shares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306,474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304,205</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735,368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718,512</w:t>
            </w:r>
          </w:p>
        </w:tc>
      </w:tr>
      <w:tr>
        <w:trPr>
          <w:trHeight w:val="202"/>
        </w:trPr>
        <w:tc>
          <w:tcPr>
            <w:tcW w:w="340" w:type="dxa"/>
            <w:vAlign w:val="bottom"/>
          </w:tcPr>
          <w:p>
            <w:pPr>
              <w:spacing w:after="0"/>
              <w:rPr>
                <w:sz w:val="17"/>
                <w:szCs w:val="17"/>
                <w:color w:val="auto"/>
              </w:rPr>
            </w:pPr>
          </w:p>
        </w:tc>
        <w:tc>
          <w:tcPr>
            <w:tcW w:w="694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8"/>
              </w:rPr>
              <w:t xml:space="preserve">Treasury stock </w:t>
            </w:r>
            <w:r>
              <w:rPr>
                <w:rFonts w:ascii="Arial" w:cs="Arial" w:eastAsia="Arial" w:hAnsi="Arial"/>
                <w:sz w:val="18"/>
                <w:szCs w:val="18"/>
                <w:b w:val="1"/>
                <w:bCs w:val="1"/>
                <w:color w:val="auto"/>
                <w:w w:val="98"/>
              </w:rPr>
              <w:t>—</w:t>
            </w:r>
            <w:r>
              <w:rPr>
                <w:rFonts w:ascii="Arial" w:cs="Arial" w:eastAsia="Arial" w:hAnsi="Arial"/>
                <w:sz w:val="18"/>
                <w:szCs w:val="18"/>
                <w:color w:val="auto"/>
                <w:w w:val="98"/>
              </w:rPr>
              <w:t xml:space="preserve"> 1,970,156 and 2,175,771 shares, respectively of Class A nonvoting</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(60,208)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(66,314)</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(5,175)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1,057,219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1,005,027</w:t>
            </w:r>
          </w:p>
        </w:tc>
      </w:tr>
      <w:tr>
        <w:trPr>
          <w:trHeight w:val="223"/>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1,805,248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908"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90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Three Months Ended October 31,</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(Unaudited)</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90"/>
              </w:rPr>
              <w:t>Percentage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329,588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318,486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165,076</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161,043</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164,512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157,443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9,609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109,324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108,676</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3,601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122,909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121,886</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41,603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35,557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504.2%</w:t>
            </w:r>
          </w:p>
        </w:tc>
        <w:tc>
          <w:tcPr>
            <w:tcW w:w="0" w:type="dxa"/>
            <w:vAlign w:val="bottom"/>
          </w:tcPr>
          <w:p>
            <w:pPr>
              <w:spacing w:after="0"/>
              <w:rPr>
                <w:sz w:val="1"/>
                <w:szCs w:val="1"/>
                <w:color w:val="auto"/>
              </w:rPr>
            </w:pPr>
          </w:p>
        </w:tc>
      </w:tr>
      <w:tr>
        <w:trPr>
          <w:trHeight w:val="223"/>
        </w:trPr>
        <w:tc>
          <w:tcPr>
            <w:tcW w:w="59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(5,687)</w:t>
            </w:r>
          </w:p>
        </w:tc>
        <w:tc>
          <w:tcPr>
            <w:tcW w:w="2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(5,162)</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36,206</w:t>
            </w:r>
          </w:p>
        </w:tc>
        <w:tc>
          <w:tcPr>
            <w:tcW w:w="3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30,443</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8,775</w:t>
            </w:r>
          </w:p>
        </w:tc>
        <w:tc>
          <w:tcPr>
            <w:tcW w:w="3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26,281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21,668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Per Class A Nonvoting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0.41</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0.175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92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52,337</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52,810</w:t>
            </w: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52,943</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9"/>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Three Months Ended</w:t>
            </w: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October 31,</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26,281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21,668</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Adjustments to reconcile net income to net cash provided by (used in) operating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12,594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13,817</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4,069</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2,952</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Changes in operating assets and liabilities (net of effects of business acquisitions):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(13,614)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(28,818)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(3,689)</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60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(16,909)</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19,801</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10,245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4,626</w:t>
            </w:r>
          </w:p>
        </w:tc>
      </w:tr>
      <w:tr>
        <w:trPr>
          <w:trHeight w:val="223"/>
        </w:trPr>
        <w:tc>
          <w:tcPr>
            <w:tcW w:w="340" w:type="dxa"/>
            <w:vAlign w:val="bottom"/>
          </w:tcPr>
          <w:p>
            <w:pPr>
              <w:spacing w:after="0"/>
              <w:rPr>
                <w:sz w:val="19"/>
                <w:szCs w:val="19"/>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16,157</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33,836</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(1,840)</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(9,001)</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(908)</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(10,761)</w:t>
            </w: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 of dividends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(9,424)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(8,578)</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2,105</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 tax benefit from the exercise of stock options and deferred compensation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23"/>
        </w:trPr>
        <w:tc>
          <w:tcPr>
            <w:tcW w:w="340" w:type="dxa"/>
            <w:vAlign w:val="bottom"/>
          </w:tcPr>
          <w:p>
            <w:pPr>
              <w:spacing w:after="0"/>
              <w:rPr>
                <w:sz w:val="19"/>
                <w:szCs w:val="19"/>
                <w:color w:val="auto"/>
              </w:rPr>
            </w:pPr>
          </w:p>
        </w:tc>
        <w:tc>
          <w:tcPr>
            <w:tcW w:w="7000" w:type="dxa"/>
            <w:vAlign w:val="bottom"/>
            <w:gridSpan w:val="2"/>
          </w:tcPr>
          <w:p>
            <w:pPr>
              <w:ind w:left="80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(7,465)</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4,096</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11,260</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19,482</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314,840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188,156</w:t>
            </w: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326,100</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207,638</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Cash paid during the period for: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net of capitalized interest</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7,211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7,904</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Income taxes, net of refunds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5,907</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Fair value of assets acquired, net of cash</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Liabilities assumed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cash paid for acquisitions</w:t>
            </w:r>
          </w:p>
        </w:tc>
        <w:tc>
          <w:tcPr>
            <w:tcW w:w="5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Three Months Ended October 31, 2010</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October 31, 2010 and July 3l, 2010, and its results of operations and cash flows for the three months ended October 31, 2010 and 2009. The condensed consolidated balance sheet as of July 31, 2010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4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condensed or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2010.</w:t>
      </w:r>
    </w:p>
    <w:p>
      <w:pPr>
        <w:spacing w:after="0" w:line="16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reclassified certain prior year financial statement amounts to conform to their current year presentation. The operating activities including “Other,” “Other liabilities,” and “Accounts payable and accrued liabilities”, which were previously disclosed as single line items, have been combined and reported as “Accounts payable and other liabilities” on the Condensed Consolidated Statement of Cash Flows for the three months ended October 31, 2009. These reclassifications had no effect on total assets, net income, or earnings per share.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carrying amount of goodwill for the quarter ended October 31, 2010,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Americas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6"/>
              </w:rPr>
              <w:t>Europe</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Asia-Pacific</w:t>
            </w:r>
          </w:p>
        </w:tc>
        <w:tc>
          <w:tcPr>
            <w:tcW w:w="18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425,018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163,189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Current year 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17,603</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Balance as of October 31, 2010</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425,843</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172,916</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187,444</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786,203</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Goodwill increased $17,603 during the three months ended October 31, 2010 due to the effects of foreign currency translation.</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at October 31, 2010 and July 31, 2010 did not include any accumulated impairment losses.</w:t>
      </w:r>
    </w:p>
    <w:p>
      <w:pPr>
        <w:spacing w:after="0" w:line="200" w:lineRule="exact"/>
        <w:rPr>
          <w:sz w:val="20"/>
          <w:szCs w:val="20"/>
          <w:color w:val="auto"/>
        </w:rPr>
      </w:pPr>
    </w:p>
    <w:p>
      <w:pPr>
        <w:spacing w:after="0" w:line="3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the accounting guidance for other intangible assets. The net book value of these assets was as follows: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October 31, 2010</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4"/>
              </w:rPr>
              <w:t>July 31, 2010</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9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Weighted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Net Book</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Net Book</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Carrying</w:t>
            </w:r>
          </w:p>
        </w:tc>
        <w:tc>
          <w:tcPr>
            <w:tcW w:w="1200" w:type="dxa"/>
            <w:vAlign w:val="bottom"/>
            <w:gridSpan w:val="4"/>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8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rPr>
              <w:t>Carrying</w:t>
            </w:r>
          </w:p>
        </w:tc>
        <w:tc>
          <w:tcPr>
            <w:tcW w:w="11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20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4"/>
          </w:tcPr>
          <w:p>
            <w:pPr>
              <w:ind w:left="1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23"/>
        </w:trPr>
        <w:tc>
          <w:tcPr>
            <w:tcW w:w="20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Amortized other intangible</w:t>
            </w:r>
          </w:p>
        </w:tc>
        <w:tc>
          <w:tcPr>
            <w:tcW w:w="8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Patents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9,449</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(8,046)</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9,314</w:t>
            </w:r>
          </w:p>
        </w:tc>
        <w:tc>
          <w:tcPr>
            <w:tcW w:w="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(7,855)</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Trademarks and other</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9,144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(6,042)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3,102</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8,823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3,138</w:t>
            </w:r>
          </w:p>
        </w:tc>
        <w:tc>
          <w:tcPr>
            <w:tcW w:w="0" w:type="dxa"/>
            <w:vAlign w:val="bottom"/>
          </w:tcPr>
          <w:p>
            <w:pPr>
              <w:spacing w:after="0"/>
              <w:rPr>
                <w:sz w:val="1"/>
                <w:szCs w:val="1"/>
                <w:color w:val="auto"/>
              </w:rPr>
            </w:pPr>
          </w:p>
        </w:tc>
      </w:tr>
      <w:tr>
        <w:trPr>
          <w:trHeight w:val="149"/>
        </w:trPr>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Customer relationships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157,297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(102,886)</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54,411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152,720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(95,996)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56,724</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Non-compete agreements</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8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12,454</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(11,763)</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691</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11,930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Other</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3,311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(3,298)</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3,309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Unamortized other intangible</w:t>
            </w: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assets:</w:t>
            </w: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200"/>
              <w:spacing w:after="0" w:line="149" w:lineRule="exact"/>
              <w:rPr>
                <w:sz w:val="20"/>
                <w:szCs w:val="20"/>
                <w:color w:val="auto"/>
              </w:rPr>
            </w:pPr>
            <w:r>
              <w:rPr>
                <w:rFonts w:ascii="Arial" w:cs="Arial" w:eastAsia="Arial" w:hAnsi="Arial"/>
                <w:sz w:val="14"/>
                <w:szCs w:val="14"/>
                <w:color w:val="auto"/>
              </w:rPr>
              <w:t>Trademarks</w:t>
            </w: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41,450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41,450</w:t>
            </w:r>
          </w:p>
        </w:tc>
        <w:tc>
          <w:tcPr>
            <w:tcW w:w="1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N/A</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41,342</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41,342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233,105</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(132,035)</w:t>
            </w: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101,070</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227,438</w:t>
            </w:r>
          </w:p>
        </w:tc>
        <w:tc>
          <w:tcPr>
            <w:tcW w:w="4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(123,892)</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103,546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value of goodwill and other intangible assets in the Condensed Consolidated Financial Statements at October 31, 2010 differs from the value assigned to them in the allocation of purchase price due to the effect of fluctuations in the exchange rates used to translate the financial statements into the United States Dollar between the date of acquisition and October 31, 2010.</w:t>
      </w:r>
    </w:p>
    <w:p>
      <w:pPr>
        <w:spacing w:after="0" w:line="12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Amortization expense on intangible assets was $5,147 and $5,607 for the three-month periods ended October 31, 2010 and 2009, respectively. The amortization over each of the next five fiscal years is projected to be $20,808, $13,645, $10,340, $5,395 and $5,001 for the years ending July 31, 2011, 2012, 2013, 2014 and 2015, respectively.</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NOTE C — Comprehensive Income</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660" w:type="dxa"/>
            <w:vAlign w:val="bottom"/>
          </w:tcPr>
          <w:p>
            <w:pPr>
              <w:ind w:left="380"/>
              <w:spacing w:after="0"/>
              <w:rPr>
                <w:sz w:val="20"/>
                <w:szCs w:val="20"/>
                <w:color w:val="auto"/>
              </w:rPr>
            </w:pPr>
            <w:r>
              <w:rPr>
                <w:rFonts w:ascii="Arial" w:cs="Arial" w:eastAsia="Arial" w:hAnsi="Arial"/>
                <w:sz w:val="18"/>
                <w:szCs w:val="18"/>
                <w:color w:val="auto"/>
              </w:rPr>
              <w:t>Total comprehensive income for the periods presented was as follows: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5"/>
              </w:rPr>
              <w:t>Three Months Ended</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6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October 31, 2010</w:t>
            </w:r>
          </w:p>
        </w:tc>
        <w:tc>
          <w:tcPr>
            <w:tcW w:w="1440" w:type="dxa"/>
            <w:vAlign w:val="bottom"/>
            <w:gridSpan w:val="3"/>
          </w:tcPr>
          <w:p>
            <w:pPr>
              <w:ind w:left="140"/>
              <w:spacing w:after="0"/>
              <w:rPr>
                <w:sz w:val="20"/>
                <w:szCs w:val="20"/>
                <w:color w:val="auto"/>
              </w:rPr>
            </w:pPr>
            <w:r>
              <w:rPr>
                <w:rFonts w:ascii="Arial" w:cs="Arial" w:eastAsia="Arial" w:hAnsi="Arial"/>
                <w:sz w:val="18"/>
                <w:szCs w:val="18"/>
                <w:b w:val="1"/>
                <w:bCs w:val="1"/>
                <w:color w:val="auto"/>
                <w:w w:val="88"/>
              </w:rPr>
              <w:t>October 31, 2009</w:t>
            </w:r>
          </w:p>
        </w:tc>
        <w:tc>
          <w:tcPr>
            <w:tcW w:w="100" w:type="dxa"/>
            <w:vAlign w:val="bottom"/>
          </w:tcPr>
          <w:p>
            <w:pPr>
              <w:spacing w:after="0"/>
              <w:rPr>
                <w:sz w:val="18"/>
                <w:szCs w:val="18"/>
                <w:color w:val="auto"/>
              </w:rPr>
            </w:pPr>
          </w:p>
        </w:tc>
      </w:tr>
      <w:tr>
        <w:trPr>
          <w:trHeight w:val="210"/>
        </w:trPr>
        <w:tc>
          <w:tcPr>
            <w:tcW w:w="66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Unrealized (loss) gain on cash flow hedges</w:t>
            </w:r>
          </w:p>
        </w:tc>
        <w:tc>
          <w:tcPr>
            <w:tcW w:w="3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(364)</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gain on post-retirement medical, dental and vision plan</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Foreign currency translation adjustments (1)</w:t>
            </w:r>
          </w:p>
        </w:tc>
        <w:tc>
          <w:tcPr>
            <w:tcW w:w="3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30,095</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24,618</w:t>
            </w:r>
          </w:p>
        </w:tc>
      </w:tr>
      <w:tr>
        <w:trPr>
          <w:trHeight w:val="27"/>
        </w:trPr>
        <w:tc>
          <w:tcPr>
            <w:tcW w:w="6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55,588</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45,840</w:t>
            </w:r>
          </w:p>
        </w:tc>
      </w:tr>
      <w:tr>
        <w:trPr>
          <w:trHeight w:val="20"/>
        </w:trPr>
        <w:tc>
          <w:tcPr>
            <w:tcW w:w="6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20" w:right="159" w:hanging="388"/>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cumulative translation adjustment in the table above includes the revaluation of the Euro-denominated debt of $6,720 for the three months ended October 31, 2010.</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increase in total comprehensive income for the quarter ended October 31, 2010 as compared to October 31, 2009 was primarily due to the depreciation of the U.S. dollar against other currencies and net income.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June 2008, the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included in the basic EPS calculations for the respective periods presented.</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8"/>
              </w:rPr>
              <w:t>Three Months Ended</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Numerator: (in thousands)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26,281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21,668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A net income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0"/>
        </w:trPr>
        <w:tc>
          <w:tcPr>
            <w:tcW w:w="646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Numerator for basic and diluted Class B net income per share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25,399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Denominator: (in thousands)</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basic net income per share for both Class A and Class B</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52,448</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52,337</w:t>
            </w:r>
          </w:p>
        </w:tc>
        <w:tc>
          <w:tcPr>
            <w:tcW w:w="0" w:type="dxa"/>
            <w:vAlign w:val="bottom"/>
          </w:tcPr>
          <w:p>
            <w:pPr>
              <w:spacing w:after="0"/>
              <w:rPr>
                <w:sz w:val="1"/>
                <w:szCs w:val="1"/>
                <w:color w:val="auto"/>
              </w:rPr>
            </w:pPr>
          </w:p>
        </w:tc>
      </w:tr>
      <w:tr>
        <w:trPr>
          <w:trHeight w:val="216"/>
        </w:trPr>
        <w:tc>
          <w:tcPr>
            <w:tcW w:w="646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Denominator for diluted net income per share for both Class A and Class B</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52,810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52,943</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per share:</w:t>
            </w: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400"/>
              <w:spacing w:after="0"/>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0.48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Options to purchase approximately 3,636,000 and 2,360,000 shares of Class A Nonvoting Common Stock were not included in the computation of diluted net income per share for the quarters ended October 31, 2010 and 2009, respectively, because the option exercise price was greater than the average market price of the common shares and, therefore, the effect would be anti-dilutive.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66"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months ended October 31,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w w:val="95"/>
              </w:rPr>
              <w:t>Total Region</w:t>
            </w:r>
          </w:p>
        </w:tc>
        <w:tc>
          <w:tcPr>
            <w:tcW w:w="1200" w:type="dxa"/>
            <w:vAlign w:val="bottom"/>
            <w:gridSpan w:val="4"/>
          </w:tcPr>
          <w:p>
            <w:pPr>
              <w:ind w:left="100"/>
              <w:spacing w:after="0"/>
              <w:rPr>
                <w:sz w:val="20"/>
                <w:szCs w:val="20"/>
                <w:color w:val="auto"/>
              </w:rPr>
            </w:pPr>
            <w:r>
              <w:rPr>
                <w:rFonts w:ascii="Arial" w:cs="Arial" w:eastAsia="Arial" w:hAnsi="Arial"/>
                <w:sz w:val="18"/>
                <w:szCs w:val="18"/>
                <w:b w:val="1"/>
                <w:bCs w:val="1"/>
                <w:color w:val="auto"/>
              </w:rPr>
              <w:t>Eliminations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Totals</w:t>
            </w: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Three months ended October 31, 2010:</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145,988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92,050</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91,550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329,588</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329,588</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Segment profit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39,359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24,061</w:t>
            </w: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16,829</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76,813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9"/>
              </w:rPr>
              <w:t>Three months ended October 31, 2009: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136,239</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94,335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87,912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318,486</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318,486</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Segment profit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24,862</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15,127</w:t>
            </w:r>
          </w:p>
        </w:tc>
        <w:tc>
          <w:tcPr>
            <w:tcW w:w="2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72,790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69,870</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reconciliation of segment profit to net income for the three months ended October 31,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7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72,790</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(2,920)</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(31,569)</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(30,712)</w:t>
            </w: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(3,641)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(3,601)</w:t>
            </w:r>
          </w:p>
        </w:tc>
      </w:tr>
      <w:tr>
        <w:trPr>
          <w:trHeight w:val="216"/>
        </w:trPr>
        <w:tc>
          <w:tcPr>
            <w:tcW w:w="730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(5,687)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(9,925)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(8,775)</w:t>
            </w:r>
          </w:p>
        </w:tc>
      </w:tr>
      <w:tr>
        <w:trPr>
          <w:trHeight w:val="223"/>
        </w:trPr>
        <w:tc>
          <w:tcPr>
            <w:tcW w:w="73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21,668</w:t>
            </w:r>
          </w:p>
        </w:tc>
        <w:tc>
          <w:tcPr>
            <w:tcW w:w="100" w:type="dxa"/>
            <w:vAlign w:val="bottom"/>
          </w:tcPr>
          <w:p>
            <w:pPr>
              <w:spacing w:after="0"/>
              <w:rPr>
                <w:sz w:val="19"/>
                <w:szCs w:val="19"/>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 Stock-Based Compensation</w:t>
      </w:r>
    </w:p>
    <w:p>
      <w:pPr>
        <w:spacing w:after="0" w:line="185"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Restricted shares have an issuance price equal to the fair market value of the underlying stock at the date of grant. The Company granted restricted shares in fiscal 2008 and fiscal 2011 that have an issuance price equal to the fair market value of the underlying stock at the date of grant. The restricted shares vest at the end of a five-year period, with respect to the restricted shares issued in fiscal 2008, and ratably at the end of years 3, 4 and 5 with respect to the restricted shares issued in fiscal 2011, and upon meeting certain financial performance conditions; these shares are referred to herein as “performance-based restricted shares.”</w:t>
      </w:r>
    </w:p>
    <w:p>
      <w:pPr>
        <w:spacing w:after="0" w:line="14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October 31, 2010, the Company has reserved 6,239,135 shares of Class A Nonvoting Common Stock for outstanding stock options and restricted shares and 732,000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60"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recognizes the compensation cost of all share-based awards on a straight-line basis over the vesting period of the award. Total stock compensation expense recognized by the Company during the three months ended October 31, 2010 and 2009 was $4,069 ($2,482 net of taxes) and $2,952 ($1,801 net of taxes), respectively. As of October 31, 2010, total unrecognized compensation cost related to share-based compensation awards was $23,749 pre-tax, net of estimated forfeitures, which the Company expects to recognize over a weighted-average period of 2.6 years.</w:t>
      </w:r>
    </w:p>
    <w:p>
      <w:pPr>
        <w:spacing w:after="0" w:line="14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stock option awards granted during the three months ended October 31, 2010 and 2009 using the Black-Scholes option valuation model. The weighted-average assumptions used in the Black-Scholes valuation model are reflected in the following table:</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3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October 31, 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October 31, 2009</w:t>
            </w:r>
          </w:p>
        </w:tc>
      </w:tr>
      <w:tr>
        <w:trPr>
          <w:trHeight w:val="191"/>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Performance-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left="10"/>
              <w:spacing w:after="0" w:line="191" w:lineRule="exact"/>
              <w:rPr>
                <w:sz w:val="20"/>
                <w:szCs w:val="20"/>
                <w:color w:val="auto"/>
              </w:rPr>
            </w:pPr>
            <w:r>
              <w:rPr>
                <w:rFonts w:ascii="Arial" w:cs="Arial" w:eastAsia="Arial" w:hAnsi="Arial"/>
                <w:sz w:val="18"/>
                <w:szCs w:val="18"/>
                <w:b w:val="1"/>
                <w:bCs w:val="1"/>
                <w:color w:val="auto"/>
                <w:w w:val="91"/>
              </w:rPr>
              <w:t>Performance-</w:t>
            </w:r>
          </w:p>
        </w:tc>
        <w:tc>
          <w:tcPr>
            <w:tcW w:w="160" w:type="dxa"/>
            <w:vAlign w:val="bottom"/>
          </w:tcPr>
          <w:p>
            <w:pPr>
              <w:spacing w:after="0"/>
              <w:rPr>
                <w:sz w:val="16"/>
                <w:szCs w:val="16"/>
                <w:color w:val="auto"/>
              </w:rPr>
            </w:pPr>
          </w:p>
        </w:tc>
      </w:tr>
      <w:tr>
        <w:trPr>
          <w:trHeight w:val="216"/>
        </w:trPr>
        <w:tc>
          <w:tcPr>
            <w:tcW w:w="3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8"/>
                <w:szCs w:val="18"/>
                <w:b w:val="1"/>
                <w:bCs w:val="1"/>
                <w:color w:val="auto"/>
              </w:rPr>
              <w:t>Service-Based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Based Option</w:t>
            </w:r>
          </w:p>
        </w:tc>
        <w:tc>
          <w:tcPr>
            <w:tcW w:w="100" w:type="dxa"/>
            <w:vAlign w:val="bottom"/>
          </w:tcPr>
          <w:p>
            <w:pPr>
              <w:spacing w:after="0"/>
              <w:rPr>
                <w:sz w:val="18"/>
                <w:szCs w:val="18"/>
                <w:color w:val="auto"/>
              </w:rPr>
            </w:pPr>
          </w:p>
        </w:tc>
        <w:tc>
          <w:tcPr>
            <w:tcW w:w="14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88"/>
              </w:rPr>
              <w:t>Service-Based</w:t>
            </w: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Based Option</w:t>
            </w: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w w:val="98"/>
              </w:rPr>
              <w:t>Black-Scholes Option Valuation Assumptions</w:t>
            </w:r>
          </w:p>
        </w:tc>
        <w:tc>
          <w:tcPr>
            <w:tcW w:w="2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Option Awards</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Awards</w:t>
            </w:r>
          </w:p>
        </w:tc>
        <w:tc>
          <w:tcPr>
            <w:tcW w:w="1520" w:type="dxa"/>
            <w:vAlign w:val="bottom"/>
            <w:gridSpan w:val="4"/>
          </w:tcPr>
          <w:p>
            <w:pPr>
              <w:ind w:left="10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Pr>
          <w:p>
            <w:pPr>
              <w:spacing w:after="0"/>
              <w:rPr>
                <w:sz w:val="20"/>
                <w:szCs w:val="20"/>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Awards</w:t>
            </w:r>
          </w:p>
        </w:tc>
      </w:tr>
      <w:tr>
        <w:trPr>
          <w:trHeight w:val="20"/>
        </w:trPr>
        <w:tc>
          <w:tcPr>
            <w:tcW w:w="3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5.96</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40.22%</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39.83%</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38.72%</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1.65%</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3.03%</w:t>
            </w: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market value of underlying stock</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at grant date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29.09</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28.35</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28.73</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Weighted-average exercise price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29.09</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28.35</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28.73</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29.78</w:t>
            </w:r>
          </w:p>
        </w:tc>
      </w:tr>
      <w:tr>
        <w:trPr>
          <w:trHeight w:val="202"/>
        </w:trPr>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Weighted-average fair value of options granted</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during the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9.58</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r>
    </w:tbl>
    <w:p>
      <w:pPr>
        <w:spacing w:after="0" w:line="200" w:lineRule="exact"/>
        <w:rPr>
          <w:sz w:val="20"/>
          <w:szCs w:val="20"/>
          <w:color w:val="auto"/>
        </w:rPr>
      </w:pPr>
    </w:p>
    <w:p>
      <w:pPr>
        <w:sectPr>
          <w:pgSz w:w="11900" w:h="16838" w:orient="portrait"/>
          <w:cols w:equalWidth="0" w:num="1">
            <w:col w:w="10219"/>
          </w:cols>
          <w:pgMar w:left="240" w:top="419" w:right="1440" w:bottom="962" w:gutter="0" w:footer="0" w:header="0"/>
        </w:sectPr>
      </w:pPr>
    </w:p>
    <w:p>
      <w:pPr>
        <w:spacing w:after="0" w:line="36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62"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66"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October 31, 2010, 310,000 performance-based restricted shares were outstanding.</w:t>
      </w:r>
    </w:p>
    <w:p>
      <w:pPr>
        <w:spacing w:after="0" w:line="146"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granted 465,000 performance-based stock options during the three months ended October 31, 2010, with a weighted average exercise price of $28.35 and a weighted average fair value of $9.82. The Company also granted 895,500 service-based stock options during the three months ended October 31, 2010, with a weighted average exercise price of $29.09 and a weighted average fair value of $9.58.</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 summary of stock option activity under the Company’s share-based compensation plans for the three months ended</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31, 2010 is presented below:</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0"/>
                <w:szCs w:val="20"/>
                <w:color w:val="auto"/>
              </w:rPr>
            </w:pPr>
          </w:p>
        </w:tc>
        <w:tc>
          <w:tcPr>
            <w:tcW w:w="960" w:type="dxa"/>
            <w:vAlign w:val="bottom"/>
          </w:tcPr>
          <w:p>
            <w:pPr>
              <w:ind w:left="240"/>
              <w:spacing w:after="0"/>
              <w:rPr>
                <w:sz w:val="20"/>
                <w:szCs w:val="20"/>
                <w:color w:val="auto"/>
              </w:rPr>
            </w:pPr>
            <w:r>
              <w:rPr>
                <w:rFonts w:ascii="Arial" w:cs="Arial" w:eastAsia="Arial" w:hAnsi="Arial"/>
                <w:sz w:val="18"/>
                <w:szCs w:val="18"/>
                <w:b w:val="1"/>
                <w:bCs w:val="1"/>
                <w:color w:val="auto"/>
              </w:rPr>
              <w:t>Shares</w:t>
            </w:r>
          </w:p>
        </w:tc>
        <w:tc>
          <w:tcPr>
            <w:tcW w:w="380" w:type="dxa"/>
            <w:vAlign w:val="bottom"/>
            <w:gridSpan w:val="2"/>
          </w:tcPr>
          <w:p>
            <w:pPr>
              <w:spacing w:after="0"/>
              <w:rPr>
                <w:sz w:val="20"/>
                <w:szCs w:val="20"/>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2010</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7"/>
              </w:rPr>
              <w:t>5,108,736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New grants</w:t>
            </w:r>
          </w:p>
        </w:tc>
        <w:tc>
          <w:tcPr>
            <w:tcW w:w="1260" w:type="dxa"/>
            <w:vAlign w:val="bottom"/>
            <w:gridSpan w:val="3"/>
          </w:tcPr>
          <w:p>
            <w:pPr>
              <w:ind w:left="520"/>
              <w:spacing w:after="0"/>
              <w:rPr>
                <w:sz w:val="20"/>
                <w:szCs w:val="20"/>
                <w:color w:val="auto"/>
              </w:rPr>
            </w:pPr>
            <w:r>
              <w:rPr>
                <w:rFonts w:ascii="Arial" w:cs="Arial" w:eastAsia="Arial" w:hAnsi="Arial"/>
                <w:sz w:val="18"/>
                <w:szCs w:val="18"/>
                <w:color w:val="auto"/>
                <w:w w:val="89"/>
              </w:rPr>
              <w:t>1,360,500</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28.83</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(123,767)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18.82</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Forfeited or expired</w:t>
            </w:r>
          </w:p>
        </w:tc>
        <w:tc>
          <w:tcPr>
            <w:tcW w:w="280" w:type="dxa"/>
            <w:vAlign w:val="bottom"/>
          </w:tcPr>
          <w:p>
            <w:pPr>
              <w:spacing w:after="0"/>
              <w:rPr>
                <w:sz w:val="19"/>
                <w:szCs w:val="19"/>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8"/>
                <w:szCs w:val="18"/>
                <w:color w:val="auto"/>
              </w:rPr>
              <w:t>(223,264)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31.43</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2010</w:t>
            </w: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7"/>
              </w:rPr>
              <w:t>6,122,205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28.83</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Exercisable at October 31, 2010</w:t>
            </w: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29.10</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87"/>
              </w:rPr>
              <w:t>3,301,195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There were 3,301,195 and 2,790,910 options exercisable with a weighted average exercise price of $29.10 and $27.68 at October 31, 2010 and 2009, respectively. The cash received from the exercise of options during the quarters ended October 31, 2010 and 2009 was $2,105 and $716, respectively. The tax benefit on stock options exercised during the quarters ended October 31, 2010 and 2009 was $440 and $202, respectively.</w:t>
      </w:r>
    </w:p>
    <w:p>
      <w:pPr>
        <w:spacing w:after="0" w:line="14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total intrinsic value of options exercised during the three months ended October 31, 2010 and 2009, based upon the average market price at the time of exercise during the period, was $1,320 and $661, respectively. The total fair value of stock options vested during the three months ended October 31, 2010 and 2009, was $3,685 and $139,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Equity</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fiscal 2009, the Company’s Board of Directors authorized share repurchase plans for the Company’s Class A Nonvoting Common Stock. The share repurchase plans were implemented by purchasing shares in the open market or privately negotiated transactions, with repurchased shares available for use in connection with the Company’s stock-based plans and for other corporate purposes. The Company reacquired approximately 102,067 shares of its Class A Common Stock for $2.5 million in fiscal 2010 in connection with its stock repurchase plans. No shares were reacquired during the three months ended October 31, 2010. As of October 31, 2010, there remained 204,133 shares to purchase in connection with this share repurchase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funds benefit costs on a pay-as-you-go basis. There have been no changes to the components of net periodic benefit cost or the amount that the Company expects to fund in fiscal 2011 from those reported in Note 3 to the consolidated financial statements included in the Company’s latest annual report on Form 10-K for the year ended July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w:t>
      </w:r>
    </w:p>
    <w:p>
      <w:pPr>
        <w:spacing w:after="0" w:line="143"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w:t>
      </w:r>
    </w:p>
    <w:p>
      <w:pPr>
        <w:spacing w:after="0" w:line="130"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3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following tables set forth by level within the fair value hierarchy, our financial assets and liabilities that were accounted for at fair value on a recurring basis at October 31, 2010, and July 31, 2010, according to the valuation techniques the Company used to determine their fair values.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4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90"/>
              </w:rPr>
              <w:t>Fair Value Measurements Using Inputs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7"/>
              </w:rPr>
              <w:t>Considered as</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40" w:type="dxa"/>
            <w:vAlign w:val="bottom"/>
          </w:tcPr>
          <w:p>
            <w:pPr>
              <w:spacing w:after="0"/>
              <w:rPr>
                <w:sz w:val="16"/>
                <w:szCs w:val="16"/>
                <w:color w:val="auto"/>
              </w:rPr>
            </w:pP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3"/>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in 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Markets</w:t>
            </w:r>
          </w:p>
        </w:tc>
        <w:tc>
          <w:tcPr>
            <w:tcW w:w="120" w:type="dxa"/>
            <w:vAlign w:val="bottom"/>
          </w:tcPr>
          <w:p>
            <w:pPr>
              <w:spacing w:after="0"/>
              <w:rPr>
                <w:sz w:val="18"/>
                <w:szCs w:val="18"/>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Observable</w:t>
            </w: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Unobservable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Fair</w:t>
            </w:r>
          </w:p>
        </w:tc>
        <w:tc>
          <w:tcPr>
            <w:tcW w:w="80" w:type="dxa"/>
            <w:vAlign w:val="bottom"/>
          </w:tcPr>
          <w:p>
            <w:pPr>
              <w:spacing w:after="0"/>
              <w:rPr>
                <w:sz w:val="18"/>
                <w:szCs w:val="18"/>
                <w:color w:val="auto"/>
              </w:rPr>
            </w:pPr>
          </w:p>
        </w:tc>
        <w:tc>
          <w:tcPr>
            <w:tcW w:w="1820" w:type="dxa"/>
            <w:vAlign w:val="bottom"/>
          </w:tcPr>
          <w:p>
            <w:pPr>
              <w:ind w:left="38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(Level 3)</w:t>
            </w:r>
          </w:p>
        </w:tc>
        <w:tc>
          <w:tcPr>
            <w:tcW w:w="180" w:type="dxa"/>
            <w:vAlign w:val="bottom"/>
          </w:tcPr>
          <w:p>
            <w:pPr>
              <w:spacing w:after="0"/>
              <w:rPr>
                <w:sz w:val="20"/>
                <w:szCs w:val="20"/>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20"/>
                <w:szCs w:val="20"/>
                <w:color w:val="auto"/>
              </w:rPr>
            </w:pPr>
          </w:p>
        </w:tc>
        <w:tc>
          <w:tcPr>
            <w:tcW w:w="1820" w:type="dxa"/>
            <w:vAlign w:val="bottom"/>
          </w:tcPr>
          <w:p>
            <w:pPr>
              <w:ind w:left="40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October 31, 2010:</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9,685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9,685</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Foreign exchange contracts — cash flow</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Prepaid expenses and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3"/>
        </w:trPr>
        <w:tc>
          <w:tcPr>
            <w:tcW w:w="30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Foreign exchange contracts — cash flow</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1,461</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8"/>
              </w:rPr>
              <w:t>Foreign currency denominated debt —</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Long term obligations,</w:t>
            </w:r>
          </w:p>
        </w:tc>
        <w:tc>
          <w:tcPr>
            <w:tcW w:w="0" w:type="dxa"/>
            <w:vAlign w:val="bottom"/>
          </w:tcPr>
          <w:p>
            <w:pPr>
              <w:spacing w:after="0"/>
              <w:rPr>
                <w:sz w:val="1"/>
                <w:szCs w:val="1"/>
                <w:color w:val="auto"/>
              </w:rPr>
            </w:pPr>
          </w:p>
        </w:tc>
      </w:tr>
      <w:tr>
        <w:trPr>
          <w:trHeight w:val="237"/>
        </w:trPr>
        <w:tc>
          <w:tcPr>
            <w:tcW w:w="3040" w:type="dxa"/>
            <w:vAlign w:val="bottom"/>
          </w:tcPr>
          <w:p>
            <w:pPr>
              <w:ind w:left="200"/>
              <w:spacing w:after="0"/>
              <w:rPr>
                <w:sz w:val="20"/>
                <w:szCs w:val="20"/>
                <w:color w:val="auto"/>
              </w:rPr>
            </w:pPr>
            <w:r>
              <w:rPr>
                <w:rFonts w:ascii="Arial" w:cs="Arial" w:eastAsia="Arial" w:hAnsi="Arial"/>
                <w:sz w:val="18"/>
                <w:szCs w:val="18"/>
                <w:color w:val="auto"/>
              </w:rPr>
              <w:t>net investment hedge</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104,467</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104,467</w:t>
            </w:r>
          </w:p>
        </w:tc>
        <w:tc>
          <w:tcPr>
            <w:tcW w:w="1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less current maturities</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105,928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105,928</w:t>
            </w:r>
          </w:p>
        </w:tc>
        <w:tc>
          <w:tcPr>
            <w:tcW w:w="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b w:val="1"/>
                <w:bCs w:val="1"/>
                <w:color w:val="auto"/>
              </w:rPr>
              <w:t>July 31, 2010: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2"/>
        </w:trPr>
        <w:tc>
          <w:tcPr>
            <w:tcW w:w="3040" w:type="dxa"/>
            <w:vAlign w:val="bottom"/>
          </w:tcPr>
          <w:p>
            <w:pPr>
              <w:spacing w:after="0" w:line="201" w:lineRule="exact"/>
              <w:rPr>
                <w:sz w:val="20"/>
                <w:szCs w:val="20"/>
                <w:color w:val="auto"/>
              </w:rPr>
            </w:pPr>
            <w:r>
              <w:rPr>
                <w:rFonts w:ascii="Arial" w:cs="Arial" w:eastAsia="Arial" w:hAnsi="Arial"/>
                <w:sz w:val="18"/>
                <w:szCs w:val="18"/>
                <w:color w:val="auto"/>
                <w:w w:val="92"/>
              </w:rPr>
              <w:t>Foreign exchange contracts — cash flow</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Prepaid expenses and</w:t>
            </w:r>
          </w:p>
        </w:tc>
        <w:tc>
          <w:tcPr>
            <w:tcW w:w="0" w:type="dxa"/>
            <w:vAlign w:val="bottom"/>
          </w:tcPr>
          <w:p>
            <w:pPr>
              <w:spacing w:after="0"/>
              <w:rPr>
                <w:sz w:val="1"/>
                <w:szCs w:val="1"/>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hedges</w:t>
            </w:r>
          </w:p>
        </w:tc>
        <w:tc>
          <w:tcPr>
            <w:tcW w:w="1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exchange contracts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Prepaid expenses and</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23"/>
        </w:trPr>
        <w:tc>
          <w:tcPr>
            <w:tcW w:w="304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Foreign exchange contracts — cash flow</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Other current liabilities</w:t>
            </w:r>
          </w:p>
        </w:tc>
        <w:tc>
          <w:tcPr>
            <w:tcW w:w="0" w:type="dxa"/>
            <w:vAlign w:val="bottom"/>
          </w:tcPr>
          <w:p>
            <w:pPr>
              <w:spacing w:after="0"/>
              <w:rPr>
                <w:sz w:val="1"/>
                <w:szCs w:val="1"/>
                <w:color w:val="auto"/>
              </w:rPr>
            </w:pPr>
          </w:p>
        </w:tc>
      </w:tr>
      <w:tr>
        <w:trPr>
          <w:trHeight w:val="202"/>
        </w:trPr>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Foreign currency denominated debt —</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color w:val="auto"/>
              </w:rPr>
              <w:t>Long term obligations,</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investment hedge</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97,747</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97,747</w:t>
            </w:r>
          </w:p>
        </w:tc>
        <w:tc>
          <w:tcPr>
            <w:tcW w:w="1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less current maturities</w:t>
            </w:r>
          </w:p>
        </w:tc>
        <w:tc>
          <w:tcPr>
            <w:tcW w:w="0" w:type="dxa"/>
            <w:vAlign w:val="bottom"/>
          </w:tcPr>
          <w:p>
            <w:pPr>
              <w:spacing w:after="0"/>
              <w:rPr>
                <w:sz w:val="1"/>
                <w:szCs w:val="1"/>
                <w:color w:val="auto"/>
              </w:rPr>
            </w:pPr>
          </w:p>
        </w:tc>
      </w:tr>
      <w:tr>
        <w:trPr>
          <w:trHeight w:val="223"/>
        </w:trPr>
        <w:tc>
          <w:tcPr>
            <w:tcW w:w="30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us to obtain pricing information on an ongoing basis.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46"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denominated debt — net investment hedge: </w:t>
      </w:r>
      <w:r>
        <w:rPr>
          <w:rFonts w:ascii="Arial" w:cs="Arial" w:eastAsia="Arial" w:hAnsi="Arial"/>
          <w:sz w:val="18"/>
          <w:szCs w:val="18"/>
          <w:color w:val="auto"/>
        </w:rPr>
        <w:t>The Company’s foreign currency denominated debt designated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net investment hedge was 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60"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three months ended October 31, 2010.</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notes receivable, accounts receivable, accounts payable, accrued liabilities and short-term and long-term debt. The fair values of cash, accounts receivable, accounts payable, accrued liabilities and short-term debt approximated carrying values because of the short-term nature of these instruments.</w:t>
      </w:r>
    </w:p>
    <w:p>
      <w:pPr>
        <w:spacing w:after="0" w:line="146"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The estimated fair value of the Company’s long-term obligations, based on the quoted market prices for similar issues and on the current rates offered for debt of similar maturities, was $468,780 and $467,479 at October 31, 2010 and July 31, 2010, respectively, as compared to the carrying value of $450,924 and $444,204 at October 31, 2010 and July 31, 2010, respectively.</w:t>
      </w:r>
    </w:p>
    <w:p>
      <w:pPr>
        <w:spacing w:after="0" w:line="139"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three months ended October 31, 2010, the Company had no significant measurements of assets or liabilities at fair value on a nonrecurring basis subsequent to their initial recognition.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Restructuring</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fiscal 2010, the Company continued the execution of its restructuring actions announced in fiscal 2009. These actions included a reduction in its contract labor and decreased discretionary spending. The Company implemented a plan to reduce its workforce through voluntary and involuntary separation programs, voluntary retirement programs, and facility consolidations. As a result of these actions, the Company recorded restructuring charges of $15,314 in fiscal 2010. The restructuring charges included $10,850 of employee separation costs, $2,260 of non-cash fixed asset write-offs, $1,493 of other facility closure related costs, and $711 of contract termination costs. The Company continued executing its restructuring actions during the first quarter of fiscal 2011.</w:t>
      </w:r>
    </w:p>
    <w:p>
      <w:pPr>
        <w:spacing w:after="0" w:line="13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During the three months ended October 31, 2010, the Company recorded restructuring charges of $3,641, which consisted of $2,665 of employee separation costs, $951 of fixed asset write-offs, and $25 of other facility closure related costs and contract termination costs. Of the $3,641 of restructuring charges recorded during the three months ended October 31, 2010, $1,989 was incurred in the Americas, $1,597 was incurred in Europe, and $55 was incurred in Asia-Pacific. The charges for employee separation costs consisted of severance pay, outplacement services, medical and other related benefits. The costs related to these restructuring activities have been recorded on the condensed consolidated statements of income as restructuring charges. The Company expects the majority of the remaining cash payments to be made during the next twelve months.</w:t>
      </w:r>
    </w:p>
    <w:p>
      <w:pPr>
        <w:spacing w:after="0" w:line="13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of the Company’s fiscal 2011 restructuring activity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Write-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Related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Derivatives and Hedging Activities</w:t>
      </w:r>
    </w:p>
    <w:p>
      <w:pPr>
        <w:spacing w:after="0" w:line="198"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12 months, which qualify as cash flow hedges under the accounting guidance for derivative instruments and hedging activities. The primary objective of the Company’s foreign currency exchange risk management is to minimize the impact of currency movements due to products purchased in other than the respective subsidiaries’ functional currency. To achieve this objective, the Company hedges a portion of known exposures using forward foreign exchange currency contracts. As of October 31, 2010 and July 31, 2010, the notional amount of outstanding forward exchange contracts was $24,987 and $45,328, respectively.</w:t>
      </w:r>
    </w:p>
    <w:p>
      <w:pPr>
        <w:spacing w:after="0" w:line="152"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quarters ended October 31, 2010 and 2009.</w:t>
      </w:r>
    </w:p>
    <w:p>
      <w:pPr>
        <w:spacing w:after="0" w:line="14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hedges a portion of known exposure using forward exchange contracts. Main exposures are related to transactions denominated in the British Pound, the Euro, Canadian Dollar, Australian Dollar, Singapore Dollar, Swedish Krona, Danish Krone, Japanese Yen, Swiss Franc, and the Korean Won. Generally, these risk management transactions will involve the use of foreign currency derivatives to protect against exposure resulting from sales and identified inventory or other asset purchases.</w:t>
      </w:r>
    </w:p>
    <w:p>
      <w:pPr>
        <w:spacing w:after="0" w:line="127" w:lineRule="exact"/>
        <w:rPr>
          <w:sz w:val="20"/>
          <w:szCs w:val="20"/>
          <w:color w:val="auto"/>
        </w:rPr>
      </w:pPr>
    </w:p>
    <w:p>
      <w:pPr>
        <w:jc w:val="both"/>
        <w:ind w:left="340" w:right="179" w:firstLine="389"/>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October 31, 2010 and July 31, 2010, unrealized losses of $185 and $493 have been included in OCI, respectively. All balances are expected to be reclassified from OCI to earnings during the next twelve months when the hedged transactions impact earnings.</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At October 31, 2010 and July 31, 2010, the Company had $185 and $156 of forward exchange contracts designated as cash flow hedges included in “Prepaid expenses and other current assets” on the accompanying Condensed Consolidated Balance Sheets. At October 31, 2010 and July 31, 2010, the Company had $1,461 and $829 respectively, of forward exchange contracts designated as hedge instruments included in “Other current liabilities” on the accompanying Condensed Consolidated Balance Sheets. At October 31, 2010 and July 31, 2010, the U.S. dollar equivalent of these outstanding forward foreign exchange contracts totaled $24,987 and $32,020, respectively, including contracts to sell Euros, Canadian Dollars, Australian Dollars, British Pounds, U.S. Dollars, and Swiss Franc.</w:t>
      </w:r>
    </w:p>
    <w:p>
      <w:pPr>
        <w:spacing w:after="0" w:line="14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On May 13, 2010, the Company completed the private placement of €75.0 million aggregate principal amount of senior unsecured notes to accredited institutional investors. This Euro-denominated debt obligation was designated as a net investment hedge to selectively hedge portions of its net investment in European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European operations. The Company’s foreign denominated debt obligations are valued under a market approach using publicized spot prices.</w:t>
      </w:r>
    </w:p>
    <w:p>
      <w:pPr>
        <w:spacing w:after="0" w:line="151"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Additionally, during fiscal 2010, the Company used forward foreign exchange currency contracts designated as hedge instruments to hedge portions of the Company’s net investments in European foreign operations. For hedges that meet the effectiveness requirements, the net gains or losses attributable to changes in spot exchange rates are recorded in cumulative translation within other comprehensive income. Any ineffective portions are to be recognized in earnings. Recognition in earnings of amounts previously recorded in cumulative translation is limited to circumstances such as complete or substantially complete liquidation of the net investment in the hedged foreign operation. At October 31, 2010 and July 31, 2010, the Company had no forward foreign exchange currency contracts designated as net investment hedges included in “Prepaid expenses and other current assets” on the Condensed Consolidated Balance Sheet.</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Derivatives designated as</w:t>
            </w:r>
          </w:p>
        </w:tc>
        <w:tc>
          <w:tcPr>
            <w:tcW w:w="10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October 31, 2010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July 31, 2010</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October 31, 2010</w:t>
            </w:r>
          </w:p>
        </w:tc>
        <w:tc>
          <w:tcPr>
            <w:tcW w:w="180" w:type="dxa"/>
            <w:vAlign w:val="bottom"/>
          </w:tcPr>
          <w:p>
            <w:pPr>
              <w:spacing w:after="0"/>
              <w:rPr>
                <w:sz w:val="12"/>
                <w:szCs w:val="12"/>
                <w:color w:val="auto"/>
              </w:rPr>
            </w:pPr>
          </w:p>
        </w:tc>
        <w:tc>
          <w:tcPr>
            <w:tcW w:w="1360" w:type="dxa"/>
            <w:vAlign w:val="bottom"/>
            <w:tcBorders>
              <w:bottom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97"/>
              </w:rPr>
              <w:t>July 31, 2010</w:t>
            </w: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Pr>
          <w:p>
            <w:pPr>
              <w:ind w:left="100"/>
              <w:spacing w:after="0" w:line="119" w:lineRule="exact"/>
              <w:rPr>
                <w:sz w:val="20"/>
                <w:szCs w:val="20"/>
                <w:color w:val="auto"/>
              </w:rPr>
            </w:pPr>
            <w:r>
              <w:rPr>
                <w:rFonts w:ascii="Arial" w:cs="Arial" w:eastAsia="Arial" w:hAnsi="Arial"/>
                <w:sz w:val="13"/>
                <w:szCs w:val="13"/>
                <w:b w:val="1"/>
                <w:bCs w:val="1"/>
                <w:color w:val="auto"/>
              </w:rPr>
              <w:t>Balance Sheet</w:t>
            </w: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820" w:type="dxa"/>
            <w:vAlign w:val="bottom"/>
          </w:tcPr>
          <w:p>
            <w:pPr>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60" w:type="dxa"/>
            <w:vAlign w:val="bottom"/>
          </w:tcPr>
          <w:p>
            <w:pPr>
              <w:ind w:left="26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tcPr>
          <w:p>
            <w:pPr>
              <w:spacing w:after="0" w:line="130" w:lineRule="exact"/>
              <w:rPr>
                <w:sz w:val="20"/>
                <w:szCs w:val="20"/>
                <w:color w:val="auto"/>
              </w:rPr>
            </w:pPr>
            <w:r>
              <w:rPr>
                <w:rFonts w:ascii="Arial" w:cs="Arial" w:eastAsia="Arial" w:hAnsi="Arial"/>
                <w:sz w:val="14"/>
                <w:szCs w:val="14"/>
                <w:color w:val="auto"/>
              </w:rPr>
              <w:t>Foreign exchange contracts</w:t>
            </w:r>
          </w:p>
        </w:tc>
        <w:tc>
          <w:tcPr>
            <w:tcW w:w="112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89"/>
              </w:rPr>
              <w:t>Prepaid expenses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0"/>
              </w:rPr>
              <w:t>Prepaid expenses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3"/>
              </w:rPr>
              <w:t>and other current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and other current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185</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156</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liabilities</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1,461</w:t>
            </w:r>
          </w:p>
        </w:tc>
        <w:tc>
          <w:tcPr>
            <w:tcW w:w="1060" w:type="dxa"/>
            <w:vAlign w:val="bottom"/>
          </w:tcPr>
          <w:p>
            <w:pPr>
              <w:spacing w:after="0"/>
              <w:rPr>
                <w:sz w:val="20"/>
                <w:szCs w:val="20"/>
                <w:color w:val="auto"/>
              </w:rPr>
            </w:pPr>
            <w:r>
              <w:rPr>
                <w:rFonts w:ascii="Arial" w:cs="Arial" w:eastAsia="Arial" w:hAnsi="Arial"/>
                <w:sz w:val="14"/>
                <w:szCs w:val="14"/>
                <w:color w:val="auto"/>
              </w:rPr>
              <w:t>liabilities</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investment hedges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1820" w:type="dxa"/>
            <w:vAlign w:val="bottom"/>
          </w:tcPr>
          <w:p>
            <w:pPr>
              <w:spacing w:after="0"/>
              <w:rPr>
                <w:sz w:val="20"/>
                <w:szCs w:val="20"/>
                <w:color w:val="auto"/>
              </w:rPr>
            </w:pPr>
            <w:r>
              <w:rPr>
                <w:rFonts w:ascii="Arial" w:cs="Arial" w:eastAsia="Arial" w:hAnsi="Arial"/>
                <w:sz w:val="14"/>
                <w:szCs w:val="14"/>
                <w:color w:val="auto"/>
                <w:w w:val="94"/>
              </w:rPr>
              <w:t>Foreign currency denominated</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w w:val="89"/>
              </w:rPr>
              <w:t>Prepaid expenses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w w:val="90"/>
              </w:rPr>
              <w:t>Prepaid expenses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Long term</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Long term</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debt</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3"/>
              </w:rPr>
              <w:t>and other current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and other current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obligations, less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obligations, less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w w:val="94"/>
              </w:rPr>
              <w:t>current maturities</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104,467</w:t>
            </w:r>
          </w:p>
        </w:tc>
        <w:tc>
          <w:tcPr>
            <w:tcW w:w="1060" w:type="dxa"/>
            <w:vAlign w:val="bottom"/>
          </w:tcPr>
          <w:p>
            <w:pPr>
              <w:spacing w:after="0"/>
              <w:rPr>
                <w:sz w:val="20"/>
                <w:szCs w:val="20"/>
                <w:color w:val="auto"/>
              </w:rPr>
            </w:pPr>
            <w:r>
              <w:rPr>
                <w:rFonts w:ascii="Arial" w:cs="Arial" w:eastAsia="Arial" w:hAnsi="Arial"/>
                <w:sz w:val="14"/>
                <w:szCs w:val="14"/>
                <w:color w:val="auto"/>
                <w:w w:val="96"/>
              </w:rPr>
              <w:t>current maturities</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97,747</w:t>
            </w: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Total derivatives designated as</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105,928</w:t>
            </w:r>
          </w:p>
        </w:tc>
        <w:tc>
          <w:tcPr>
            <w:tcW w:w="10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7"/>
              </w:rPr>
              <w:t>98,576</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w w:val="91"/>
              </w:rPr>
              <w:t>Derivatives not designated as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18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1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hedging instruments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 hedges</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820" w:type="dxa"/>
            <w:vAlign w:val="bottom"/>
          </w:tcPr>
          <w:p>
            <w:pPr>
              <w:spacing w:after="0" w:line="130" w:lineRule="exact"/>
              <w:rPr>
                <w:sz w:val="20"/>
                <w:szCs w:val="20"/>
                <w:color w:val="auto"/>
              </w:rPr>
            </w:pPr>
            <w:r>
              <w:rPr>
                <w:rFonts w:ascii="Arial" w:cs="Arial" w:eastAsia="Arial" w:hAnsi="Arial"/>
                <w:sz w:val="14"/>
                <w:szCs w:val="14"/>
                <w:color w:val="auto"/>
              </w:rPr>
              <w:t>Foreign exchange contracts</w:t>
            </w:r>
          </w:p>
        </w:tc>
        <w:tc>
          <w:tcPr>
            <w:tcW w:w="112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89"/>
              </w:rPr>
              <w:t>Prepaid expenses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4"/>
                <w:szCs w:val="14"/>
                <w:color w:val="auto"/>
                <w:w w:val="90"/>
              </w:rPr>
              <w:t>Prepaid expenses</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3"/>
              </w:rPr>
              <w:t>and other current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95"/>
              </w:rPr>
              <w:t>and other current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2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2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assets</w:t>
            </w:r>
          </w:p>
        </w:tc>
        <w:tc>
          <w:tcPr>
            <w:tcW w:w="4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liabilities</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20"/>
                <w:szCs w:val="20"/>
                <w:color w:val="auto"/>
              </w:rPr>
            </w:pPr>
            <w:r>
              <w:rPr>
                <w:rFonts w:ascii="Arial" w:cs="Arial" w:eastAsia="Arial" w:hAnsi="Arial"/>
                <w:sz w:val="14"/>
                <w:szCs w:val="14"/>
                <w:color w:val="auto"/>
              </w:rPr>
              <w:t>liabilities</w:t>
            </w:r>
          </w:p>
        </w:tc>
        <w:tc>
          <w:tcPr>
            <w:tcW w:w="3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30"/>
        </w:trPr>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Total derivatives not designated</w:t>
            </w: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as hedging instruments</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pre-tax effects of derivative instruments designated as cash flow hedges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Amount of Gain</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7"/>
            <w:vMerge w:val="restart"/>
          </w:tcPr>
          <w:p>
            <w:pPr>
              <w:jc w:val="center"/>
              <w:ind w:right="120"/>
              <w:spacing w:after="0"/>
              <w:rPr>
                <w:sz w:val="20"/>
                <w:szCs w:val="20"/>
                <w:color w:val="auto"/>
              </w:rPr>
            </w:pPr>
            <w:r>
              <w:rPr>
                <w:rFonts w:ascii="Arial" w:cs="Arial" w:eastAsia="Arial" w:hAnsi="Arial"/>
                <w:sz w:val="14"/>
                <w:szCs w:val="14"/>
                <w:b w:val="1"/>
                <w:bCs w:val="1"/>
                <w:color w:val="auto"/>
                <w:w w:val="93"/>
              </w:rPr>
              <w:t>Amount of Gain or (Loss)</w:t>
            </w: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or (Loss)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00" w:type="dxa"/>
            <w:vAlign w:val="bottom"/>
          </w:tcPr>
          <w:p>
            <w:pPr>
              <w:spacing w:after="0"/>
              <w:rPr>
                <w:sz w:val="12"/>
                <w:szCs w:val="12"/>
                <w:color w:val="auto"/>
              </w:rPr>
            </w:pPr>
          </w:p>
        </w:tc>
        <w:tc>
          <w:tcPr>
            <w:tcW w:w="1700" w:type="dxa"/>
            <w:vAlign w:val="bottom"/>
            <w:gridSpan w:val="7"/>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Income 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or (Loss)</w:t>
            </w:r>
          </w:p>
        </w:tc>
        <w:tc>
          <w:tcPr>
            <w:tcW w:w="0" w:type="dxa"/>
            <w:vAlign w:val="bottom"/>
          </w:tcPr>
          <w:p>
            <w:pPr>
              <w:spacing w:after="0"/>
              <w:rPr>
                <w:sz w:val="1"/>
                <w:szCs w:val="1"/>
                <w:color w:val="auto"/>
              </w:rPr>
            </w:pPr>
          </w:p>
        </w:tc>
      </w:tr>
      <w:tr>
        <w:trPr>
          <w:trHeight w:val="149"/>
        </w:trPr>
        <w:tc>
          <w:tcPr>
            <w:tcW w:w="2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Recognized in OCI on</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Into Income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(Ineffective</w:t>
            </w:r>
          </w:p>
        </w:tc>
        <w:tc>
          <w:tcPr>
            <w:tcW w:w="100" w:type="dxa"/>
            <w:vAlign w:val="bottom"/>
          </w:tcPr>
          <w:p>
            <w:pPr>
              <w:spacing w:after="0"/>
              <w:rPr>
                <w:sz w:val="12"/>
                <w:szCs w:val="12"/>
                <w:color w:val="auto"/>
              </w:rPr>
            </w:pPr>
          </w:p>
        </w:tc>
        <w:tc>
          <w:tcPr>
            <w:tcW w:w="154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Portion)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21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28"/>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3"/>
              </w:rPr>
              <w:t>October 31,</w:t>
            </w: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Foreign exchange contracts</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(185)</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(321)</w:t>
            </w:r>
          </w:p>
        </w:tc>
        <w:tc>
          <w:tcPr>
            <w:tcW w:w="132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rPr>
              <w:t>Cost of goods sold</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228</w:t>
            </w:r>
          </w:p>
        </w:tc>
        <w:tc>
          <w:tcPr>
            <w:tcW w:w="122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4"/>
                <w:szCs w:val="14"/>
                <w:color w:val="auto"/>
                <w:w w:val="94"/>
              </w:rPr>
              <w:t>Cost of goods sold</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ind w:left="3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8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w w:val="73"/>
              </w:rPr>
              <w:t>(185)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280"/>
              <w:spacing w:after="0" w:line="155" w:lineRule="exact"/>
              <w:rPr>
                <w:sz w:val="20"/>
                <w:szCs w:val="20"/>
                <w:color w:val="auto"/>
              </w:rPr>
            </w:pPr>
            <w:r>
              <w:rPr>
                <w:rFonts w:ascii="Arial" w:cs="Arial" w:eastAsia="Arial" w:hAnsi="Arial"/>
                <w:sz w:val="14"/>
                <w:szCs w:val="14"/>
                <w:color w:val="auto"/>
                <w:w w:val="73"/>
              </w:rPr>
              <w:t>(321)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ind w:left="38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Condensed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80" w:type="dxa"/>
            <w:vAlign w:val="bottom"/>
          </w:tcPr>
          <w:p>
            <w:pPr>
              <w:spacing w:after="0"/>
              <w:rPr>
                <w:sz w:val="14"/>
                <w:szCs w:val="14"/>
                <w:color w:val="auto"/>
              </w:rPr>
            </w:pPr>
          </w:p>
        </w:tc>
        <w:tc>
          <w:tcPr>
            <w:tcW w:w="1220" w:type="dxa"/>
            <w:vAlign w:val="bottom"/>
            <w:gridSpan w:val="4"/>
          </w:tcPr>
          <w:p>
            <w:pPr>
              <w:jc w:val="center"/>
              <w:ind w:left="69"/>
              <w:spacing w:after="0"/>
              <w:rPr>
                <w:sz w:val="20"/>
                <w:szCs w:val="20"/>
                <w:color w:val="auto"/>
              </w:rPr>
            </w:pPr>
            <w:r>
              <w:rPr>
                <w:rFonts w:ascii="Arial" w:cs="Arial" w:eastAsia="Arial" w:hAnsi="Arial"/>
                <w:sz w:val="14"/>
                <w:szCs w:val="14"/>
                <w:b w:val="1"/>
                <w:bCs w:val="1"/>
                <w:color w:val="auto"/>
                <w:w w:val="95"/>
              </w:rPr>
              <w:t>Amount of Gain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00" w:type="dxa"/>
            <w:vAlign w:val="bottom"/>
          </w:tcPr>
          <w:p>
            <w:pPr>
              <w:spacing w:after="0"/>
              <w:rPr>
                <w:sz w:val="12"/>
                <w:szCs w:val="12"/>
                <w:color w:val="auto"/>
              </w:rPr>
            </w:pPr>
          </w:p>
        </w:tc>
        <w:tc>
          <w:tcPr>
            <w:tcW w:w="1740" w:type="dxa"/>
            <w:vAlign w:val="bottom"/>
            <w:gridSpan w:val="8"/>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Amount of Gain or (Loss)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(Loss)</w:t>
            </w:r>
          </w:p>
        </w:tc>
        <w:tc>
          <w:tcPr>
            <w:tcW w:w="80" w:type="dxa"/>
            <w:vAlign w:val="bottom"/>
          </w:tcPr>
          <w:p>
            <w:pPr>
              <w:spacing w:after="0"/>
              <w:rPr>
                <w:sz w:val="12"/>
                <w:szCs w:val="12"/>
                <w:color w:val="auto"/>
              </w:rPr>
            </w:pPr>
          </w:p>
        </w:tc>
        <w:tc>
          <w:tcPr>
            <w:tcW w:w="1220" w:type="dxa"/>
            <w:vAlign w:val="bottom"/>
            <w:gridSpan w:val="4"/>
          </w:tcPr>
          <w:p>
            <w:pPr>
              <w:jc w:val="center"/>
              <w:ind w:left="69"/>
              <w:spacing w:after="0" w:line="149" w:lineRule="exact"/>
              <w:rPr>
                <w:sz w:val="20"/>
                <w:szCs w:val="20"/>
                <w:color w:val="auto"/>
              </w:rPr>
            </w:pPr>
            <w:r>
              <w:rPr>
                <w:rFonts w:ascii="Arial" w:cs="Arial" w:eastAsia="Arial" w:hAnsi="Arial"/>
                <w:sz w:val="14"/>
                <w:szCs w:val="14"/>
                <w:b w:val="1"/>
                <w:bCs w:val="1"/>
                <w:color w:val="auto"/>
                <w:w w:val="93"/>
              </w:rPr>
              <w:t>or (Loss)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8"/>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80" w:type="dxa"/>
            <w:vAlign w:val="bottom"/>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or (Loss)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Arial" w:cs="Arial" w:eastAsia="Arial" w:hAnsi="Arial"/>
                <w:sz w:val="14"/>
                <w:szCs w:val="14"/>
                <w:b w:val="1"/>
                <w:bCs w:val="1"/>
                <w:color w:val="auto"/>
              </w:rPr>
              <w:t>Net Investment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3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4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80" w:type="dxa"/>
            <w:vAlign w:val="bottom"/>
          </w:tcPr>
          <w:p>
            <w:pPr>
              <w:spacing w:after="0"/>
              <w:rPr>
                <w:sz w:val="12"/>
                <w:szCs w:val="12"/>
                <w:color w:val="auto"/>
              </w:rPr>
            </w:pPr>
          </w:p>
        </w:tc>
        <w:tc>
          <w:tcPr>
            <w:tcW w:w="1220" w:type="dxa"/>
            <w:vAlign w:val="bottom"/>
            <w:gridSpan w:val="4"/>
          </w:tcPr>
          <w:p>
            <w:pPr>
              <w:jc w:val="center"/>
              <w:ind w:left="69"/>
              <w:spacing w:after="0" w:line="149" w:lineRule="exact"/>
              <w:rPr>
                <w:sz w:val="20"/>
                <w:szCs w:val="20"/>
                <w:color w:val="auto"/>
              </w:rPr>
            </w:pPr>
            <w:r>
              <w:rPr>
                <w:rFonts w:ascii="Arial" w:cs="Arial" w:eastAsia="Arial" w:hAnsi="Arial"/>
                <w:sz w:val="14"/>
                <w:szCs w:val="14"/>
                <w:b w:val="1"/>
                <w:bCs w:val="1"/>
                <w:color w:val="auto"/>
                <w:w w:val="96"/>
              </w:rPr>
              <w:t>Into Income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100" w:type="dxa"/>
            <w:vAlign w:val="bottom"/>
          </w:tcPr>
          <w:p>
            <w:pPr>
              <w:spacing w:after="0"/>
              <w:rPr>
                <w:sz w:val="12"/>
                <w:szCs w:val="12"/>
                <w:color w:val="auto"/>
              </w:rPr>
            </w:pPr>
          </w:p>
        </w:tc>
        <w:tc>
          <w:tcPr>
            <w:tcW w:w="15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Arial" w:cs="Arial" w:eastAsia="Arial" w:hAnsi="Arial"/>
                <w:sz w:val="14"/>
                <w:szCs w:val="14"/>
                <w:b w:val="1"/>
                <w:bCs w:val="1"/>
                <w:color w:val="auto"/>
              </w:rPr>
              <w:t>Relationships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(Effective Portion)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2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5"/>
          </w:tcPr>
          <w:p>
            <w:pPr>
              <w:jc w:val="center"/>
              <w:ind w:right="28"/>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8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80" w:type="dxa"/>
            <w:vAlign w:val="bottom"/>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October 31,</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center"/>
              <w:ind w:left="69"/>
              <w:spacing w:after="0"/>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09"/>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1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5"/>
              </w:rPr>
              <w:t>Foreign currency denominated debt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Investment and</w:t>
            </w:r>
          </w:p>
        </w:tc>
        <w:tc>
          <w:tcPr>
            <w:tcW w:w="8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520" w:type="dxa"/>
            <w:vAlign w:val="bottom"/>
            <w:gridSpan w:val="2"/>
            <w:shd w:val="clear" w:color="auto" w:fill="CCEEFF"/>
          </w:tcPr>
          <w:p>
            <w:pPr>
              <w:ind w:left="180"/>
              <w:spacing w:after="0" w:line="123" w:lineRule="exact"/>
              <w:rPr>
                <w:sz w:val="20"/>
                <w:szCs w:val="20"/>
                <w:color w:val="auto"/>
              </w:rPr>
            </w:pPr>
            <w:r>
              <w:rPr>
                <w:rFonts w:ascii="Arial" w:cs="Arial" w:eastAsia="Arial" w:hAnsi="Arial"/>
                <w:sz w:val="14"/>
                <w:szCs w:val="14"/>
                <w:color w:val="auto"/>
              </w:rPr>
              <w:t>Investment and other</w:t>
            </w: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1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(6,720)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other income — net</w:t>
            </w:r>
          </w:p>
        </w:tc>
        <w:tc>
          <w:tcPr>
            <w:tcW w:w="520" w:type="dxa"/>
            <w:vAlign w:val="bottom"/>
            <w:gridSpan w:val="2"/>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64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income —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(6,720</w:t>
            </w:r>
          </w:p>
        </w:tc>
        <w:tc>
          <w:tcPr>
            <w:tcW w:w="2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ind w:left="400"/>
              <w:spacing w:after="0" w:line="155"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Borders>
              <w:top w:val="single" w:sz="8" w:color="auto"/>
            </w:tcBorders>
          </w:tcPr>
          <w:p>
            <w:pPr>
              <w:jc w:val="right"/>
              <w:ind w:right="289"/>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ind w:left="380"/>
              <w:spacing w:after="0" w:line="155" w:lineRule="exact"/>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Subsequent Events</w:t>
      </w:r>
    </w:p>
    <w:p>
      <w:pPr>
        <w:spacing w:after="0" w:line="198"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On November 18, 2010, the Board of Directors declared a quarterly cash dividend to shareholders of the Company’s Class A and Class B Common Stock of $0.18 per share payable on January 31, 2011 to shareholders of record at the close of business on January 10, 2011.</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November 1, 2010, the Company acquired ID Warehouse, a leading supplier of people identification and security solutions, located in New South Wales, Australia. The ID Warehouse business is included in the Company’s Asia-Pacific segment. Pro forma information related to the acquisition is not included because the impact on the Company’s consolidated results of operations is considered to be immaterial.</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Brady, a Wisconsin corporation founded in 1914, is an international manufacturer and marketer of identification solutions and specialty materials that identify and protect premises, products, and people. Its products include facility identification products; safety and complementary products; wire and cable identification products; sorbent materials; people identification products; regulatory publishing products; high-performance identification products for product identification and work-in-process identification; and bar-code labels and precision die-cut components for mobile telecommunications devices, hard disk drives, medical devices and supplies, and automotive and other electronics.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 The Company manufactures and sells products domestically and internationally through multiple channels including distributors, resellers, business-to-business direct marketing and a direct sales force. 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Turkey, Vietnam, and the United Arab Emirates. The Company further markets its products to parts of Eastern Europe, the Middle East, Africa and Russia.</w:t>
      </w:r>
    </w:p>
    <w:p>
      <w:pPr>
        <w:spacing w:after="0" w:line="137"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Sales for the quarter ended October 31, 2010, increased 3.5% to $329.6 million, compared to $318.5 million in the same period of fiscal 2010. Of the 3.5% increase in sales, organic sales and acquisitions both increased 2.0% for a total increase of 4.0%. The sales increase was partially offset by a 0.5% decrease due to the fluctuations in the exchange rates used to translate financial results into the United States Dollar for the three months ended October 31, 2010 compared to the same period in the previous year. Net income for the quarter ended October 31, 2010, was $26.3 million or $0.50 per diluted Class A Nonvoting Common Share, up 21.3% from $21.7 million or $0.41 per diluted Class A Nonvoting Common Share reported in the first quarter of last fiscal year. Net income before restructuring related expenses for the quarter ended October 31, 2010 was $28.9 million, or $0.55 per diluted Class A Nonvoting Common Share, up 19.0% from $24.3 million or $0.46 per diluted Class A Nonvoting Common Share reported in the first quarter of last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85"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Sales for the three months ended October 31, 2010 were up 3.5% compared to the same period in fiscal 2010. Of the 3.5% increase in sales, organic and acquisition sales both increased 2.0%, for a total of 4.0%. The sales related to acquisitions resulted from the three acquisitions made in fiscal 2010: Welconstruct Group Limited (“Welco”), Stickolor Industria e Comerciao de Auto Adesivos Ltd (“Stickolor”), and Securimed SAS (“Securimed”). The sales increase was partially offset by a 0.5% decrease due to the fluctuations in the exchange rates used to translate financial results into the United States Dollar for the three months ended October 31, 2010. The increase in organic sales for the quarter ended October 31, 2010, was due primarily to the 4.3% and 0.7% increase in sales in the Americas and Europe segments, respectively, offset by the 0.3% decline in sales in the Asia-Pacific segment.</w:t>
      </w:r>
    </w:p>
    <w:p>
      <w:pPr>
        <w:spacing w:after="0" w:line="127"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Gross margin as a percentage of sales increased to 49.9% for the quarter ended October 31, 2010, compared to 49.4% in the same period of the previous year. The increase in gross margin as a percentage of sales was mainly due to the cost reduction efforts and restructuring activities during fiscal 2010, which continued into the first quarter of fiscal 2011.</w:t>
      </w:r>
    </w:p>
    <w:p>
      <w:pPr>
        <w:spacing w:after="0" w:line="139"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Research and development (“R&amp;D”) expenses increased 3.5% to $9.9 million for the three months ended October 31, 2010, compared to $9.6 million for the same period in the prior year. As a percentage of sales, R&amp;D expenses remained constant at 3.0% during the three months ended October 31, 2010 and 2009. The Company remains committed to innovation and new product development and expects R&amp;D expense to increase for the remainder of fiscal 2011.</w:t>
      </w:r>
    </w:p>
    <w:p>
      <w:pPr>
        <w:spacing w:after="0" w:line="14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Selling, general, and administrative (“SG&amp;A”) expenses increased 0.6% to $109.3 million for the three months ended October 31, 2010, as compared to $108.7 million for the same period in the prior year. SG&amp;A expense as percentage of sales declined to 33.2% in the first quarter compared to 34.1% in the same quarter last year. The Company has continued to focus on reducing its SG&amp;A expenses as a percentage of sales, partially offset by its reinvestment in growth initiatives. In addition, the Company realized cost savings from prior year cost reduction activities and restructuring activities.</w:t>
      </w:r>
    </w:p>
    <w:p>
      <w:pPr>
        <w:spacing w:after="0" w:line="14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Restructuring charges were $3.6 million during each of the three-month periods ended October 31, 2010 and 2009. In fiscal 2009, in response to the global economic downturn the Company took several measures to address its cost structure. The Company continued to incur costs related to the reduction of its workforce and facility consolidations during the three months ended October 31, 2010 and 2009. The Company expects to incur approximately $12 to $15 million of pre-tax restructuring charges during fiscal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Other income and expense increased $0.2 million during the three months ended October 31, 2010 to $0.3 million from $0.1 million in the prior year. The increase was primarily due to the gains on securities held in executive deferred compensation plans, partially offset by an increase in foreign exchange losses.</w:t>
      </w:r>
    </w:p>
    <w:p>
      <w:pPr>
        <w:spacing w:after="0" w:line="154" w:lineRule="exact"/>
        <w:rPr>
          <w:sz w:val="20"/>
          <w:szCs w:val="20"/>
          <w:color w:val="auto"/>
        </w:rPr>
      </w:pPr>
    </w:p>
    <w:p>
      <w:pPr>
        <w:jc w:val="both"/>
        <w:ind w:left="340" w:right="1360" w:firstLine="389"/>
        <w:spacing w:after="0" w:line="264" w:lineRule="auto"/>
        <w:rPr>
          <w:sz w:val="20"/>
          <w:szCs w:val="20"/>
          <w:color w:val="auto"/>
        </w:rPr>
      </w:pPr>
      <w:r>
        <w:rPr>
          <w:rFonts w:ascii="Arial" w:cs="Arial" w:eastAsia="Arial" w:hAnsi="Arial"/>
          <w:sz w:val="18"/>
          <w:szCs w:val="18"/>
          <w:color w:val="auto"/>
        </w:rPr>
        <w:t>Interest expense increased to $5.7 million for the quarter ended October 31, 2010 from $5.2 million for the quarter ended October 31, 2009. The increase was due to the additional interest on the Company’s May 2010 private placement as compared to the same period in fiscal 2010.</w:t>
      </w:r>
    </w:p>
    <w:p>
      <w:pPr>
        <w:spacing w:after="0" w:line="141" w:lineRule="exact"/>
        <w:rPr>
          <w:sz w:val="20"/>
          <w:szCs w:val="20"/>
          <w:color w:val="auto"/>
        </w:rPr>
      </w:pPr>
    </w:p>
    <w:p>
      <w:pPr>
        <w:jc w:val="both"/>
        <w:ind w:left="340" w:right="1360" w:firstLine="389"/>
        <w:spacing w:after="0" w:line="255" w:lineRule="auto"/>
        <w:rPr>
          <w:sz w:val="20"/>
          <w:szCs w:val="20"/>
          <w:color w:val="auto"/>
        </w:rPr>
      </w:pPr>
      <w:r>
        <w:rPr>
          <w:rFonts w:ascii="Arial" w:cs="Arial" w:eastAsia="Arial" w:hAnsi="Arial"/>
          <w:sz w:val="18"/>
          <w:szCs w:val="18"/>
          <w:color w:val="auto"/>
        </w:rPr>
        <w:t>The Company’s income tax rate was 27.4% for the quarter ended October 31, 2010 and 28.8% for the same period of the previous year. The decrease in the Company’s income tax rate during the first quarter of fiscal 2011 was primarily due to the mix of profits in low and high tax countries as well as positive impacts from certain adjustments to prior year tax returns. These positive adjustments were partially offset by the expiration of certain U.S. tax legislation, including the R&amp;D tax credit as well as other international taxation rules. If these U.S. tax provisions are not extended, it could have a material impact on the Company’s quarterly income tax rate. The Company expects the full year income tax rate for fiscal 2011 to be approximately 26%, subject to potential effects of pending and proposed U.S. tax legislation.</w:t>
      </w:r>
    </w:p>
    <w:p>
      <w:pPr>
        <w:spacing w:after="0" w:line="149"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color w:val="auto"/>
        </w:rPr>
        <w:t>Net income for the three months ended October 31, 2010, increased 21.3% to $26.3 million, compared to $21.7 million for the same quarter of the previous year. Net income as a percentage of sales increased to 8.0% for the quarter ended October 31, 2010 from 6.8% for the same period in the prior year. Net income before restructuring related expenses was $28.9 million or $0.55 per diluted Class A Common Share for the three months ended October 31, 2010 compared to $24.3 million, or $0.46 per diluted Class A Common Share for the same period of the previous year.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85" w:lineRule="exact"/>
        <w:rPr>
          <w:sz w:val="20"/>
          <w:szCs w:val="20"/>
          <w:color w:val="auto"/>
        </w:rPr>
      </w:pPr>
    </w:p>
    <w:p>
      <w:pPr>
        <w:jc w:val="both"/>
        <w:ind w:left="340" w:right="1360"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months ended October 31, 2010 and 2009:</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Corporate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Asia-</w:t>
            </w: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b w:val="1"/>
                <w:bCs w:val="1"/>
                <w:color w:val="auto"/>
              </w:rPr>
              <w:t>(Dollars in thousands)</w:t>
            </w:r>
          </w:p>
        </w:tc>
        <w:tc>
          <w:tcPr>
            <w:tcW w:w="8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8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Pacific</w:t>
            </w: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Regions</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8"/>
              </w:rPr>
              <w:t>Eliminations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0"/>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145,988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91,550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329,588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329,588</w:t>
            </w:r>
          </w:p>
        </w:tc>
      </w:tr>
      <w:tr>
        <w:trPr>
          <w:trHeight w:val="216"/>
        </w:trPr>
        <w:tc>
          <w:tcPr>
            <w:tcW w:w="3240" w:type="dxa"/>
            <w:vAlign w:val="bottom"/>
          </w:tcPr>
          <w:p>
            <w:pPr>
              <w:ind w:left="200"/>
              <w:spacing w:after="0"/>
              <w:rPr>
                <w:sz w:val="20"/>
                <w:szCs w:val="20"/>
                <w:color w:val="auto"/>
              </w:rPr>
            </w:pPr>
            <w:r>
              <w:rPr>
                <w:rFonts w:ascii="Arial" w:cs="Arial" w:eastAsia="Arial" w:hAnsi="Arial"/>
                <w:sz w:val="18"/>
                <w:szCs w:val="18"/>
                <w:color w:val="auto"/>
              </w:rPr>
              <w:t>October 31, 2009</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136,239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94,335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87,912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318,486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318,486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SALES GROWTH INFORMATION</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Three months ended October 31, 2010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Organic</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40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20" w:type="dxa"/>
            <w:vAlign w:val="bottom"/>
            <w:vMerge w:val="restart"/>
          </w:tcPr>
          <w:p>
            <w:pPr>
              <w:ind w:left="6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0" w:type="dxa"/>
            <w:vAlign w:val="bottom"/>
          </w:tcPr>
          <w:p>
            <w:pPr>
              <w:spacing w:after="0"/>
              <w:rPr>
                <w:sz w:val="19"/>
                <w:szCs w:val="19"/>
                <w:color w:val="auto"/>
              </w:rPr>
            </w:pPr>
          </w:p>
        </w:tc>
        <w:tc>
          <w:tcPr>
            <w:tcW w:w="33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October 31, 2010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39,359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24,061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80,249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76,813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October 31, 2009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32,801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24,862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15,127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72,790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(2,920)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69,870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increase (decrease)</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7"/>
        </w:trPr>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INCOME RECONCILIATION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(Dollars in thousands)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October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tcBorders>
              <w:bottom w:val="single" w:sz="8" w:color="auto"/>
            </w:tcBorders>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5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80,249</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Corporate and eliminations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(3,436)</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Administrative costs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(31,569)</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(30,712)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(3,641)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tcPr>
          <w:p>
            <w:pPr>
              <w:ind w:left="200"/>
              <w:spacing w:after="0"/>
              <w:rPr>
                <w:sz w:val="20"/>
                <w:szCs w:val="20"/>
                <w:color w:val="auto"/>
              </w:rPr>
            </w:pPr>
            <w:r>
              <w:rPr>
                <w:rFonts w:ascii="Arial" w:cs="Arial" w:eastAsia="Arial" w:hAnsi="Arial"/>
                <w:sz w:val="18"/>
                <w:szCs w:val="18"/>
                <w:color w:val="auto"/>
              </w:rPr>
              <w:t>Investment and other income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(5,687)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(9,925)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2"/>
          </w:tcPr>
          <w:p>
            <w:pPr>
              <w:ind w:left="40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Sales in the Americas increased 7.2% to $146.0 million for the quarter ended October 31, 2010, compared to $136.2 million for the same period in the prior year. Organic sales increased 4.3% in the first quarter of fiscal 2011 compared to the same period last year. Fluctuations in the exchange rates used to translate financial results into the U.S. dollar increased sales by 0.7% in the quarter. Sales in the segment also increased 2.2% in the quarter due to the fiscal year 2010 acquisition of Stickolor in Brazil. The increase in segment sales during the quarter was due to the strong MRO sales in the United States, Mexico, and Canada, driven by proprietary consumable products and new product applications developed within the wire identification, lean, compliance and brand protection categories. Brazil also yielded positive sales in both the MRO and OEM markets.</w:t>
      </w:r>
    </w:p>
    <w:p>
      <w:pPr>
        <w:spacing w:after="0" w:line="151"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Segment profit increased 20.0% to $39.4 million for the quarter ended October 31, 2010, compared to $32.8 million for the same period in the prior year. As a percentage of sales, segment profit increased to 27.0% for the quarter ended October 31, 2010 from 24.1% for the same period in the prior year. The segment profit increase was primarily due to the leveraging of the segment’s cost structure on increased sales in addition to the segment’s commitment to its productivity initiatives.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Europe sales declined 2.4% to $92.1 million for the quarter ended October 31, 2010, compared to $94.3 million for the same period in the prior year. Organic sales were up 0.7% in the quarter as compared to the same period last year. Sales were affected by fluctuations in the exchange rates used to translate financial results into the U.S. dollar, primarily the Euro and the British pound, which decreased sales within the segment by 6.9% in the quarter. The fiscal 2010 acquisitions of Welco and Securimed increased sales by 3.8% in the quarter. Sales during the quarter ended October 31, 2010 were impacted by the growth of the Brady brand business in continental Europe offset by the weaknesses in the United Kingdom. Management anticipates a slow economic recovery in Europe throughout fiscal 2011.</w:t>
      </w:r>
    </w:p>
    <w:p>
      <w:pPr>
        <w:spacing w:after="0" w:line="162"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Segment profit decreased 3.2% to $24.1 million for the quarter ended October 31, 2010, compared to $24.9 million for the same period of the prior year. As a percentage of sales, segment profit decreased to 26.1% in the first quarter of fiscal 2011 from 26.4% in the first quarter of fiscal 2010. The decline in segment profit in fiscal 2011 as compared to the same period of the prior year was primarily attributable to the impact of foreign currency translation on the reported results.</w:t>
      </w: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Asia-Pacific sales increased 4.1% to $91.6 million for the quarter ended October 31, 2010, compared to $87.9 million for the same period in the prior year. Organic sales were down 0.3% in the quarter as compared to the same period last year. Sales were positively affected by fluctuations in the exchange rates used to translate financial results into the U.S. dollar, which increased sales within the segment by 4.4% in the quarter. The decline in organic sales during the quarter ended October 31, 2010 was primarily due to the segment’s overall strategy to move away from lower-end commodity parts and replace them with higher-end engineered solutions.</w:t>
      </w:r>
    </w:p>
    <w:p>
      <w:pPr>
        <w:spacing w:after="0" w:line="153"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Segment profit increased 11.3% to $16.8 million for the quarter ended October 31, 2010, compared to $15.1 million for the same period in the prior year. As a percentage of sales, segment profit increased to 18.4% in the first quarter of fiscal 2011 from 17.2% in the first quarter of fiscal 2010. The increase in segment profit was primarily due to the segment’s strategy to exit lower profit lower-end commodity parts as well as the segment’s continued focus on lean initiatives including the Brady Business Performance System.</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Cash and cash equivalents were $326.1 million at October 31, 2010, compared to $314.8 million at July 31, 2010. The increase in cash of $11.3 million was the result of cash provided by operations of $16.2 million, cash used in investing activities of $3.7 million, cash used in financing activities of $7.5 million, and the effects of the depreciation of the U.S. dollar against other currencies, which positively impacted cash in the amount of $6.3 million during the quarter ended October 31, 2010.</w:t>
      </w:r>
    </w:p>
    <w:p>
      <w:pPr>
        <w:spacing w:after="0" w:line="131"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Company’s working capital, excluding cash and cash equivalents, increased to $90.3 million at October 31, 2010 from $60.3 million at July 31, 2010. Accounts receivable balances increased $20.6 million from July 31, 2010 to October 31, 2010. The increase in accounts receivable was a result of increased sales volumes during the quarter as well as the impact of foreign currency translation during the quarter. Inventories increased $6.5 million for the quarter. The change in inventory was a result of increased production volumes in addition to the impact of foreign currency translation during the quarter. The net decrease in current liabilities of $2.7 million for the quarter was primarily due to the decrease in accrued wages due to the payment of the Company’s fiscal 2010 annual incentive compensation during the quarter ended October 31, 2010.</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In the first quarter of fiscal 2011, the Company generated $16.2 million of cash from operations, a decrease of $17.7 million from the same period last year. The decrease was primarily due to the payment of the Company’s fiscal 2010 annual incentive compensation during the quarter whereas no incentive compensation was paid in same period in the prior year due to the elimination of the annual incentive compensation in fiscal 2009.</w:t>
      </w:r>
    </w:p>
    <w:p>
      <w:pPr>
        <w:spacing w:after="0" w:line="160"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Capital expenditures were $2.8 million for the quarter ended October 31, 2010, compared to $9.0 million in the same period last year. The Company expects capital expenditures to be between $25.0 million and $30.0 million for fiscal 2011, similar to fiscal 2010. Net cash used in financing activities was $7.5 million for the quarter ended October 31, 2010, related primarily to the payment of dividends of $9.4 million.</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did not complete any acquisitions during the three months ended October 31, 2010. Cash used for acquisitions totaled $1.8 million for the quarter ended October 31, 2009 due to the acquisition of certain assets of Welco, a division of Welconstruct Group Limited.</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6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41"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October 31, 2010, there were no outstanding borrowings under the credit facility.</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October 31, 2010, the Company was in compliance with the financial covenant of these debt agreements, with the ratio of debt to EBITDA, as defined by the agreements, equal to 2.2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October 31, 2010, the Company was in compliance with the financial covenants of the revolving loan agreement, with the ratio of debt to EBITDA, as defined by the agreement, equal to 2.3 to 1.0 and the interest expense coverage ratio equal to 6.7 to 1.0.</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Long-term obligations, less current obligations, as a percentage of long-term obligations, less current obligations, plus stockholders’ investment were 27.0% at October 31, 2010 and 27.6% at July 31, 2010. Long-term obligations increased by $6.7 million from July 31, 2010 to October 31, 2010 due to the negative impact of foreign currency translation on the Company’s Euro-denominated debt.</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Stockholders’ investment increased $52.2 million during the three months October 31, 2010 as a result of the Company’s net income of $26.3 million as well as the increase in the accumulated other comprehensive income of $29.3 million due to the impact of foreign currency translation. The increase was offset by the dividends paid on Class A and Class B Common Stock of $8.8 million and $0.6 million,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growth has historically been funded by a combination of cash provided by operating activities and debt financing. The Company believes that its cash from operations, in addition to its sources of borrowing,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On November 18, 2010, the Board of Directors declared a quarterly cash dividend to shareholders of the Company’s Class A and Class B Common Stock of $0.18 per share payable on January 31, 2011 to shareholders of record at the close of business on January 10, 2011.</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On November 1, 2010, the Company acquired ID Warehouse, a leading supplier of people identification and security solutions, located in New South Wales, Australia. The ID Warehouse business is included in the Company’s Asia-Pacific segment. Pro forma information related to the acquisition is not included because the impact on the Company’s consolidated results of operations is considered to be immaterial.</w:t>
      </w:r>
    </w:p>
    <w:p>
      <w:pPr>
        <w:spacing w:after="0" w:line="200" w:lineRule="exact"/>
        <w:rPr>
          <w:sz w:val="20"/>
          <w:szCs w:val="20"/>
          <w:color w:val="auto"/>
        </w:rPr>
      </w:pPr>
    </w:p>
    <w:p>
      <w:pPr>
        <w:spacing w:after="0" w:line="3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space, computer equipment and Company vehicles.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1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Related-Party Transactions — The Company evaluated its affiliated party transactions for the period ended October 31, 2010. Based on the evaluation the Company does not have material related party transactions that affect the results of operations, cash flow or financial condition.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the Company’s most recently filed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objective of the Company’s foreign currency exchange risk management is to minimize the impact of currency movements on non-functional currency transactions and minimize the foreign currency translation impact on the Company’s European operations. To achieve this objective, the Company hedges a portion of known exposures using forward contracts. Main exposures are related to transactions denominated in the British Pound, the Euro, Canadian Dollar, Australian Dollar, Singapore Dollar, Swedish Krona, Danish Krone, Japanese Yen, Swiss Franc, and the Korean Won currency. As of October 31, 2010, the notional amount of outstanding forward contracts designated as cash flow hedges was $25.0 million. Beginning in fiscal 2010 the Company also hedged portions of its net investments in its European foreign operations using forward foreign exchange currency contracts and Euro-denominated debt of €75.0 million designated as a hedge instrument.</w:t>
      </w:r>
    </w:p>
    <w:p>
      <w:pPr>
        <w:spacing w:after="0" w:line="137"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if there is a desire to modify the Company’s exposure to interest rates. As of October 31, 2010, the Company had no interest rate derivatives.</w:t>
      </w:r>
    </w:p>
    <w:p>
      <w:pPr>
        <w:spacing w:after="0" w:line="161"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Australian dollar, the Canadian dollar, the Singapore dollar, the Euro, the British Pound, the Brazilian Real, the Korean Won, and the Chinese Yuan. Changes in foreign currency exchange rates for the Company’s foreign subsidiaries reporting in local currencies are generally reported as a component of stockholders’ investment. The Company’s currency translation adjustments recorded for the three months ended October 31, 2010 and 2009 were $30.0 million favorable and $24.8 million unfavorable, respectively. As of October 31, 2010 and 2009, the Company’s foreign subsidiaries had net current assets (defined as current assets less current liabilities) subject to foreign currency translation risk of $166.2 million and $268.0 million, respectively. The potential decrease in the net current assets as of October 31, 2010 from a hypothetical 10 percent adverse change in quoted foreign currency exchange rates would be $16.6 million. This sensitivity analysis assumes a parallel shift in foreign currency exchange rates. Exchange rates rarely move in the same direction relative to the dollar. This assumption may overstate the impact of changing exchange rates on individual assets and liabilities denominated in a foreign currency.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w w:val="94"/>
              </w:rPr>
              <w:t>ITEM 6. Exhibits</w:t>
            </w:r>
          </w:p>
        </w:tc>
        <w:tc>
          <w:tcPr>
            <w:tcW w:w="1240" w:type="dxa"/>
            <w:vAlign w:val="bottom"/>
          </w:tcPr>
          <w:p>
            <w:pPr>
              <w:spacing w:after="0"/>
              <w:rPr>
                <w:sz w:val="17"/>
                <w:szCs w:val="17"/>
                <w:color w:val="auto"/>
              </w:rPr>
            </w:pPr>
          </w:p>
        </w:tc>
        <w:tc>
          <w:tcPr>
            <w:tcW w:w="7220" w:type="dxa"/>
            <w:vAlign w:val="bottom"/>
          </w:tcPr>
          <w:p>
            <w:pPr>
              <w:spacing w:after="0"/>
              <w:rPr>
                <w:sz w:val="17"/>
                <w:szCs w:val="17"/>
                <w:color w:val="auto"/>
              </w:rPr>
            </w:pPr>
          </w:p>
        </w:tc>
      </w:tr>
      <w:tr>
        <w:trPr>
          <w:trHeight w:val="20"/>
        </w:trPr>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Arial" w:cs="Arial" w:eastAsia="Arial" w:hAnsi="Arial"/>
                <w:sz w:val="18"/>
                <w:szCs w:val="18"/>
                <w:color w:val="auto"/>
              </w:rPr>
              <w:t>(a) Exhibits</w:t>
            </w:r>
          </w:p>
        </w:tc>
        <w:tc>
          <w:tcPr>
            <w:tcW w:w="124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60" w:type="dxa"/>
            <w:vAlign w:val="bottom"/>
            <w:gridSpan w:val="2"/>
          </w:tcPr>
          <w:p>
            <w:pPr>
              <w:spacing w:after="0"/>
              <w:rPr>
                <w:sz w:val="18"/>
                <w:szCs w:val="18"/>
                <w:color w:val="auto"/>
              </w:rPr>
            </w:pPr>
          </w:p>
        </w:tc>
      </w:tr>
      <w:tr>
        <w:trPr>
          <w:trHeight w:val="216"/>
        </w:trPr>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31.1</w:t>
            </w:r>
          </w:p>
        </w:tc>
        <w:tc>
          <w:tcPr>
            <w:tcW w:w="8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31.2</w:t>
            </w:r>
          </w:p>
        </w:tc>
        <w:tc>
          <w:tcPr>
            <w:tcW w:w="8460" w:type="dxa"/>
            <w:vAlign w:val="bottom"/>
            <w:gridSpan w:val="2"/>
          </w:tcPr>
          <w:p>
            <w:pPr>
              <w:ind w:left="28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32.1</w:t>
            </w:r>
          </w:p>
        </w:tc>
        <w:tc>
          <w:tcPr>
            <w:tcW w:w="12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Section 1350</w:t>
            </w: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16"/>
        </w:trPr>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32.2</w:t>
            </w:r>
          </w:p>
        </w:tc>
        <w:tc>
          <w:tcPr>
            <w:tcW w:w="1240" w:type="dxa"/>
            <w:vAlign w:val="bottom"/>
          </w:tcPr>
          <w:p>
            <w:pPr>
              <w:ind w:left="280"/>
              <w:spacing w:after="0"/>
              <w:rPr>
                <w:sz w:val="20"/>
                <w:szCs w:val="20"/>
                <w:color w:val="auto"/>
              </w:rPr>
            </w:pPr>
            <w:r>
              <w:rPr>
                <w:rFonts w:ascii="Arial" w:cs="Arial" w:eastAsia="Arial" w:hAnsi="Arial"/>
                <w:sz w:val="18"/>
                <w:szCs w:val="18"/>
                <w:color w:val="auto"/>
                <w:w w:val="89"/>
              </w:rPr>
              <w:t>Section 1350</w:t>
            </w:r>
          </w:p>
        </w:tc>
        <w:tc>
          <w:tcPr>
            <w:tcW w:w="722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r>
        <w:trPr>
          <w:trHeight w:val="216"/>
        </w:trPr>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8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Interactive Data File</w:t>
            </w:r>
          </w:p>
        </w:tc>
      </w:tr>
    </w:tbl>
    <w:p>
      <w:pPr>
        <w:spacing w:after="0" w:line="16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SIGNATURES</w:t>
            </w:r>
          </w:p>
        </w:tc>
        <w:tc>
          <w:tcPr>
            <w:tcW w:w="3600" w:type="dxa"/>
            <w:vAlign w:val="bottom"/>
          </w:tcPr>
          <w:p>
            <w:pPr>
              <w:spacing w:after="0"/>
              <w:rPr>
                <w:sz w:val="20"/>
                <w:szCs w:val="20"/>
                <w:color w:val="auto"/>
              </w:rPr>
            </w:pPr>
          </w:p>
        </w:tc>
      </w:tr>
      <w:tr>
        <w:trPr>
          <w:trHeight w:val="432"/>
        </w:trPr>
        <w:tc>
          <w:tcPr>
            <w:tcW w:w="46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December 7,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Frank. M. Jaehnert</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December 7, 2010</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Senior Vice President &amp; Chief Financial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466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0219"/>
          </w:cols>
          <w:pgMar w:left="240" w:top="419" w:right="1440" w:bottom="1440" w:gutter="0" w:footer="0" w:header="0"/>
        </w:sectPr>
      </w:pPr>
    </w:p>
    <w:bookmarkStart w:id="25" w:name="page26"/>
    <w:bookmarkEnd w:id="25"/>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159" w:firstLine="381"/>
        <w:spacing w:after="0" w:line="286" w:lineRule="auto"/>
        <w:tabs>
          <w:tab w:leader="none" w:pos="576" w:val="left"/>
        </w:tabs>
        <w:numPr>
          <w:ilvl w:val="0"/>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587"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582"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19"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54" w:lineRule="exact"/>
        <w:rPr>
          <w:sz w:val="20"/>
          <w:szCs w:val="20"/>
          <w:color w:val="auto"/>
        </w:rPr>
      </w:pPr>
    </w:p>
    <w:p>
      <w:pPr>
        <w:jc w:val="both"/>
        <w:ind w:right="179" w:firstLine="381"/>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179" w:firstLine="381"/>
        <w:spacing w:after="0" w:line="264" w:lineRule="auto"/>
        <w:tabs>
          <w:tab w:leader="none" w:pos="598"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179" w:firstLine="381"/>
        <w:spacing w:after="0" w:line="27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466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26" w:name="page27"/>
    <w:bookmarkEnd w:id="26"/>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jc w:val="both"/>
        <w:ind w:right="159" w:firstLine="381"/>
        <w:spacing w:after="0" w:line="264" w:lineRule="auto"/>
        <w:tabs>
          <w:tab w:leader="none" w:pos="65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right="159" w:firstLine="381"/>
        <w:spacing w:after="0" w:line="264" w:lineRule="auto"/>
        <w:tabs>
          <w:tab w:leader="none" w:pos="649"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resented in this report;</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8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jc w:val="both"/>
        <w:ind w:right="159" w:firstLine="381"/>
        <w:spacing w:after="0" w:line="286" w:lineRule="auto"/>
        <w:tabs>
          <w:tab w:leader="none" w:pos="57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179" w:firstLine="381"/>
        <w:spacing w:after="0" w:line="264" w:lineRule="auto"/>
        <w:tabs>
          <w:tab w:leader="none" w:pos="587"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58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right="159" w:firstLine="381"/>
        <w:spacing w:after="0" w:line="264" w:lineRule="auto"/>
        <w:tabs>
          <w:tab w:leader="none" w:pos="619"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report)that has materially affected, or is reasonably likely to materially affect, the registrant’s internal control over financial reporting; and</w:t>
      </w:r>
    </w:p>
    <w:p>
      <w:pPr>
        <w:spacing w:after="0" w:line="154" w:lineRule="exact"/>
        <w:rPr>
          <w:sz w:val="20"/>
          <w:szCs w:val="20"/>
          <w:color w:val="auto"/>
        </w:rPr>
      </w:pPr>
    </w:p>
    <w:p>
      <w:pPr>
        <w:jc w:val="both"/>
        <w:ind w:right="179" w:firstLine="381"/>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jc w:val="both"/>
        <w:ind w:right="179" w:firstLine="381"/>
        <w:spacing w:after="0" w:line="264" w:lineRule="auto"/>
        <w:tabs>
          <w:tab w:leader="none" w:pos="5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179" w:firstLine="381"/>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241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27" w:name="page28"/>
    <w:bookmarkEnd w:id="27"/>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179" w:firstLine="381"/>
        <w:spacing w:after="0" w:line="277" w:lineRule="auto"/>
        <w:tabs>
          <w:tab w:leader="none" w:pos="6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79" w:firstLine="381"/>
        <w:spacing w:after="0" w:line="277" w:lineRule="auto"/>
        <w:tabs>
          <w:tab w:leader="none" w:pos="65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2466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84"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17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179" w:firstLine="381"/>
        <w:spacing w:after="0" w:line="277" w:lineRule="auto"/>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October 31, 2010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179" w:firstLine="381"/>
        <w:spacing w:after="0" w:line="277" w:lineRule="auto"/>
        <w:tabs>
          <w:tab w:leader="none" w:pos="65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December 7,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3241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84" w:lineRule="exact"/>
        <w:rPr>
          <w:sz w:val="20"/>
          <w:szCs w:val="20"/>
          <w:color w:val="auto"/>
        </w:rPr>
      </w:pPr>
    </w:p>
    <w:p>
      <w:pPr>
        <w:jc w:val="both"/>
        <w:ind w:right="1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2019-12-10T05:51:33Z</dcterms:created>
  <dcterms:modified xsi:type="dcterms:W3CDTF">2019-12-10T05:51:33Z</dcterms:modified>
</cp:coreProperties>
</file>