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ind w:right="3540" w:firstLine="3673"/>
        <w:spacing w:after="0" w:line="476" w:lineRule="auto"/>
        <w:rPr>
          <w:sz w:val="20"/>
          <w:szCs w:val="20"/>
          <w:color w:val="auto"/>
        </w:rPr>
      </w:pPr>
      <w:r>
        <w:rPr>
          <w:rFonts w:ascii="Arial" w:cs="Arial" w:eastAsia="Arial" w:hAnsi="Arial"/>
          <w:sz w:val="16"/>
          <w:szCs w:val="16"/>
          <w:b w:val="1"/>
          <w:bCs w:val="1"/>
          <w:color w:val="auto"/>
        </w:rPr>
        <w:t xml:space="preserve">Commission file number 1-14959 Brady Corporation </w:t>
      </w:r>
      <w:r>
        <w:rPr>
          <w:rFonts w:ascii="Arial" w:cs="Arial" w:eastAsia="Arial" w:hAnsi="Arial"/>
          <w:sz w:val="16"/>
          <w:szCs w:val="16"/>
          <w:color w:val="auto"/>
        </w:rPr>
        <w:t>A. Full title of the plan and the address of the plan, if different from that of the issuer named below:</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43"/>
          <w:szCs w:val="43"/>
          <w:b w:val="1"/>
          <w:bCs w:val="1"/>
          <w:color w:val="auto"/>
        </w:rPr>
        <w:t>BRADY MATCHED 401(k)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 53202-0571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Financial Statements as of and for the Years Ended December 31, 2008 and 2007, Supplemental Schedule as of December 31, 2008, and 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419" w:right="10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6"/>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INDEPENDENT AUDITOR’S REPORT</w:t>
              </w:r>
            </w:hyperlink>
          </w:p>
        </w:tc>
        <w:tc>
          <w:tcPr>
            <w:tcW w:w="4740" w:type="dxa"/>
            <w:vAlign w:val="bottom"/>
            <w:gridSpan w:val="4"/>
            <w:vMerge w:val="restart"/>
          </w:tcPr>
          <w:p>
            <w:pPr>
              <w:spacing w:after="0"/>
              <w:rPr>
                <w:sz w:val="14"/>
                <w:szCs w:val="14"/>
                <w:color w:val="auto"/>
              </w:rPr>
            </w:pPr>
          </w:p>
        </w:tc>
        <w:tc>
          <w:tcPr>
            <w:tcW w:w="3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0000EE"/>
            </w:tcBorders>
            <w:gridSpan w:val="6"/>
            <w:vMerge w:val="continue"/>
          </w:tcPr>
          <w:p>
            <w:pPr>
              <w:spacing w:after="0"/>
              <w:rPr>
                <w:sz w:val="16"/>
                <w:szCs w:val="16"/>
                <w:color w:val="auto"/>
              </w:rPr>
            </w:pPr>
          </w:p>
        </w:tc>
        <w:tc>
          <w:tcPr>
            <w:tcW w:w="4740" w:type="dxa"/>
            <w:vAlign w:val="bottom"/>
            <w:gridSpan w:val="4"/>
            <w:vMerge w:val="continue"/>
          </w:tcPr>
          <w:p>
            <w:pPr>
              <w:spacing w:after="0"/>
              <w:rPr>
                <w:sz w:val="16"/>
                <w:szCs w:val="16"/>
                <w:color w:val="auto"/>
              </w:rPr>
            </w:pPr>
          </w:p>
        </w:tc>
        <w:tc>
          <w:tcPr>
            <w:tcW w:w="34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3"/>
        </w:trPr>
        <w:tc>
          <w:tcPr>
            <w:tcW w:w="790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w:t>
              </w:r>
            </w:hyperlink>
          </w:p>
        </w:tc>
        <w:tc>
          <w:tcPr>
            <w:tcW w:w="3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Statements of Changes in Net Assets Available for Benefits</w:t>
              </w:r>
            </w:hyperlink>
          </w:p>
        </w:tc>
        <w:tc>
          <w:tcPr>
            <w:tcW w:w="3400" w:type="dxa"/>
            <w:vAlign w:val="bottom"/>
            <w:gridSpan w:val="2"/>
          </w:tcPr>
          <w:p>
            <w:pPr>
              <w:spacing w:after="0"/>
              <w:rPr>
                <w:sz w:val="17"/>
                <w:szCs w:val="17"/>
                <w:color w:val="auto"/>
              </w:rPr>
            </w:pPr>
          </w:p>
        </w:tc>
        <w:tc>
          <w:tcPr>
            <w:tcW w:w="3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3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2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SUPPLEMENTAL SCHEDULE</w:t>
              </w:r>
            </w:hyperlink>
          </w:p>
        </w:tc>
        <w:tc>
          <w:tcPr>
            <w:tcW w:w="5380" w:type="dxa"/>
            <w:vAlign w:val="bottom"/>
            <w:gridSpan w:val="5"/>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Schedule H, Line 4i — Schedule of Assets (Held at End of Year)</w:t>
              </w:r>
            </w:hyperlink>
          </w:p>
        </w:tc>
        <w:tc>
          <w:tcPr>
            <w:tcW w:w="34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20" w:type="dxa"/>
            <w:vAlign w:val="bottom"/>
            <w:gridSpan w:val="6"/>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EX-23.1</w:t>
            </w:r>
          </w:p>
        </w:tc>
        <w:tc>
          <w:tcPr>
            <w:tcW w:w="7240" w:type="dxa"/>
            <w:vAlign w:val="bottom"/>
            <w:gridSpan w:val="7"/>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00" w:type="dxa"/>
            <w:vAlign w:val="bottom"/>
            <w:gridSpan w:val="10"/>
          </w:tcPr>
          <w:p>
            <w:pPr>
              <w:spacing w:after="0"/>
              <w:rPr>
                <w:sz w:val="20"/>
                <w:szCs w:val="20"/>
                <w:color w:val="auto"/>
              </w:rPr>
            </w:pPr>
            <w:r>
              <w:rPr>
                <w:rFonts w:ascii="Arial" w:cs="Arial" w:eastAsia="Arial" w:hAnsi="Arial"/>
                <w:sz w:val="18"/>
                <w:szCs w:val="18"/>
                <w:color w:val="auto"/>
              </w:rPr>
              <w:t>Consent of Clifton Gunderson LLP</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00" w:hanging="799"/>
        <w:spacing w:after="0" w:line="277" w:lineRule="auto"/>
        <w:tabs>
          <w:tab w:leader="none" w:pos="780" w:val="left"/>
        </w:tabs>
        <w:rPr>
          <w:sz w:val="20"/>
          <w:szCs w:val="20"/>
          <w:color w:val="auto"/>
        </w:rPr>
      </w:pPr>
      <w:r>
        <w:rPr>
          <w:rFonts w:ascii="Arial" w:cs="Arial" w:eastAsia="Arial" w:hAnsi="Arial"/>
          <w:sz w:val="18"/>
          <w:szCs w:val="18"/>
          <w:color w:val="auto"/>
        </w:rPr>
        <w:t>NOTE:</w:t>
        <w:tab/>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Retirement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audited the accompanying statements of net assets available for benefits of Brady Matched 401(k) Plan as of December 31, 2008 and 2007,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7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Brady Matched 401(k) Plan as of December 31, 2008 and 2007, and the changes in net assets available for benefits for the years then ended in conformity with United States generally accepted accounting principles.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accompanying supplemental schedule is presented for purposes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presented fairly, in all material respects in relation to the basic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Clifton Gunderson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24, 2009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 and 2007</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3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Investments — at fair value</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$ 118,493,171</w:t>
            </w:r>
          </w:p>
        </w:tc>
        <w:tc>
          <w:tcPr>
            <w:tcW w:w="3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174,698,244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contributions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658,881</w:t>
            </w: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1,252,100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658,881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119,154,311</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176,670,016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LIABILITIES — </w:t>
            </w:r>
            <w:r>
              <w:rPr>
                <w:rFonts w:ascii="Arial" w:cs="Arial" w:eastAsia="Arial" w:hAnsi="Arial"/>
                <w:sz w:val="18"/>
                <w:szCs w:val="18"/>
                <w:color w:val="auto"/>
              </w:rPr>
              <w:t>excess contributions payable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NET ASSETS AVAILABLE FOR BENEFITS AT FAIR VALUE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119,149,059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176,670,016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Adjustments from fair value to contract value for fully benefit-responsive investment contracts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(227,453)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40" w:type="dxa"/>
            <w:vAlign w:val="bottom"/>
            <w:gridSpan w:val="2"/>
            <w:vMerge w:val="continue"/>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$ 119,949,202</w:t>
            </w:r>
          </w:p>
        </w:tc>
        <w:tc>
          <w:tcPr>
            <w:tcW w:w="340" w:type="dxa"/>
            <w:vAlign w:val="bottom"/>
          </w:tcPr>
          <w:p>
            <w:pPr>
              <w:spacing w:after="0"/>
              <w:rPr>
                <w:sz w:val="24"/>
                <w:szCs w:val="24"/>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176,442,563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2008 and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 TO (DEDUCTIONS FROM) NET ASSETS ATTRIBUTED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Participant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8,299,025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Employer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3,727,254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3,655,188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contributions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12,026,279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11,992,618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Investment income (loss)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appreciation (depreciation) in fair value of investments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(56,323,037)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11,541,692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2,742,741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5,720,609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341,224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(53,239,072)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19,104,630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(15,234,383)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(11,943,112)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(46,185)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(53,877)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(56,493,361)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19,100,259</w:t>
            </w:r>
          </w:p>
        </w:tc>
        <w:tc>
          <w:tcPr>
            <w:tcW w:w="0" w:type="dxa"/>
            <w:vAlign w:val="bottom"/>
          </w:tcPr>
          <w:p>
            <w:pPr>
              <w:spacing w:after="0"/>
              <w:rPr>
                <w:sz w:val="1"/>
                <w:szCs w:val="1"/>
                <w:color w:val="auto"/>
              </w:rPr>
            </w:pPr>
          </w:p>
        </w:tc>
      </w:tr>
      <w:tr>
        <w:trPr>
          <w:trHeight w:val="439"/>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NET ASSETS AVAILABLE FOR BENEFITS, BEGINNING OF YEAR</w:t>
            </w: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176,442,563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157,342,304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BENEFITS,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119,949,202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176,442,563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PLAN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 Participants should refer to the Plan document for more complete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co-op students, on-call employees or interns. An employee may become a participant in the Plan on the employee’s initial date of employment. The Plan is subject to the provisions of the Employee Retirement Income Security Act of 1974, as amended (ERISA).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1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Each year, participants may contribute up to 25% of their annual base compensation subject to the Internal Revenue Code (IRC) limitations. These voluntary contributions can be withdrawn in whole or part in case of qualifying emergencies (as defined in the Plan), subject to certain restrictions. Prior to January 1, 2008, the Company was required to contribute a 100% matching contribution up to 4% of a participant’s annual base compensation, subject to compensation limits of $225,000, adjusted for inflation. Effective January 1, 2008, the Company is required to contribute a 100% matching contribution of the first 3% and 50% of the next 2% that a participant contributes, subject to compensation limits of $230,000, adjusted for inflation. Participants self-direct all participant and Company contributions.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Individual accounts are maintained for each Plan participant. Each participant’s account is credited with the participant’s contribution, the Company’s matching contribution (net of participant forfeitures) and Plan earnings, and charged with withdrawals and an allocation of Plan losses and administrative expenses. The benefit to which a participant is entitled is the benefit that can be provided from the participant’s vested account.</w:t>
      </w:r>
    </w:p>
    <w:p>
      <w:pPr>
        <w:spacing w:after="0" w:line="5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Effective January 1, 2008, for any new participant or existing employee who is not participating, the Plan will automatically withhold 3% of the employee’s pay, on a pre-tax basis. The withheld funds will be deposited into an account under the employee’s name in the Plan, unless a waiver form was completed by the employee prior to December 14, 2007, or before receiving compensation for the first time subsequent to becoming eligible to participate.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DESCRIPTION OF THE PLAN </w:t>
      </w:r>
      <w:r>
        <w:rPr>
          <w:rFonts w:ascii="Arial" w:cs="Arial" w:eastAsia="Arial" w:hAnsi="Arial"/>
          <w:sz w:val="18"/>
          <w:szCs w:val="18"/>
          <w:color w:val="auto"/>
        </w:rPr>
        <w:t>(continued)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options include thirteen equity funds, one common collective trust fund, one bond fund, two money market funds, and Brady Corporation Class A Non-Voting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Vesting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Plan provides for full vesting of participants’ contributions from the date they are made. Company contributions will become vested after a two-year period of continuous service for all contributions made after January 1, 2008. Contributions made prior to January 1, 2008, will continue to become vested on a straight line basis over a three-year period of continuous service. The participants’ share of the Company contribution becomes fully vested, in any event, upon normal retirement at age 65, termination due to permanent or total disability or death.</w:t>
      </w:r>
    </w:p>
    <w:p>
      <w:pPr>
        <w:spacing w:after="0" w:line="7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 Loans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Participants may borrow from their plan accounts a minimum of $1,000 and up to 50% of their account balance with a maximum of $50,000. The loans are secured by the balance in the participant’s account and bear interest at the prime rate. As of December 31, 2008, the interest rates on outstanding loans range from 3.25% to 10.25%.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2008 and 2007, forfeited non-vested accounts totaled $103,340 and $89,070, respectively. These amounts were used to reduce employer contribution receivables as of December 31, 2008 and 2007.</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w:t>
      </w:r>
    </w:p>
    <w:p>
      <w:pPr>
        <w:spacing w:after="0" w:line="14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Investment contracts held by a defined-contribution plan are required to be reported at fair value. However, contract value is the relevant measurement attribute for that portion of the net assets available for benefits for a defined contribution plan attributable for fully benefit-responsive investment contracts because contact value is the amount participants would receive if they were to initiate permitted transactions under the terms of the plans. The Statement of Net Assets Available for Benefits presents the fair value of the investment contacts as well as the adjustment of the fully benefit-responsive investment contacts from fair value to contact value. The Statement of Changes in Net Assets Available for Benefits is prepared on a contact value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New Accounting Guidance</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Plan adopted FASB Statement No. 157 (SFAS No. 157), “Fair Value Measurements”, on January 1, 2008, as it relates to financial assets and liabilities. SFAS No. 157 applies to other accounting pronouncements that require or permit fair value measurements, defines fair value based upon an exit price model, establishes a framework for measuring fair value, and expands the applicable disclosure requirements. Refer to Note 4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Plan utilizes various investment instruments, including mutual funds, common stock and a common collective trust fund.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Refer to Note 4 below.</w:t>
      </w:r>
    </w:p>
    <w:p>
      <w:pPr>
        <w:spacing w:after="0" w:line="6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Purchases and sales of securities are recorded on a trade-date basis. Interest income is recorded on the accrual basis. Dividends are recorded on the ex-dividend date. Net appreciation includes the Plan’s gains and losses on investments bought and sold as well as held during the year.</w:t>
      </w:r>
    </w:p>
    <w:p>
      <w:pPr>
        <w:spacing w:after="0" w:line="3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of the Plan are paid by the Plan as provided in the Plan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Benefit payments to participants are recorded upon distribution. There were no amounts allocated to accounts of persons who have elected to withdraw from the Plan, but have not yet been paid as of December 31, 2008 and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Plan is required to return contributions received during the Plan year in excess of the IRC limits to the contributing participants. There were excess contributions for the year ended December 31, 2008, in the amount of $5,252, and there were no excess contributions for the year ended December 31, 2007.</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value of individual investments held which exceeded 5% of the net assets available for benefits at December 31, 2008 and 2007,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16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2007</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Advisors Equity Growth Fund</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  21,803,220</w:t>
            </w:r>
          </w:p>
        </w:tc>
        <w:tc>
          <w:tcPr>
            <w:tcW w:w="208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  44,410,899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PNC Investment Contract Fund*</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**20,931,871</w:t>
            </w:r>
          </w:p>
        </w:tc>
        <w:tc>
          <w:tcPr>
            <w:tcW w:w="2080" w:type="dxa"/>
            <w:vAlign w:val="bottom"/>
            <w:gridSpan w:val="2"/>
          </w:tcPr>
          <w:p>
            <w:pPr>
              <w:jc w:val="right"/>
              <w:ind w:right="216"/>
              <w:spacing w:after="0"/>
              <w:rPr>
                <w:sz w:val="20"/>
                <w:szCs w:val="20"/>
                <w:color w:val="auto"/>
              </w:rPr>
            </w:pPr>
            <w:r>
              <w:rPr>
                <w:rFonts w:ascii="Arial" w:cs="Arial" w:eastAsia="Arial" w:hAnsi="Arial"/>
                <w:sz w:val="18"/>
                <w:szCs w:val="18"/>
                <w:color w:val="auto"/>
              </w:rPr>
              <w:t>**19,536,534</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Vanguard Admiral Treasury</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11,982,850</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Fidelity Advisors Intermediate Bond Fund</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16"/>
              <w:spacing w:after="0"/>
              <w:rPr>
                <w:sz w:val="20"/>
                <w:szCs w:val="20"/>
                <w:color w:val="auto"/>
              </w:rPr>
            </w:pPr>
            <w:r>
              <w:rPr>
                <w:rFonts w:ascii="Arial" w:cs="Arial" w:eastAsia="Arial" w:hAnsi="Arial"/>
                <w:sz w:val="18"/>
                <w:szCs w:val="18"/>
                <w:color w:val="auto"/>
              </w:rPr>
              <w:t>9,592,730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Vanguard Institutional Index Fund</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9,746,536</w:t>
            </w:r>
          </w:p>
        </w:tc>
        <w:tc>
          <w:tcPr>
            <w:tcW w:w="208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17,051,532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Vanguard Total Bond Index Inst</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9,496,041</w:t>
            </w:r>
          </w:p>
        </w:tc>
        <w:tc>
          <w:tcPr>
            <w:tcW w:w="480" w:type="dxa"/>
            <w:vAlign w:val="bottom"/>
          </w:tcPr>
          <w:p>
            <w:pPr>
              <w:spacing w:after="0"/>
              <w:rPr>
                <w:sz w:val="18"/>
                <w:szCs w:val="18"/>
                <w:color w:val="auto"/>
              </w:rPr>
            </w:pPr>
          </w:p>
        </w:tc>
        <w:tc>
          <w:tcPr>
            <w:tcW w:w="1600" w:type="dxa"/>
            <w:vAlign w:val="bottom"/>
          </w:tcPr>
          <w:p>
            <w:pPr>
              <w:jc w:val="right"/>
              <w:ind w:right="216"/>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7,434,435</w:t>
            </w:r>
          </w:p>
        </w:tc>
        <w:tc>
          <w:tcPr>
            <w:tcW w:w="208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13,936,242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LSV Value Equity Fund</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16"/>
              <w:spacing w:after="0"/>
              <w:rPr>
                <w:sz w:val="20"/>
                <w:szCs w:val="20"/>
                <w:color w:val="auto"/>
              </w:rPr>
            </w:pPr>
            <w:r>
              <w:rPr>
                <w:rFonts w:ascii="Arial" w:cs="Arial" w:eastAsia="Arial" w:hAnsi="Arial"/>
                <w:sz w:val="18"/>
                <w:szCs w:val="18"/>
                <w:color w:val="auto"/>
              </w:rPr>
              <w:t>9,662,284</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MFS Emerging Markets Equity Fund</w:t>
            </w:r>
          </w:p>
        </w:tc>
        <w:tc>
          <w:tcPr>
            <w:tcW w:w="1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rPr>
              <w:t>11,235,879</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Blackrock Money Market Portfolio*</w:t>
            </w:r>
          </w:p>
        </w:tc>
        <w:tc>
          <w:tcPr>
            <w:tcW w:w="16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16"/>
              <w:spacing w:after="0"/>
              <w:rPr>
                <w:sz w:val="20"/>
                <w:szCs w:val="20"/>
                <w:color w:val="auto"/>
              </w:rPr>
            </w:pPr>
            <w:r>
              <w:rPr>
                <w:rFonts w:ascii="Arial" w:cs="Arial" w:eastAsia="Arial" w:hAnsi="Arial"/>
                <w:sz w:val="18"/>
                <w:szCs w:val="18"/>
                <w:color w:val="auto"/>
              </w:rPr>
              <w:t>9,220,174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7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represents contract value which differs from fair value as noted in the supplemental schedule.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5% of the Plan’s net assets.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years ended December 31, 2008 and 2007, the Plan’s investments (including gains and losses on investments bought and sold, as well as held during the year) appreciated (depreciated) in value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Equity funds</w:t>
            </w:r>
          </w:p>
        </w:tc>
        <w:tc>
          <w:tcPr>
            <w:tcW w:w="3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(56,340,558)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$10,933,221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Bond fund</w:t>
            </w:r>
          </w:p>
        </w:tc>
        <w:tc>
          <w:tcPr>
            <w:tcW w:w="3880" w:type="dxa"/>
            <w:vAlign w:val="bottom"/>
            <w:gridSpan w:val="3"/>
          </w:tcPr>
          <w:p>
            <w:pPr>
              <w:jc w:val="right"/>
              <w:ind w:right="660"/>
              <w:spacing w:after="0"/>
              <w:rPr>
                <w:sz w:val="20"/>
                <w:szCs w:val="20"/>
                <w:color w:val="auto"/>
              </w:rPr>
            </w:pPr>
            <w:r>
              <w:rPr>
                <w:rFonts w:ascii="Arial" w:cs="Arial" w:eastAsia="Arial" w:hAnsi="Arial"/>
                <w:sz w:val="18"/>
                <w:szCs w:val="18"/>
                <w:color w:val="auto"/>
              </w:rPr>
              <w:t>218,740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 fund</w:t>
            </w:r>
          </w:p>
        </w:tc>
        <w:tc>
          <w:tcPr>
            <w:tcW w:w="38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936,525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Brady Corporation common stock</w:t>
            </w:r>
          </w:p>
        </w:tc>
        <w:tc>
          <w:tcPr>
            <w:tcW w:w="3880" w:type="dxa"/>
            <w:vAlign w:val="bottom"/>
            <w:gridSpan w:val="3"/>
          </w:tcPr>
          <w:p>
            <w:pPr>
              <w:jc w:val="right"/>
              <w:ind w:right="600"/>
              <w:spacing w:after="0"/>
              <w:rPr>
                <w:sz w:val="20"/>
                <w:szCs w:val="20"/>
                <w:color w:val="auto"/>
              </w:rPr>
            </w:pPr>
            <w:r>
              <w:rPr>
                <w:rFonts w:ascii="Arial" w:cs="Arial" w:eastAsia="Arial" w:hAnsi="Arial"/>
                <w:sz w:val="18"/>
                <w:szCs w:val="18"/>
                <w:color w:val="auto"/>
              </w:rPr>
              <w:t>(1,137,744)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(210,006)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(depreciation) in fair value of investments</w:t>
            </w:r>
          </w:p>
        </w:tc>
        <w:tc>
          <w:tcPr>
            <w:tcW w:w="3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(56,323,037)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$ 11,541,692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Plan adopted SFAS No. 157, on January 1, 2008, as it relates to financial assets and liabilities. SFAS No. 157 applies to other accounting pronouncements that require or permit fair value measurements, defines fair value based upon an exit price model, establishes a framework for measuring fair value, and expands the applicable disclosure requirements. SFAS No. 157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FAIR VALUE MEASUREMENT </w:t>
      </w:r>
      <w:r>
        <w:rPr>
          <w:rFonts w:ascii="Arial" w:cs="Arial" w:eastAsia="Arial" w:hAnsi="Arial"/>
          <w:sz w:val="18"/>
          <w:szCs w:val="18"/>
          <w:color w:val="auto"/>
        </w:rPr>
        <w:t>(continued)</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SFAS No. 157 establishes a fair market value hierarchy for the pricing inputs used to measure fair market value. The Plan’s net assets measured at fair market value are classified in one of the following categories:</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Assets for which fair value is based on quoted market prices in active markets for identical instruments as of the reporting date.</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Assets for which fair value is based on valuation models for which pricing inputs were either directly or indirectly observable</w:t>
      </w:r>
    </w:p>
    <w:p>
      <w:pPr>
        <w:spacing w:after="0" w:line="225" w:lineRule="exact"/>
        <w:rPr>
          <w:sz w:val="20"/>
          <w:szCs w:val="20"/>
          <w:color w:val="auto"/>
        </w:rPr>
      </w:pPr>
    </w:p>
    <w:p>
      <w:pPr>
        <w:ind w:left="1020" w:right="960" w:hanging="1012"/>
        <w:spacing w:after="0" w:line="277" w:lineRule="auto"/>
        <w:tabs>
          <w:tab w:leader="none" w:pos="10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Assets for which fair value is based on valuation models with significant unobservable pricing inputs and which result in the use of management estimates.</w:t>
      </w:r>
    </w:p>
    <w:p>
      <w:pPr>
        <w:spacing w:after="0" w:line="6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have been no changes in the methodologies used at December 31, 2008.</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Shares of equity funds and bond funds are valued at quoted market prices, which represent the net asset value of shares held by the Plan at year end. Common stock is valued at quoted market prices. Such securities are classified within Level 1 of the valuation hierarchy.</w:t>
      </w:r>
    </w:p>
    <w:p>
      <w:pPr>
        <w:spacing w:after="0" w:line="6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common collective trust fund is valued at fair market value of the underlying investments and then adjusted by the issuer to contract value. The money market funds are valued at a stable $1.00 net asset value. Such securities are classified within Level 2 of the valuation hierarchy.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Participant loans are valued at the amortized cost, which represents fair value. Such securities are classified within Level 3 of the valuation hierarchy.</w:t>
      </w:r>
    </w:p>
    <w:p>
      <w:pPr>
        <w:spacing w:after="0" w:line="1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FAIR VALUE MEASUREMENT </w:t>
      </w:r>
      <w:r>
        <w:rPr>
          <w:rFonts w:ascii="Arial" w:cs="Arial" w:eastAsia="Arial" w:hAnsi="Arial"/>
          <w:sz w:val="18"/>
          <w:szCs w:val="18"/>
          <w:color w:val="auto"/>
        </w:rPr>
        <w:t>(continued)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December 31,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14"/>
                <w:szCs w:val="14"/>
                <w:color w:val="auto"/>
              </w:rPr>
            </w:pPr>
          </w:p>
        </w:tc>
        <w:tc>
          <w:tcPr>
            <w:tcW w:w="1240" w:type="dxa"/>
            <w:vAlign w:val="bottom"/>
          </w:tcPr>
          <w:p>
            <w:pPr>
              <w:jc w:val="right"/>
              <w:ind w:right="532"/>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4"/>
                <w:szCs w:val="14"/>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funds</w:t>
            </w:r>
          </w:p>
        </w:tc>
        <w:tc>
          <w:tcPr>
            <w:tcW w:w="15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$71,524,084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$ 71,524,084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Bond fund</w:t>
            </w: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9,496,041</w:t>
            </w:r>
          </w:p>
        </w:tc>
        <w:tc>
          <w:tcPr>
            <w:tcW w:w="500" w:type="dxa"/>
            <w:vAlign w:val="bottom"/>
          </w:tcPr>
          <w:p>
            <w:pPr>
              <w:spacing w:after="0"/>
              <w:rPr>
                <w:sz w:val="18"/>
                <w:szCs w:val="18"/>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w w:val="99"/>
              </w:rPr>
              <w:t>9,496,041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5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8"/>
              </w:rPr>
              <w:t>11,983,892</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8"/>
              </w:rPr>
              <w:t>11,983,892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Brady common stock</w:t>
            </w: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2,992,404</w:t>
            </w:r>
          </w:p>
        </w:tc>
        <w:tc>
          <w:tcPr>
            <w:tcW w:w="500" w:type="dxa"/>
            <w:vAlign w:val="bottom"/>
          </w:tcPr>
          <w:p>
            <w:pPr>
              <w:spacing w:after="0"/>
              <w:rPr>
                <w:sz w:val="18"/>
                <w:szCs w:val="18"/>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6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w w:val="99"/>
              </w:rPr>
              <w:t>2,992,404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 fund</w:t>
            </w:r>
          </w:p>
        </w:tc>
        <w:tc>
          <w:tcPr>
            <w:tcW w:w="15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8"/>
              </w:rPr>
              <w:t>20,131,728</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8"/>
              </w:rPr>
              <w:t>20,131,728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Participant loans</w:t>
            </w: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89"/>
              </w:rPr>
              <w:t>2,365,022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2,365,022</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$84,012,529</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88"/>
              </w:rPr>
              <w:t>32,115,620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89"/>
              </w:rPr>
              <w:t>2,365,022</w:t>
            </w:r>
          </w:p>
        </w:tc>
        <w:tc>
          <w:tcPr>
            <w:tcW w:w="1480" w:type="dxa"/>
            <w:vAlign w:val="bottom"/>
            <w:tcBorders>
              <w:bottom w:val="single" w:sz="8" w:color="auto"/>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$118,493,171</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504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40" w:type="dxa"/>
            <w:vAlign w:val="bottom"/>
            <w:gridSpan w:val="7"/>
          </w:tcPr>
          <w:p>
            <w:pPr>
              <w:spacing w:after="0"/>
              <w:rPr>
                <w:sz w:val="20"/>
                <w:szCs w:val="20"/>
                <w:color w:val="auto"/>
              </w:rPr>
            </w:pPr>
            <w:r>
              <w:rPr>
                <w:rFonts w:ascii="Arial" w:cs="Arial" w:eastAsia="Arial" w:hAnsi="Arial"/>
                <w:sz w:val="18"/>
                <w:szCs w:val="18"/>
                <w:color w:val="auto"/>
                <w:w w:val="93"/>
              </w:rPr>
              <w:t>The following table sets forth a summary of changes in fair value of the Plan’s level 3 assets for the year ended December 31, 2008.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Participant Loans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Purchases, sales, issuance, and settlements (net)</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(99,325)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PLAN TERMINATION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100 percent vested in unvested employer matching contributions in their accounts.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FEDERAL INCOME TAX STATUS</w:t>
      </w:r>
    </w:p>
    <w:p>
      <w:pPr>
        <w:spacing w:after="0" w:line="121"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Plan uses a prototype plan document sponsored by PNC Bank (PNC or the Trustee). PNC received an opinion letter from the Internal Revenue Service (IRS), dated November 19, 2001,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EXEMPT PARTY-IN-INTEREST TRANSACTIONS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Plan invests in Company common stock. In addition, certain plan investments represent shares of mutual funds and common collective trust funds managed by the Trustee. Fees paid by the Plan for investment management services were included as a reduction of the return earned on each fund. These transactions are considered party-in-interest transactions. These transactions are not, however, considered prohibited transactions under ERISA regulations.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2008 and 2007, the Plan held 124,944 and 113,899 shares, respectively of common stock of Brady Corporation, with a cost basis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$3,127,795 and $2,869,435, respectively. During the years ended December 31, 2008 and 2007, the Plan recorded dividend income from the common stock of Brady Corporation of $69,176 and $70,972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RECONCILIATION TO FORM 5500</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assets available for benefits in the accompanying financial statements are reported at contract value; however, they are recorded at fair value in the Plan’s Form 5500.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financial statements</w:t>
            </w:r>
          </w:p>
        </w:tc>
        <w:tc>
          <w:tcPr>
            <w:tcW w:w="2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$ 119,949,202</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$ 176,442,563</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2300" w:type="dxa"/>
            <w:vAlign w:val="bottom"/>
            <w:gridSpan w:val="3"/>
          </w:tcPr>
          <w:p>
            <w:pPr>
              <w:jc w:val="right"/>
              <w:ind w:right="280"/>
              <w:spacing w:after="0"/>
              <w:rPr>
                <w:sz w:val="20"/>
                <w:szCs w:val="20"/>
                <w:color w:val="auto"/>
              </w:rPr>
            </w:pPr>
            <w:r>
              <w:rPr>
                <w:rFonts w:ascii="Arial" w:cs="Arial" w:eastAsia="Arial" w:hAnsi="Arial"/>
                <w:sz w:val="18"/>
                <w:szCs w:val="18"/>
                <w:color w:val="auto"/>
              </w:rPr>
              <w:t>(800,143)</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227,453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Amounts reported per Form 5500</w:t>
            </w:r>
          </w:p>
        </w:tc>
        <w:tc>
          <w:tcPr>
            <w:tcW w:w="2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$ 119,149,059</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176,670,016</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181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2008 AND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RECONCILIATION TO FORM 5500 </w:t>
      </w:r>
      <w:r>
        <w:rPr>
          <w:rFonts w:ascii="Arial" w:cs="Arial" w:eastAsia="Arial" w:hAnsi="Arial"/>
          <w:sz w:val="18"/>
          <w:szCs w:val="18"/>
          <w:color w:val="auto"/>
        </w:rPr>
        <w:t>(continued)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increase (decrease) in net assets available for benefits per the financial statements to the Form 5500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Amounts reported per financial statements</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(56,493,361)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$19,100,259</w:t>
            </w: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end of year</w:t>
            </w:r>
          </w:p>
        </w:tc>
        <w:tc>
          <w:tcPr>
            <w:tcW w:w="1800" w:type="dxa"/>
            <w:vAlign w:val="bottom"/>
            <w:gridSpan w:val="3"/>
          </w:tcPr>
          <w:p>
            <w:pPr>
              <w:jc w:val="right"/>
              <w:ind w:right="600"/>
              <w:spacing w:after="0"/>
              <w:rPr>
                <w:sz w:val="20"/>
                <w:szCs w:val="20"/>
                <w:color w:val="auto"/>
              </w:rPr>
            </w:pPr>
            <w:r>
              <w:rPr>
                <w:rFonts w:ascii="Arial" w:cs="Arial" w:eastAsia="Arial" w:hAnsi="Arial"/>
                <w:sz w:val="18"/>
                <w:szCs w:val="18"/>
                <w:color w:val="auto"/>
              </w:rPr>
              <w:t>(800,143)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227,453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contract value to fair value for fully benefit-responsive investment contracts at beginning of</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(227,453)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118,501</w:t>
            </w: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Transfer of assets from Plan</w:t>
            </w:r>
          </w:p>
        </w:tc>
        <w:tc>
          <w:tcPr>
            <w:tcW w:w="1800" w:type="dxa"/>
            <w:vAlign w:val="bottom"/>
            <w:gridSpan w:val="3"/>
          </w:tcPr>
          <w:p>
            <w:pPr>
              <w:jc w:val="right"/>
              <w:ind w:right="660"/>
              <w:spacing w:after="0"/>
              <w:rPr>
                <w:sz w:val="20"/>
                <w:szCs w:val="20"/>
                <w:color w:val="auto"/>
              </w:rPr>
            </w:pPr>
            <w:r>
              <w:rPr>
                <w:rFonts w:ascii="Arial" w:cs="Arial" w:eastAsia="Arial" w:hAnsi="Arial"/>
                <w:sz w:val="18"/>
                <w:szCs w:val="18"/>
                <w:color w:val="auto"/>
              </w:rPr>
              <w:t>11,702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Amounts reported per Form 5500</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(57,509,255)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19,446,213</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SUBSEQUENT EVENT</w:t>
            </w: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w w:val="92"/>
              </w:rPr>
              <w:t>Effective January 1, 2009, the Plan was amended to cover the employees of the Tricor Direct, Inc.’s DAWG division.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Effective January 1, 2009, the Sorbent Products Co., Inc. Profit Sharing Plan; the Electromark Co. Permar Systems Inc. 401 (k) Profit Sharing &amp; Trust; the AIO Acquisitions Inc. 401 (k) Plan; the IDR &amp; CIPI Savings Plan; and the Tricor/EMED Co. Inc. 401 (k) Plan (formerly known as EMED Co. Inc. 401 (k) Plan) merged into the Brady Matched 401 (k)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2009, an eligible employee may contribute up to a maximum of 50% of his/her salary.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SUPPLEMENTAL SCHEDULE</w:t>
      </w: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b w:val="1"/>
          <w:bCs w:val="1"/>
          <w:color w:val="auto"/>
        </w:rPr>
        <w:t>BRADY MATCHED 401(K) PLAN</w:t>
      </w:r>
      <w:r>
        <w:rPr>
          <w:sz w:val="20"/>
          <w:szCs w:val="20"/>
          <w:color w:val="auto"/>
        </w:rPr>
        <w:tab/>
      </w:r>
      <w:r>
        <w:rPr>
          <w:rFonts w:ascii="Arial" w:cs="Arial" w:eastAsia="Arial" w:hAnsi="Arial"/>
          <w:sz w:val="16"/>
          <w:szCs w:val="16"/>
          <w:b w:val="1"/>
          <w:bCs w:val="1"/>
          <w:color w:val="auto"/>
        </w:rPr>
        <w:t>EIN #: 39-0178960</w:t>
      </w:r>
    </w:p>
    <w:p>
      <w:pPr>
        <w:spacing w:after="0" w:line="27"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b w:val="1"/>
          <w:bCs w:val="1"/>
          <w:color w:val="auto"/>
        </w:rPr>
        <w:t>FORM 5500, SCHEDULE H, LINE 4i</w:t>
      </w:r>
      <w:r>
        <w:rPr>
          <w:sz w:val="20"/>
          <w:szCs w:val="20"/>
          <w:color w:val="auto"/>
        </w:rPr>
        <w:tab/>
      </w:r>
      <w:r>
        <w:rPr>
          <w:rFonts w:ascii="Arial" w:cs="Arial" w:eastAsia="Arial" w:hAnsi="Arial"/>
          <w:sz w:val="16"/>
          <w:szCs w:val="16"/>
          <w:b w:val="1"/>
          <w:bCs w:val="1"/>
          <w:color w:val="auto"/>
        </w:rPr>
        <w:t>Plan #: 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2008</w:t>
      </w:r>
    </w:p>
    <w:p>
      <w:pPr>
        <w:sectPr>
          <w:pgSz w:w="11900" w:h="16838" w:orient="portrait"/>
          <w:cols w:equalWidth="0" w:num="1">
            <w:col w:w="11320"/>
          </w:cols>
          <w:pgMar w:left="240" w:top="419" w:right="339" w:bottom="1440" w:gutter="0" w:footer="0" w:header="0"/>
        </w:sectPr>
      </w:pPr>
    </w:p>
    <w:p>
      <w:pPr>
        <w:spacing w:after="0" w:line="35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EQUITY FUNDS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MFS Emerging Markets Equity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Fidelity Advisors Equity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Blackrock Small Cap Growth Equity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American Century Small Cap Value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LSV Value Equity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2010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 Rowe Price Retirement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2030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 Rowe Price Retirement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2050</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Credit Suisse Commondity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Vanguard Institutional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COMMON COLLECTIVE TRUST FUND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PNC Investment Contract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BOND FUND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Vanguard Total Bond Index 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Vanguard Admiral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Brady Stock Liquidity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Brady Corporation Class A Non-voting*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PARTICIPANT LOANS, with rates of interest from 3.2% to 10.25% ; due through June 12, 2037*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TOTAL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381"/>
        <w:spacing w:after="0"/>
        <w:rPr>
          <w:sz w:val="20"/>
          <w:szCs w:val="20"/>
          <w:color w:val="auto"/>
        </w:rPr>
      </w:pPr>
      <w:r>
        <w:rPr>
          <w:rFonts w:ascii="Arial" w:cs="Arial" w:eastAsia="Arial" w:hAnsi="Arial"/>
          <w:sz w:val="14"/>
          <w:szCs w:val="14"/>
          <w:b w:val="1"/>
          <w:bCs w:val="1"/>
          <w:color w:val="auto"/>
        </w:rPr>
        <w:t>Fair</w:t>
      </w:r>
    </w:p>
    <w:p>
      <w:pPr>
        <w:spacing w:after="0" w:line="4" w:lineRule="exact"/>
        <w:rPr>
          <w:sz w:val="20"/>
          <w:szCs w:val="20"/>
          <w:color w:val="auto"/>
        </w:rPr>
      </w:pPr>
    </w:p>
    <w:p>
      <w:pPr>
        <w:ind w:left="341"/>
        <w:spacing w:after="0"/>
        <w:rPr>
          <w:sz w:val="20"/>
          <w:szCs w:val="20"/>
          <w:color w:val="auto"/>
        </w:rPr>
      </w:pP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43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90" w:lineRule="exact"/>
        <w:rPr>
          <w:sz w:val="20"/>
          <w:szCs w:val="20"/>
          <w:color w:val="auto"/>
        </w:rPr>
      </w:pPr>
    </w:p>
    <w:p>
      <w:pPr>
        <w:ind w:left="301" w:hanging="301"/>
        <w:spacing w:after="0"/>
        <w:tabs>
          <w:tab w:leader="none" w:pos="301" w:val="left"/>
        </w:tabs>
        <w:numPr>
          <w:ilvl w:val="0"/>
          <w:numId w:val="7"/>
        </w:numPr>
        <w:rPr>
          <w:rFonts w:ascii="Arial" w:cs="Arial" w:eastAsia="Arial" w:hAnsi="Arial"/>
          <w:sz w:val="16"/>
          <w:szCs w:val="16"/>
          <w:color w:val="auto"/>
        </w:rPr>
      </w:pPr>
      <w:r>
        <w:rPr>
          <w:rFonts w:ascii="Arial" w:cs="Arial" w:eastAsia="Arial" w:hAnsi="Arial"/>
          <w:sz w:val="16"/>
          <w:szCs w:val="16"/>
          <w:color w:val="auto"/>
        </w:rPr>
        <w:t>4,231,916</w:t>
      </w:r>
    </w:p>
    <w:p>
      <w:pPr>
        <w:spacing w:after="0" w:line="46" w:lineRule="exact"/>
        <w:rPr>
          <w:rFonts w:ascii="Arial" w:cs="Arial" w:eastAsia="Arial" w:hAnsi="Arial"/>
          <w:sz w:val="16"/>
          <w:szCs w:val="16"/>
          <w:color w:val="auto"/>
        </w:rPr>
      </w:pPr>
    </w:p>
    <w:p>
      <w:pPr>
        <w:ind w:left="201"/>
        <w:spacing w:after="0"/>
        <w:rPr>
          <w:rFonts w:ascii="Arial" w:cs="Arial" w:eastAsia="Arial" w:hAnsi="Arial"/>
          <w:sz w:val="16"/>
          <w:szCs w:val="16"/>
          <w:color w:val="auto"/>
        </w:rPr>
      </w:pPr>
      <w:r>
        <w:rPr>
          <w:rFonts w:ascii="Arial" w:cs="Arial" w:eastAsia="Arial" w:hAnsi="Arial"/>
          <w:sz w:val="16"/>
          <w:szCs w:val="16"/>
          <w:color w:val="auto"/>
        </w:rPr>
        <w:t>21,803,220</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7,434,435</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4,345,687</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3,439,606</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5,164,210</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3,371,220</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4,694,547</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3,372,668</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2,530,401</w:t>
      </w:r>
    </w:p>
    <w:p>
      <w:pPr>
        <w:spacing w:after="0" w:line="32" w:lineRule="exact"/>
        <w:rPr>
          <w:rFonts w:ascii="Arial" w:cs="Arial" w:eastAsia="Arial" w:hAnsi="Arial"/>
          <w:sz w:val="16"/>
          <w:szCs w:val="16"/>
          <w:color w:val="auto"/>
        </w:rPr>
      </w:pPr>
    </w:p>
    <w:p>
      <w:pPr>
        <w:ind w:left="521"/>
        <w:spacing w:after="0"/>
        <w:rPr>
          <w:rFonts w:ascii="Arial" w:cs="Arial" w:eastAsia="Arial" w:hAnsi="Arial"/>
          <w:sz w:val="16"/>
          <w:szCs w:val="16"/>
          <w:color w:val="auto"/>
        </w:rPr>
      </w:pPr>
      <w:r>
        <w:rPr>
          <w:rFonts w:ascii="Arial" w:cs="Arial" w:eastAsia="Arial" w:hAnsi="Arial"/>
          <w:sz w:val="16"/>
          <w:szCs w:val="16"/>
          <w:color w:val="auto"/>
        </w:rPr>
        <w:t>46,847</w:t>
      </w:r>
    </w:p>
    <w:p>
      <w:pPr>
        <w:spacing w:after="0" w:line="234" w:lineRule="exact"/>
        <w:rPr>
          <w:sz w:val="20"/>
          <w:szCs w:val="20"/>
          <w:color w:val="auto"/>
        </w:rPr>
      </w:pPr>
    </w:p>
    <w:p>
      <w:pPr>
        <w:ind w:left="301"/>
        <w:spacing w:after="0"/>
        <w:rPr>
          <w:sz w:val="20"/>
          <w:szCs w:val="20"/>
          <w:color w:val="auto"/>
        </w:rPr>
      </w:pPr>
      <w:r>
        <w:rPr>
          <w:rFonts w:ascii="Arial" w:cs="Arial" w:eastAsia="Arial" w:hAnsi="Arial"/>
          <w:sz w:val="16"/>
          <w:szCs w:val="16"/>
          <w:color w:val="auto"/>
        </w:rPr>
        <w:t>1,342,791</w:t>
      </w:r>
    </w:p>
    <w:p>
      <w:pPr>
        <w:spacing w:after="0" w:line="46" w:lineRule="exact"/>
        <w:rPr>
          <w:sz w:val="20"/>
          <w:szCs w:val="20"/>
          <w:color w:val="auto"/>
        </w:rPr>
      </w:pPr>
    </w:p>
    <w:p>
      <w:pPr>
        <w:ind w:left="301"/>
        <w:spacing w:after="0"/>
        <w:rPr>
          <w:sz w:val="20"/>
          <w:szCs w:val="20"/>
          <w:color w:val="auto"/>
        </w:rPr>
      </w:pPr>
      <w:r>
        <w:rPr>
          <w:rFonts w:ascii="Arial" w:cs="Arial" w:eastAsia="Arial" w:hAnsi="Arial"/>
          <w:sz w:val="16"/>
          <w:szCs w:val="16"/>
          <w:color w:val="auto"/>
        </w:rPr>
        <w:t>9,746,536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43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1" w:lineRule="exact"/>
        <w:rPr>
          <w:sz w:val="20"/>
          <w:szCs w:val="20"/>
          <w:color w:val="auto"/>
        </w:rPr>
      </w:pPr>
    </w:p>
    <w:p>
      <w:pPr>
        <w:ind w:left="201"/>
        <w:spacing w:after="0"/>
        <w:rPr>
          <w:sz w:val="20"/>
          <w:szCs w:val="20"/>
          <w:color w:val="auto"/>
        </w:rPr>
      </w:pPr>
      <w:r>
        <w:rPr>
          <w:rFonts w:ascii="Arial" w:cs="Arial" w:eastAsia="Arial" w:hAnsi="Arial"/>
          <w:sz w:val="16"/>
          <w:szCs w:val="16"/>
          <w:color w:val="auto"/>
        </w:rPr>
        <w:t>71,524,084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5"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20,131,728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01"/>
        <w:spacing w:after="0"/>
        <w:rPr>
          <w:sz w:val="20"/>
          <w:szCs w:val="20"/>
          <w:color w:val="auto"/>
        </w:rPr>
      </w:pPr>
      <w:r>
        <w:rPr>
          <w:rFonts w:ascii="Arial" w:cs="Arial" w:eastAsia="Arial" w:hAnsi="Arial"/>
          <w:sz w:val="16"/>
          <w:szCs w:val="16"/>
          <w:color w:val="auto"/>
        </w:rPr>
        <w:t>9,496,041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11,982,850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11,983,892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01"/>
        <w:spacing w:after="0"/>
        <w:rPr>
          <w:sz w:val="20"/>
          <w:szCs w:val="20"/>
          <w:color w:val="auto"/>
        </w:rPr>
      </w:pPr>
      <w:r>
        <w:rPr>
          <w:rFonts w:ascii="Arial" w:cs="Arial" w:eastAsia="Arial" w:hAnsi="Arial"/>
          <w:sz w:val="16"/>
          <w:szCs w:val="16"/>
          <w:color w:val="auto"/>
        </w:rPr>
        <w:t>2,992,404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5" w:lineRule="exact"/>
        <w:rPr>
          <w:sz w:val="20"/>
          <w:szCs w:val="20"/>
          <w:color w:val="auto"/>
        </w:rPr>
      </w:pPr>
    </w:p>
    <w:p>
      <w:pPr>
        <w:ind w:left="301"/>
        <w:spacing w:after="0"/>
        <w:rPr>
          <w:sz w:val="20"/>
          <w:szCs w:val="20"/>
          <w:color w:val="auto"/>
        </w:rPr>
      </w:pPr>
      <w:r>
        <w:rPr>
          <w:rFonts w:ascii="Arial" w:cs="Arial" w:eastAsia="Arial" w:hAnsi="Arial"/>
          <w:sz w:val="16"/>
          <w:szCs w:val="16"/>
          <w:color w:val="auto"/>
        </w:rPr>
        <w:t>2,365,022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5" w:lineRule="exact"/>
        <w:rPr>
          <w:sz w:val="20"/>
          <w:szCs w:val="20"/>
          <w:color w:val="auto"/>
        </w:rPr>
      </w:pPr>
    </w:p>
    <w:p>
      <w:pPr>
        <w:ind w:left="1"/>
        <w:spacing w:after="0"/>
        <w:rPr>
          <w:sz w:val="20"/>
          <w:szCs w:val="20"/>
          <w:color w:val="auto"/>
        </w:rPr>
      </w:pPr>
      <w:r>
        <w:rPr>
          <w:rFonts w:ascii="Arial" w:cs="Arial" w:eastAsia="Arial" w:hAnsi="Arial"/>
          <w:sz w:val="15"/>
          <w:szCs w:val="15"/>
          <w:u w:val="single" w:color="auto"/>
          <w:color w:val="auto"/>
        </w:rPr>
        <w:t>$ 118,493,171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43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ectPr>
          <w:pgSz w:w="11900" w:h="16838" w:orient="portrait"/>
          <w:cols w:equalWidth="0" w:num="2">
            <w:col w:w="9579" w:space="720"/>
            <w:col w:w="1021"/>
          </w:cols>
          <w:pgMar w:left="240" w:top="419"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MATCHED 401(k) PLAN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June 26,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VOSE</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Gary Vose</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Plan Administrative Committee Member</w:t>
            </w:r>
          </w:p>
        </w:tc>
        <w:tc>
          <w:tcPr>
            <w:tcW w:w="1700" w:type="dxa"/>
            <w:vAlign w:val="bottom"/>
          </w:tcPr>
          <w:p>
            <w:pPr>
              <w:spacing w:after="0"/>
              <w:rPr>
                <w:sz w:val="20"/>
                <w:szCs w:val="20"/>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4"/>
                <w:szCs w:val="14"/>
                <w:color w:val="auto"/>
              </w:rPr>
            </w:pPr>
          </w:p>
        </w:tc>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Consent of Clifton Gunderson LLP</w:t>
            </w:r>
          </w:p>
        </w:tc>
      </w:tr>
    </w:tbl>
    <w:p>
      <w:pPr>
        <w:sectPr>
          <w:pgSz w:w="11900" w:h="16838" w:orient="portrait"/>
          <w:cols w:equalWidth="0" w:num="1">
            <w:col w:w="11420"/>
          </w:cols>
          <w:pgMar w:left="240" w:top="41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24, 2009 appearing in this Annual Report on Form 11-K of Brady Matched 401(k) Plan for the year ended December 31, 2008 and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Clifton Gunderson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24, 2009</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2019-12-10T05:27:40Z</dcterms:created>
  <dcterms:modified xsi:type="dcterms:W3CDTF">2019-12-10T05:27:40Z</dcterms:modified>
</cp:coreProperties>
</file>