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Gorman Andrew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6555 W. GOOD HOPE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BRADY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BRC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10/02/2025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05"/>
        <w:spacing w:after="0"/>
        <w:rPr>
          <w:sz w:val="20"/>
          <w:szCs w:val="20"/>
          <w:color w:val="auto"/>
        </w:rPr>
      </w:pPr>
      <w:r>
        <w:rPr>
          <w:rFonts w:ascii="Times New Roman" w:cs="Times New Roman" w:eastAsia="Times New Roman" w:hAnsi="Times New Roman"/>
          <w:sz w:val="17"/>
          <w:szCs w:val="17"/>
          <w:color w:val="0000FF"/>
        </w:rPr>
        <w:t>General Counsel&amp;Corp Secretary</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80" w:type="dxa"/>
        <w:tblCellMar>
          <w:top w:w="0" w:type="dxa"/>
          <w:left w:w="0" w:type="dxa"/>
          <w:bottom w:w="0" w:type="dxa"/>
          <w:right w:w="0" w:type="dxa"/>
        </w:tblCellMar>
      </w:tblPr>
      <w:tr>
        <w:trPr>
          <w:trHeight w:val="36"/>
        </w:trPr>
        <w:tc>
          <w:tcPr>
            <w:tcW w:w="40" w:type="dxa"/>
            <w:vAlign w:val="bottom"/>
          </w:tcPr>
          <w:p>
            <w:pPr>
              <w:spacing w:after="0"/>
              <w:rPr>
                <w:sz w:val="3"/>
                <w:szCs w:val="3"/>
                <w:color w:val="auto"/>
              </w:rPr>
            </w:pPr>
          </w:p>
        </w:tc>
        <w:tc>
          <w:tcPr>
            <w:tcW w:w="1940" w:type="dxa"/>
            <w:vAlign w:val="bottom"/>
            <w:tcBorders>
              <w:bottom w:val="single" w:sz="8" w:color="9A9A9A"/>
            </w:tcBorders>
          </w:tcPr>
          <w:p>
            <w:pPr>
              <w:spacing w:after="0"/>
              <w:rPr>
                <w:sz w:val="3"/>
                <w:szCs w:val="3"/>
                <w:color w:val="auto"/>
              </w:rPr>
            </w:pPr>
          </w:p>
        </w:tc>
        <w:tc>
          <w:tcPr>
            <w:tcW w:w="1700" w:type="dxa"/>
            <w:vAlign w:val="bottom"/>
            <w:tcBorders>
              <w:bottom w:val="single" w:sz="8" w:color="9A9A9A"/>
            </w:tcBorders>
          </w:tcPr>
          <w:p>
            <w:pPr>
              <w:spacing w:after="0"/>
              <w:rPr>
                <w:sz w:val="3"/>
                <w:szCs w:val="3"/>
                <w:color w:val="auto"/>
              </w:rPr>
            </w:pPr>
          </w:p>
        </w:tc>
        <w:tc>
          <w:tcPr>
            <w:tcW w:w="3760" w:type="dxa"/>
            <w:vAlign w:val="bottom"/>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3760" w:type="dxa"/>
            <w:vAlign w:val="bottom"/>
            <w:vMerge w:val="continue"/>
          </w:tcPr>
          <w:p>
            <w:pPr>
              <w:spacing w:after="0"/>
              <w:rPr>
                <w:sz w:val="8"/>
                <w:szCs w:val="8"/>
                <w:color w:val="auto"/>
              </w:rPr>
            </w:pPr>
          </w:p>
        </w:tc>
        <w:tc>
          <w:tcPr>
            <w:tcW w:w="3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1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70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7"/>
                <w:szCs w:val="17"/>
                <w:color w:val="0000FF"/>
              </w:rPr>
              <w:t>MILWAUKEE  WI</w:t>
            </w:r>
          </w:p>
        </w:tc>
        <w:tc>
          <w:tcPr>
            <w:tcW w:w="1700" w:type="dxa"/>
            <w:vAlign w:val="bottom"/>
          </w:tcPr>
          <w:p>
            <w:pPr>
              <w:jc w:val="right"/>
              <w:ind w:right="673"/>
              <w:spacing w:after="0"/>
              <w:rPr>
                <w:sz w:val="20"/>
                <w:szCs w:val="20"/>
                <w:color w:val="auto"/>
              </w:rPr>
            </w:pPr>
            <w:r>
              <w:rPr>
                <w:rFonts w:ascii="Times New Roman" w:cs="Times New Roman" w:eastAsia="Times New Roman" w:hAnsi="Times New Roman"/>
                <w:sz w:val="17"/>
                <w:szCs w:val="17"/>
                <w:color w:val="0000FF"/>
              </w:rPr>
              <w:t>53223</w:t>
            </w:r>
          </w:p>
        </w:tc>
        <w:tc>
          <w:tcPr>
            <w:tcW w:w="3760" w:type="dxa"/>
            <w:vAlign w:val="bottom"/>
          </w:tcPr>
          <w:p>
            <w:pPr>
              <w:spacing w:after="0"/>
              <w:rPr>
                <w:sz w:val="20"/>
                <w:szCs w:val="20"/>
                <w:color w:val="auto"/>
              </w:rPr>
            </w:pPr>
          </w:p>
        </w:tc>
        <w:tc>
          <w:tcPr>
            <w:tcW w:w="3280" w:type="dxa"/>
            <w:vAlign w:val="bottom"/>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c>
          <w:tcPr>
            <w:tcW w:w="3760" w:type="dxa"/>
            <w:vAlign w:val="bottom"/>
          </w:tcPr>
          <w:p>
            <w:pPr>
              <w:spacing w:after="0"/>
              <w:rPr>
                <w:sz w:val="13"/>
                <w:szCs w:val="13"/>
                <w:color w:val="auto"/>
              </w:rPr>
            </w:pPr>
          </w:p>
        </w:tc>
        <w:tc>
          <w:tcPr>
            <w:tcW w:w="3280" w:type="dxa"/>
            <w:vAlign w:val="bottom"/>
          </w:tcPr>
          <w:p>
            <w:pPr>
              <w:ind w:left="7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80" w:type="dxa"/>
            <w:vAlign w:val="bottom"/>
          </w:tcPr>
          <w:p>
            <w:pPr>
              <w:ind w:left="740"/>
              <w:spacing w:after="0" w:line="146"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bl>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3"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10/02/2025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2,559</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14,970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10/02/2025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ind w:right="33"/>
              <w:spacing w:after="0"/>
              <w:rPr>
                <w:sz w:val="20"/>
                <w:szCs w:val="20"/>
                <w:color w:val="auto"/>
              </w:rPr>
            </w:pPr>
            <w:r>
              <w:rPr>
                <w:rFonts w:ascii="Times New Roman" w:cs="Times New Roman" w:eastAsia="Times New Roman" w:hAnsi="Times New Roman"/>
                <w:sz w:val="17"/>
                <w:szCs w:val="17"/>
                <w:color w:val="0000FF"/>
              </w:rPr>
              <w:t>817</w:t>
            </w:r>
            <w:r>
              <w:rPr>
                <w:rFonts w:ascii="Times New Roman" w:cs="Times New Roman" w:eastAsia="Times New Roman" w:hAnsi="Times New Roman"/>
                <w:sz w:val="22"/>
                <w:szCs w:val="22"/>
                <w:color w:val="008000"/>
                <w:vertAlign w:val="superscript"/>
              </w:rPr>
              <w:t>(2)</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78.16</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14,153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which vest one third each year for the three years subsequent to the grant date. Upon vesting, each restricted stock unit will be settled solely by delivery of one share of Class A Common Stock.</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to cover taxes on 1,740 restricted stock units that vested on October 2, 2025.</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Heidi Knueppel, Attorney-In-  </w:t>
      </w:r>
      <w:r>
        <w:rPr>
          <w:rFonts w:ascii="Times New Roman" w:cs="Times New Roman" w:eastAsia="Times New Roman" w:hAnsi="Times New Roman"/>
          <w:sz w:val="34"/>
          <w:szCs w:val="34"/>
          <w:color w:val="0000FF"/>
          <w:vertAlign w:val="subscript"/>
        </w:rPr>
        <w:t>10/06/2025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106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08903" TargetMode="External"/><Relationship Id="rId14"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2025-10-06T10:31:17Z</dcterms:created>
  <dcterms:modified xsi:type="dcterms:W3CDTF">2025-10-06T10:31:17Z</dcterms:modified>
</cp:coreProperties>
</file>