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As filed with the Securities and Exchange Commission on September 5, 2023</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114935</wp:posOffset>
            </wp:positionV>
            <wp:extent cx="1346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99695</wp:posOffset>
            </wp:positionV>
            <wp:extent cx="1346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BRADY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105410</wp:posOffset>
            </wp:positionV>
            <wp:extent cx="1346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p>
      <w:pPr>
        <w:spacing w:after="0" w:line="294" w:lineRule="exact"/>
        <w:rPr>
          <w:sz w:val="24"/>
          <w:szCs w:val="24"/>
          <w:color w:val="auto"/>
        </w:rPr>
      </w:pPr>
    </w:p>
    <w:p>
      <w:pPr>
        <w:ind w:left="2340"/>
        <w:spacing w:after="0"/>
        <w:rPr>
          <w:sz w:val="20"/>
          <w:szCs w:val="20"/>
          <w:color w:val="auto"/>
        </w:rPr>
      </w:pPr>
      <w:r>
        <w:rPr>
          <w:rFonts w:ascii="Arial" w:cs="Arial" w:eastAsia="Arial" w:hAnsi="Arial"/>
          <w:sz w:val="14"/>
          <w:szCs w:val="14"/>
          <w:b w:val="1"/>
          <w:bCs w:val="1"/>
          <w:color w:val="auto"/>
        </w:rPr>
        <w:t>Wisconsin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46" w:lineRule="exact"/>
        <w:rPr>
          <w:sz w:val="24"/>
          <w:szCs w:val="24"/>
          <w:color w:val="auto"/>
        </w:rPr>
      </w:pPr>
    </w:p>
    <w:p>
      <w:pPr>
        <w:sectPr>
          <w:pgSz w:w="11900" w:h="16838" w:orient="portrait"/>
          <w:cols w:equalWidth="0" w:num="2">
            <w:col w:w="7360" w:space="720"/>
            <w:col w:w="3160"/>
          </w:cols>
          <w:pgMar w:left="320" w:top="232" w:right="33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32" w:right="339" w:bottom="1440" w:gutter="0" w:footer="0" w:header="0"/>
          <w:type w:val="continuous"/>
        </w:sectPr>
      </w:pP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53223</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105410</wp:posOffset>
            </wp:positionV>
            <wp:extent cx="1346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 E. THORNTON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Chief Accounting Officer and Treasurer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53201-0571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122555</wp:posOffset>
            </wp:positionV>
            <wp:extent cx="1346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S. LOCHMANN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Foley &amp; Lardner LLP</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East Wisconsin Avenue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53202</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271-2400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98425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85" w:lineRule="exact"/>
        <w:rPr>
          <w:sz w:val="24"/>
          <w:szCs w:val="24"/>
          <w:color w:val="auto"/>
        </w:rPr>
      </w:pPr>
    </w:p>
    <w:p>
      <w:pPr>
        <w:spacing w:after="0" w:line="293"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 as determined in light of market conditions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other factors.</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41" w:lineRule="exact"/>
        <w:rPr>
          <w:sz w:val="24"/>
          <w:szCs w:val="24"/>
          <w:color w:val="auto"/>
        </w:rPr>
      </w:pPr>
    </w:p>
    <w:p>
      <w:pPr>
        <w:ind w:right="20"/>
        <w:spacing w:after="0" w:line="20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9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2" w:right="339" w:bottom="1440" w:gutter="0" w:footer="0" w:header="0"/>
          <w:type w:val="continuous"/>
        </w:sectPr>
      </w:pPr>
    </w:p>
    <w:p>
      <w:pPr>
        <w:spacing w:after="0" w:line="55"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89"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1060"/>
        <w:spacing w:after="0" w:line="141" w:lineRule="exact"/>
        <w:rPr>
          <w:sz w:val="20"/>
          <w:szCs w:val="20"/>
          <w:color w:val="auto"/>
        </w:rPr>
      </w:pPr>
      <w:r>
        <w:rPr>
          <w:rFonts w:ascii="MS PGothic" w:cs="MS PGothic" w:eastAsia="MS PGothic" w:hAnsi="MS PGothic"/>
          <w:sz w:val="14"/>
          <w:szCs w:val="14"/>
          <w:color w:val="auto"/>
        </w:rPr>
        <w:t>☐</w:t>
      </w:r>
    </w:p>
    <w:p>
      <w:pPr>
        <w:spacing w:after="0" w:line="411" w:lineRule="exact"/>
        <w:rPr>
          <w:sz w:val="24"/>
          <w:szCs w:val="24"/>
          <w:color w:val="auto"/>
        </w:rPr>
      </w:pPr>
    </w:p>
    <w:p>
      <w:pPr>
        <w:sectPr>
          <w:pgSz w:w="11900" w:h="16838" w:orient="portrait"/>
          <w:cols w:equalWidth="0" w:num="6">
            <w:col w:w="1860" w:space="720"/>
            <w:col w:w="400" w:space="720"/>
            <w:col w:w="1900" w:space="720"/>
            <w:col w:w="380" w:space="720"/>
            <w:col w:w="1900" w:space="720"/>
            <w:col w:w="1200"/>
          </w:cols>
          <w:pgMar w:left="320" w:top="232" w:right="339" w:bottom="1440" w:gutter="0" w:footer="0" w:header="0"/>
          <w:type w:val="continuous"/>
        </w:sect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23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Brady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NONVOTING COMMON STOCK</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3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offer from time to time:</w:t>
      </w:r>
    </w:p>
    <w:p>
      <w:pPr>
        <w:spacing w:after="0" w:line="167" w:lineRule="exact"/>
        <w:rPr>
          <w:sz w:val="20"/>
          <w:szCs w:val="20"/>
          <w:color w:val="auto"/>
        </w:rPr>
      </w:pPr>
    </w:p>
    <w:p>
      <w:pPr>
        <w:ind w:left="1280" w:hanging="393"/>
        <w:spacing w:after="0"/>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unsecured debt securities consisting of debentures, notes and/or other evidences of unsecured indebtedness in one or more series;</w:t>
      </w:r>
    </w:p>
    <w:p>
      <w:pPr>
        <w:spacing w:after="0" w:line="30" w:lineRule="exact"/>
        <w:rPr>
          <w:rFonts w:ascii="Arial" w:cs="Arial" w:eastAsia="Arial" w:hAnsi="Arial"/>
          <w:sz w:val="17"/>
          <w:szCs w:val="17"/>
          <w:color w:val="auto"/>
        </w:rPr>
      </w:pPr>
    </w:p>
    <w:p>
      <w:pPr>
        <w:ind w:left="1280" w:hanging="393"/>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Class A Nonvoting Common Stock, $.01 par value per share; and</w:t>
      </w:r>
    </w:p>
    <w:p>
      <w:pPr>
        <w:spacing w:after="0" w:line="6" w:lineRule="exact"/>
        <w:rPr>
          <w:rFonts w:ascii="Arial" w:cs="Arial" w:eastAsia="Arial" w:hAnsi="Arial"/>
          <w:sz w:val="18"/>
          <w:szCs w:val="18"/>
          <w:color w:val="auto"/>
        </w:rPr>
      </w:pPr>
    </w:p>
    <w:p>
      <w:pPr>
        <w:ind w:left="1280" w:hanging="393"/>
        <w:spacing w:after="0" w:line="255" w:lineRule="auto"/>
        <w:tabs>
          <w:tab w:leader="none" w:pos="127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combination of the foregoing at prices and on terms to be determined at or prior to the time of sale in light of market conditions at the time of sale.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Class A Nonvoting Common Stock is listed on the New York Stock Exchange, under the symbol “BRC.”</w:t>
      </w:r>
    </w:p>
    <w:p>
      <w:pPr>
        <w:spacing w:after="0" w:line="163" w:lineRule="exact"/>
        <w:rPr>
          <w:sz w:val="20"/>
          <w:szCs w:val="20"/>
          <w:color w:val="auto"/>
        </w:rPr>
      </w:pPr>
    </w:p>
    <w:p>
      <w:pPr>
        <w:jc w:val="both"/>
        <w:ind w:firstLine="640"/>
        <w:spacing w:after="0" w:line="261" w:lineRule="auto"/>
        <w:rPr>
          <w:sz w:val="20"/>
          <w:szCs w:val="20"/>
          <w:color w:val="auto"/>
        </w:rPr>
      </w:pPr>
      <w:r>
        <w:rPr>
          <w:rFonts w:ascii="Arial" w:cs="Arial" w:eastAsia="Arial" w:hAnsi="Arial"/>
          <w:sz w:val="18"/>
          <w:szCs w:val="18"/>
          <w:b w:val="1"/>
          <w:bCs w:val="1"/>
          <w:color w:val="auto"/>
        </w:rPr>
        <w:t>Investment in our securities involves risks. See “Risk Factors” on page 3,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183" w:lineRule="exact"/>
        <w:rPr>
          <w:sz w:val="20"/>
          <w:szCs w:val="20"/>
          <w:color w:val="auto"/>
        </w:rPr>
      </w:pPr>
    </w:p>
    <w:p>
      <w:pPr>
        <w:ind w:left="380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43"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September 5, 2023.</w:t>
      </w:r>
    </w:p>
    <w:p>
      <w:pPr>
        <w:sectPr>
          <w:pgSz w:w="11900" w:h="16838" w:orient="portrait"/>
          <w:cols w:equalWidth="0" w:num="1">
            <w:col w:w="11240"/>
          </w:cols>
          <w:pgMar w:left="320" w:top="88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PAGE</w:t>
            </w:r>
          </w:p>
        </w:tc>
      </w:tr>
      <w:tr>
        <w:trPr>
          <w:trHeight w:val="187"/>
        </w:trPr>
        <w:tc>
          <w:tcPr>
            <w:tcW w:w="20" w:type="dxa"/>
            <w:vAlign w:val="bottom"/>
            <w:shd w:val="clear" w:color="auto" w:fill="CCEEFF"/>
          </w:tcPr>
          <w:p>
            <w:pPr>
              <w:spacing w:after="0"/>
              <w:rPr>
                <w:sz w:val="16"/>
                <w:szCs w:val="16"/>
                <w:color w:val="auto"/>
              </w:rPr>
            </w:pPr>
          </w:p>
        </w:tc>
        <w:tc>
          <w:tcPr>
            <w:tcW w:w="9760" w:type="dxa"/>
            <w:vAlign w:val="bottom"/>
            <w:gridSpan w:val="13"/>
            <w:shd w:val="clear" w:color="auto" w:fill="CCEEFF"/>
          </w:tcPr>
          <w:p>
            <w:pPr>
              <w:spacing w:after="0" w:line="148" w:lineRule="exact"/>
              <w:rPr>
                <w:sz w:val="20"/>
                <w:szCs w:val="20"/>
                <w:color w:val="auto"/>
              </w:rPr>
            </w:pPr>
            <w:r>
              <w:rPr>
                <w:rFonts w:ascii="Arial" w:cs="Arial" w:eastAsia="Arial" w:hAnsi="Arial"/>
                <w:sz w:val="17"/>
                <w:szCs w:val="17"/>
                <w:color w:val="0000FF"/>
              </w:rPr>
              <w:t>ABOUT THIS PROSPECTUS</w:t>
            </w:r>
          </w:p>
        </w:tc>
        <w:tc>
          <w:tcPr>
            <w:tcW w:w="1440" w:type="dxa"/>
            <w:vAlign w:val="bottom"/>
            <w:gridSpan w:val="4"/>
            <w:shd w:val="clear" w:color="auto" w:fill="CCEEFF"/>
          </w:tcPr>
          <w:p>
            <w:pPr>
              <w:jc w:val="right"/>
              <w:ind w:right="20"/>
              <w:spacing w:after="0" w:line="154" w:lineRule="exact"/>
              <w:rPr>
                <w:sz w:val="20"/>
                <w:szCs w:val="20"/>
                <w:color w:val="auto"/>
              </w:rPr>
            </w:pPr>
            <w:r>
              <w:rPr>
                <w:rFonts w:ascii="Arial" w:cs="Arial" w:eastAsia="Arial" w:hAnsi="Arial"/>
                <w:sz w:val="17"/>
                <w:szCs w:val="17"/>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760" w:type="dxa"/>
            <w:vAlign w:val="bottom"/>
            <w:gridSpan w:val="13"/>
          </w:tcPr>
          <w:p>
            <w:pPr>
              <w:spacing w:after="0" w:line="180" w:lineRule="exact"/>
              <w:rPr>
                <w:sz w:val="20"/>
                <w:szCs w:val="20"/>
                <w:color w:val="auto"/>
              </w:rPr>
            </w:pPr>
            <w:r>
              <w:rPr>
                <w:rFonts w:ascii="Arial" w:cs="Arial" w:eastAsia="Arial" w:hAnsi="Arial"/>
                <w:sz w:val="18"/>
                <w:szCs w:val="18"/>
                <w:color w:val="0000FF"/>
              </w:rPr>
              <w:t>FORWARD-LOOKING STATEMENTS AND CAUTIONARY FACTORS</w:t>
            </w:r>
          </w:p>
        </w:tc>
        <w:tc>
          <w:tcPr>
            <w:tcW w:w="1440" w:type="dxa"/>
            <w:vAlign w:val="bottom"/>
            <w:gridSpan w:val="4"/>
          </w:tcPr>
          <w:p>
            <w:pPr>
              <w:jc w:val="right"/>
              <w:ind w:right="20"/>
              <w:spacing w:after="0" w:line="180" w:lineRule="exact"/>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0000FF"/>
            </w:tcBorders>
            <w:gridSpan w:val="3"/>
            <w:shd w:val="clear" w:color="auto" w:fill="CCEEFF"/>
          </w:tcPr>
          <w:p>
            <w:pPr>
              <w:spacing w:after="0" w:line="187" w:lineRule="exact"/>
              <w:rPr>
                <w:sz w:val="20"/>
                <w:szCs w:val="20"/>
                <w:color w:val="auto"/>
              </w:rPr>
            </w:pPr>
            <w:r>
              <w:rPr>
                <w:rFonts w:ascii="Arial" w:cs="Arial" w:eastAsia="Arial" w:hAnsi="Arial"/>
                <w:sz w:val="18"/>
                <w:szCs w:val="18"/>
                <w:color w:val="0000FF"/>
                <w:w w:val="91"/>
              </w:rPr>
              <w:t>RISK FACTORS</w:t>
            </w:r>
          </w:p>
        </w:tc>
        <w:tc>
          <w:tcPr>
            <w:tcW w:w="8520" w:type="dxa"/>
            <w:vAlign w:val="bottom"/>
            <w:tcBorders>
              <w:bottom w:val="single" w:sz="8" w:color="CCEEFF"/>
            </w:tcBorders>
            <w:gridSpan w:val="10"/>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7" w:lineRule="exact"/>
              <w:rPr>
                <w:sz w:val="20"/>
                <w:szCs w:val="20"/>
                <w:color w:val="auto"/>
              </w:rPr>
            </w:pPr>
            <w:r>
              <w:rPr>
                <w:rFonts w:ascii="Arial" w:cs="Arial" w:eastAsia="Arial" w:hAnsi="Arial"/>
                <w:sz w:val="18"/>
                <w:szCs w:val="18"/>
                <w:color w:val="0000FF"/>
                <w:w w:val="79"/>
              </w:rPr>
              <w:t>3</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9760" w:type="dxa"/>
            <w:vAlign w:val="bottom"/>
            <w:gridSpan w:val="13"/>
          </w:tcPr>
          <w:p>
            <w:pPr>
              <w:spacing w:after="0" w:line="187" w:lineRule="exact"/>
              <w:rPr>
                <w:sz w:val="20"/>
                <w:szCs w:val="20"/>
                <w:color w:val="auto"/>
              </w:rPr>
            </w:pPr>
            <w:r>
              <w:rPr>
                <w:rFonts w:ascii="Arial" w:cs="Arial" w:eastAsia="Arial" w:hAnsi="Arial"/>
                <w:sz w:val="18"/>
                <w:szCs w:val="18"/>
                <w:color w:val="0000FF"/>
              </w:rPr>
              <w:t>THE COMPANY</w:t>
            </w:r>
          </w:p>
        </w:tc>
        <w:tc>
          <w:tcPr>
            <w:tcW w:w="1440" w:type="dxa"/>
            <w:vAlign w:val="bottom"/>
            <w:gridSpan w:val="4"/>
          </w:tcPr>
          <w:p>
            <w:pPr>
              <w:jc w:val="right"/>
              <w:ind w:right="20"/>
              <w:spacing w:after="0" w:line="187" w:lineRule="exact"/>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FF"/>
            </w:tcBorders>
            <w:gridSpan w:val="11"/>
            <w:shd w:val="clear" w:color="auto" w:fill="CCEEFF"/>
          </w:tcPr>
          <w:p>
            <w:pPr>
              <w:spacing w:after="0" w:line="187" w:lineRule="exact"/>
              <w:rPr>
                <w:sz w:val="20"/>
                <w:szCs w:val="20"/>
                <w:color w:val="auto"/>
              </w:rPr>
            </w:pPr>
            <w:r>
              <w:rPr>
                <w:rFonts w:ascii="Arial" w:cs="Arial" w:eastAsia="Arial" w:hAnsi="Arial"/>
                <w:sz w:val="18"/>
                <w:szCs w:val="18"/>
                <w:color w:val="0000FF"/>
                <w:w w:val="96"/>
              </w:rPr>
              <w:t>WHERE YOU CAN FIND MORE INFORMATION</w:t>
            </w:r>
          </w:p>
        </w:tc>
        <w:tc>
          <w:tcPr>
            <w:tcW w:w="598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7" w:lineRule="exact"/>
              <w:rPr>
                <w:sz w:val="20"/>
                <w:szCs w:val="20"/>
                <w:color w:val="auto"/>
              </w:rPr>
            </w:pPr>
            <w:r>
              <w:rPr>
                <w:rFonts w:ascii="Arial" w:cs="Arial" w:eastAsia="Arial" w:hAnsi="Arial"/>
                <w:sz w:val="18"/>
                <w:szCs w:val="18"/>
                <w:color w:val="0000FF"/>
                <w:w w:val="79"/>
              </w:rPr>
              <w:t>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9760" w:type="dxa"/>
            <w:vAlign w:val="bottom"/>
            <w:gridSpan w:val="13"/>
          </w:tcPr>
          <w:p>
            <w:pPr>
              <w:spacing w:after="0" w:line="187" w:lineRule="exact"/>
              <w:rPr>
                <w:sz w:val="20"/>
                <w:szCs w:val="20"/>
                <w:color w:val="auto"/>
              </w:rPr>
            </w:pPr>
            <w:r>
              <w:rPr>
                <w:rFonts w:ascii="Arial" w:cs="Arial" w:eastAsia="Arial" w:hAnsi="Arial"/>
                <w:sz w:val="18"/>
                <w:szCs w:val="18"/>
                <w:color w:val="0000FF"/>
              </w:rPr>
              <w:t>USE OF PROCEEDS</w:t>
            </w:r>
          </w:p>
        </w:tc>
        <w:tc>
          <w:tcPr>
            <w:tcW w:w="1440" w:type="dxa"/>
            <w:vAlign w:val="bottom"/>
            <w:gridSpan w:val="4"/>
          </w:tcPr>
          <w:p>
            <w:pPr>
              <w:jc w:val="right"/>
              <w:ind w:right="20"/>
              <w:spacing w:after="0" w:line="187"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FF"/>
            </w:tcBorders>
            <w:gridSpan w:val="10"/>
            <w:shd w:val="clear" w:color="auto" w:fill="CCEEFF"/>
          </w:tcPr>
          <w:p>
            <w:pPr>
              <w:spacing w:after="0" w:line="187" w:lineRule="exact"/>
              <w:rPr>
                <w:sz w:val="20"/>
                <w:szCs w:val="20"/>
                <w:color w:val="auto"/>
              </w:rPr>
            </w:pPr>
            <w:r>
              <w:rPr>
                <w:rFonts w:ascii="Arial" w:cs="Arial" w:eastAsia="Arial" w:hAnsi="Arial"/>
                <w:sz w:val="18"/>
                <w:szCs w:val="18"/>
                <w:color w:val="0000FF"/>
                <w:w w:val="93"/>
              </w:rPr>
              <w:t>DESCRIPTION OF DEBT SECURITIES</w:t>
            </w:r>
          </w:p>
        </w:tc>
        <w:tc>
          <w:tcPr>
            <w:tcW w:w="6760" w:type="dxa"/>
            <w:vAlign w:val="bottom"/>
            <w:tcBorders>
              <w:bottom w:val="single" w:sz="8" w:color="CCEEFF"/>
            </w:tcBorders>
            <w:gridSpan w:val="3"/>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7" w:lineRule="exact"/>
              <w:rPr>
                <w:sz w:val="20"/>
                <w:szCs w:val="20"/>
                <w:color w:val="auto"/>
              </w:rPr>
            </w:pPr>
            <w:r>
              <w:rPr>
                <w:rFonts w:ascii="Arial" w:cs="Arial" w:eastAsia="Arial" w:hAnsi="Arial"/>
                <w:sz w:val="18"/>
                <w:szCs w:val="18"/>
                <w:color w:val="0000FF"/>
                <w:w w:val="79"/>
              </w:rPr>
              <w:t>5</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9760" w:type="dxa"/>
            <w:vAlign w:val="bottom"/>
            <w:gridSpan w:val="13"/>
          </w:tcPr>
          <w:p>
            <w:pPr>
              <w:spacing w:after="0" w:line="187" w:lineRule="exact"/>
              <w:rPr>
                <w:sz w:val="20"/>
                <w:szCs w:val="20"/>
                <w:color w:val="auto"/>
              </w:rPr>
            </w:pPr>
            <w:r>
              <w:rPr>
                <w:rFonts w:ascii="Arial" w:cs="Arial" w:eastAsia="Arial" w:hAnsi="Arial"/>
                <w:sz w:val="18"/>
                <w:szCs w:val="18"/>
                <w:color w:val="0000FF"/>
              </w:rPr>
              <w:t>DESCRIPTION OF CAPITAL STOCK</w:t>
            </w:r>
          </w:p>
        </w:tc>
        <w:tc>
          <w:tcPr>
            <w:tcW w:w="1440" w:type="dxa"/>
            <w:vAlign w:val="bottom"/>
            <w:gridSpan w:val="4"/>
          </w:tcPr>
          <w:p>
            <w:pPr>
              <w:jc w:val="right"/>
              <w:ind w:right="20"/>
              <w:spacing w:after="0" w:line="187" w:lineRule="exact"/>
              <w:rPr>
                <w:sz w:val="20"/>
                <w:szCs w:val="20"/>
                <w:color w:val="auto"/>
              </w:rPr>
            </w:pPr>
            <w:r>
              <w:rPr>
                <w:rFonts w:ascii="Arial" w:cs="Arial" w:eastAsia="Arial" w:hAnsi="Arial"/>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FF"/>
            </w:tcBorders>
            <w:gridSpan w:val="2"/>
            <w:shd w:val="clear" w:color="auto" w:fill="CCEEFF"/>
          </w:tcPr>
          <w:p>
            <w:pPr>
              <w:spacing w:after="0" w:line="187" w:lineRule="exact"/>
              <w:rPr>
                <w:sz w:val="20"/>
                <w:szCs w:val="20"/>
                <w:color w:val="auto"/>
              </w:rPr>
            </w:pPr>
            <w:r>
              <w:rPr>
                <w:rFonts w:ascii="Arial" w:cs="Arial" w:eastAsia="Arial" w:hAnsi="Arial"/>
                <w:sz w:val="18"/>
                <w:szCs w:val="18"/>
                <w:color w:val="0000FF"/>
                <w:w w:val="95"/>
              </w:rPr>
              <w:t>BOOK-ENTRY</w:t>
            </w:r>
          </w:p>
        </w:tc>
        <w:tc>
          <w:tcPr>
            <w:tcW w:w="8600" w:type="dxa"/>
            <w:vAlign w:val="bottom"/>
            <w:tcBorders>
              <w:bottom w:val="single" w:sz="8" w:color="CCEEFF"/>
            </w:tcBorders>
            <w:gridSpan w:val="11"/>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2"/>
            <w:shd w:val="clear" w:color="auto" w:fill="CCEEFF"/>
          </w:tcPr>
          <w:p>
            <w:pPr>
              <w:jc w:val="right"/>
              <w:spacing w:after="0" w:line="187" w:lineRule="exact"/>
              <w:rPr>
                <w:sz w:val="20"/>
                <w:szCs w:val="20"/>
                <w:color w:val="auto"/>
              </w:rPr>
            </w:pPr>
            <w:r>
              <w:rPr>
                <w:rFonts w:ascii="Arial" w:cs="Arial" w:eastAsia="Arial" w:hAnsi="Arial"/>
                <w:sz w:val="18"/>
                <w:szCs w:val="18"/>
                <w:color w:val="0000FF"/>
                <w:w w:val="79"/>
              </w:rPr>
              <w:t>11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9760" w:type="dxa"/>
            <w:vAlign w:val="bottom"/>
            <w:gridSpan w:val="13"/>
          </w:tcPr>
          <w:p>
            <w:pPr>
              <w:spacing w:after="0" w:line="187" w:lineRule="exact"/>
              <w:rPr>
                <w:sz w:val="20"/>
                <w:szCs w:val="20"/>
                <w:color w:val="auto"/>
              </w:rPr>
            </w:pPr>
            <w:r>
              <w:rPr>
                <w:rFonts w:ascii="Arial" w:cs="Arial" w:eastAsia="Arial" w:hAnsi="Arial"/>
                <w:sz w:val="18"/>
                <w:szCs w:val="18"/>
                <w:color w:val="0000FF"/>
              </w:rPr>
              <w:t>PLAN OF DISTRIBUTION</w:t>
            </w:r>
          </w:p>
        </w:tc>
        <w:tc>
          <w:tcPr>
            <w:tcW w:w="1440" w:type="dxa"/>
            <w:vAlign w:val="bottom"/>
            <w:gridSpan w:val="4"/>
          </w:tcPr>
          <w:p>
            <w:pPr>
              <w:jc w:val="right"/>
              <w:ind w:right="20"/>
              <w:spacing w:after="0" w:line="187" w:lineRule="exact"/>
              <w:rPr>
                <w:sz w:val="20"/>
                <w:szCs w:val="20"/>
                <w:color w:val="auto"/>
              </w:rPr>
            </w:pPr>
            <w:r>
              <w:rPr>
                <w:rFonts w:ascii="Arial" w:cs="Arial" w:eastAsia="Arial" w:hAnsi="Arial"/>
                <w:sz w:val="18"/>
                <w:szCs w:val="18"/>
                <w:color w:val="0000FF"/>
              </w:rPr>
              <w:t>11</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9760" w:type="dxa"/>
            <w:vAlign w:val="bottom"/>
            <w:gridSpan w:val="13"/>
            <w:shd w:val="clear" w:color="auto" w:fill="CCEEFF"/>
          </w:tcPr>
          <w:p>
            <w:pPr>
              <w:spacing w:after="0" w:line="187" w:lineRule="exact"/>
              <w:rPr>
                <w:sz w:val="20"/>
                <w:szCs w:val="20"/>
                <w:color w:val="auto"/>
              </w:rPr>
            </w:pPr>
            <w:r>
              <w:rPr>
                <w:rFonts w:ascii="Arial" w:cs="Arial" w:eastAsia="Arial" w:hAnsi="Arial"/>
                <w:sz w:val="18"/>
                <w:szCs w:val="18"/>
                <w:color w:val="0000FF"/>
              </w:rPr>
              <w:t>LEGAL MATTERS</w:t>
            </w:r>
          </w:p>
        </w:tc>
        <w:tc>
          <w:tcPr>
            <w:tcW w:w="1420" w:type="dxa"/>
            <w:vAlign w:val="bottom"/>
            <w:gridSpan w:val="3"/>
            <w:shd w:val="clear" w:color="auto" w:fill="CCEEFF"/>
          </w:tcPr>
          <w:p>
            <w:pPr>
              <w:jc w:val="right"/>
              <w:spacing w:after="0" w:line="187" w:lineRule="exact"/>
              <w:rPr>
                <w:sz w:val="20"/>
                <w:szCs w:val="20"/>
                <w:color w:val="auto"/>
              </w:rPr>
            </w:pPr>
            <w:r>
              <w:rPr>
                <w:rFonts w:ascii="Arial" w:cs="Arial" w:eastAsia="Arial" w:hAnsi="Arial"/>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5"/>
          </w:tcPr>
          <w:p>
            <w:pPr>
              <w:spacing w:after="0" w:line="187" w:lineRule="exact"/>
              <w:rPr>
                <w:sz w:val="20"/>
                <w:szCs w:val="20"/>
                <w:color w:val="auto"/>
              </w:rPr>
            </w:pPr>
            <w:r>
              <w:rPr>
                <w:rFonts w:ascii="Arial" w:cs="Arial" w:eastAsia="Arial" w:hAnsi="Arial"/>
                <w:sz w:val="18"/>
                <w:szCs w:val="18"/>
                <w:color w:val="0000FF"/>
              </w:rPr>
              <w:t>EXPERTS</w:t>
            </w:r>
          </w:p>
        </w:tc>
        <w:tc>
          <w:tcPr>
            <w:tcW w:w="8320" w:type="dxa"/>
            <w:vAlign w:val="bottom"/>
            <w:gridSpan w:val="8"/>
          </w:tcPr>
          <w:p>
            <w:pPr>
              <w:spacing w:after="0"/>
              <w:rPr>
                <w:sz w:val="16"/>
                <w:szCs w:val="16"/>
                <w:color w:val="auto"/>
              </w:rPr>
            </w:pPr>
          </w:p>
        </w:tc>
        <w:tc>
          <w:tcPr>
            <w:tcW w:w="1420" w:type="dxa"/>
            <w:vAlign w:val="bottom"/>
            <w:gridSpan w:val="3"/>
          </w:tcPr>
          <w:p>
            <w:pPr>
              <w:jc w:val="right"/>
              <w:spacing w:after="0" w:line="187"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w:t>
      </w:r>
    </w:p>
    <w:p>
      <w:pPr>
        <w:spacing w:after="0" w:line="259"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13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13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When used in this prospectus and any prospectus supplement, the terms “Brady,” “we,” “our,” “us” and the “Company” refer to Brady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 AND CAUTIONARY FACTORS</w:t>
      </w:r>
    </w:p>
    <w:p>
      <w:pPr>
        <w:spacing w:after="0" w:line="171"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w:t>
      </w:r>
    </w:p>
    <w:p>
      <w:pPr>
        <w:spacing w:after="0" w:line="11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133" w:lineRule="exact"/>
        <w:rPr>
          <w:sz w:val="20"/>
          <w:szCs w:val="20"/>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 and supply chain disruptions</w:t>
      </w:r>
    </w:p>
    <w:p>
      <w:pPr>
        <w:spacing w:after="0" w:line="19"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the Company's strategy</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6" w:lineRule="exact"/>
        <w:rPr>
          <w:rFonts w:ascii="Arial" w:cs="Arial" w:eastAsia="Arial" w:hAnsi="Arial"/>
          <w:sz w:val="18"/>
          <w:szCs w:val="18"/>
          <w:color w:val="auto"/>
        </w:rPr>
      </w:pPr>
    </w:p>
    <w:p>
      <w:pPr>
        <w:ind w:left="520" w:hanging="313"/>
        <w:spacing w:after="0" w:line="247" w:lineRule="auto"/>
        <w:tabs>
          <w:tab w:leader="none" w:pos="51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 and difficulties in preventing phishing attacks, social engineering or malicious break-ins</w:t>
      </w: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6" w:lineRule="exact"/>
        <w:rPr>
          <w:rFonts w:ascii="Arial" w:cs="Arial" w:eastAsia="Arial" w:hAnsi="Arial"/>
          <w:sz w:val="18"/>
          <w:szCs w:val="18"/>
          <w:color w:val="auto"/>
        </w:rPr>
      </w:pPr>
    </w:p>
    <w:p>
      <w:pPr>
        <w:ind w:left="520" w:hanging="3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6" w:lineRule="exact"/>
        <w:rPr>
          <w:rFonts w:ascii="Arial" w:cs="Arial" w:eastAsia="Arial" w:hAnsi="Arial"/>
          <w:sz w:val="18"/>
          <w:szCs w:val="18"/>
          <w:color w:val="auto"/>
        </w:rPr>
      </w:pPr>
    </w:p>
    <w:p>
      <w:pPr>
        <w:jc w:val="both"/>
        <w:ind w:left="520" w:hanging="313"/>
        <w:spacing w:after="0" w:line="250" w:lineRule="auto"/>
        <w:tabs>
          <w:tab w:leader="none" w:pos="515"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9"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 except as required by law.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“Risk Factors” included in our most recent Annual Report on Form 10-K, as may be revised or supplemented by our subsequent Quarterly Reports on Form 10-Q or Current Reports on Form 8-K, each of which are on file with the Securities and Exchange Commission, or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or that we currently deem immaterial may also affect our business operations. Additional risk factors may be included in a prospectus supplement relating to a particular offering of securities.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Brady Corporation was incorporated under the laws of the state of Wisconsin in 1914. The Company’s corporate headquarters are located at 6555 West Good Hope Road, Milwaukee, Wisconsin 53223, and the telephone number is (414) 358-6600.</w:t>
      </w:r>
    </w:p>
    <w:p>
      <w:pPr>
        <w:spacing w:after="0" w:line="121"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Brady Corporation files annual, quarterly and current reports and other information with the Securities and Exchange Commission, or SEC.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w:t>
      </w:r>
    </w:p>
    <w:p>
      <w:pPr>
        <w:spacing w:after="0" w:line="13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SEC maintains a website at http://www.sec.gov that contains reports, proxy and information statements, and other information regarding issuers like us that file electronically with the SEC. You may also obtain copies of these materials through our website, www.bradyid.com. Information on our website does not constitute part of this prospectus.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SEC allows us to “incorporate by reference” into this prospectus information that we file with the SEC. This means that:</w:t>
      </w:r>
    </w:p>
    <w:p>
      <w:pPr>
        <w:spacing w:after="0" w:line="167" w:lineRule="exact"/>
        <w:rPr>
          <w:sz w:val="20"/>
          <w:szCs w:val="20"/>
          <w:color w:val="auto"/>
        </w:rPr>
      </w:pPr>
    </w:p>
    <w:p>
      <w:pPr>
        <w:ind w:left="1920" w:hanging="63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to other documents that contain that information;</w:t>
      </w:r>
    </w:p>
    <w:p>
      <w:pPr>
        <w:spacing w:after="0" w:line="19" w:lineRule="exact"/>
        <w:rPr>
          <w:rFonts w:ascii="Arial" w:cs="Arial" w:eastAsia="Arial" w:hAnsi="Arial"/>
          <w:sz w:val="18"/>
          <w:szCs w:val="18"/>
          <w:color w:val="auto"/>
        </w:rPr>
      </w:pPr>
    </w:p>
    <w:p>
      <w:pPr>
        <w:ind w:left="1920" w:hanging="63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incorporated by reference is considered to be part of this prospectus; and</w:t>
      </w:r>
    </w:p>
    <w:p>
      <w:pPr>
        <w:spacing w:after="0" w:line="6" w:lineRule="exact"/>
        <w:rPr>
          <w:rFonts w:ascii="Arial" w:cs="Arial" w:eastAsia="Arial" w:hAnsi="Arial"/>
          <w:sz w:val="18"/>
          <w:szCs w:val="18"/>
          <w:color w:val="auto"/>
        </w:rPr>
      </w:pPr>
    </w:p>
    <w:p>
      <w:pPr>
        <w:ind w:left="1920" w:hanging="632"/>
        <w:spacing w:after="0" w:line="255" w:lineRule="auto"/>
        <w:tabs>
          <w:tab w:leader="none" w:pos="19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13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133" w:lineRule="exact"/>
        <w:rPr>
          <w:sz w:val="20"/>
          <w:szCs w:val="20"/>
          <w:color w:val="auto"/>
        </w:rPr>
      </w:pPr>
    </w:p>
    <w:p>
      <w:pPr>
        <w:ind w:left="2500" w:hanging="1212"/>
        <w:spacing w:after="0"/>
        <w:tabs>
          <w:tab w:leader="none" w:pos="2500" w:val="left"/>
        </w:tabs>
        <w:numPr>
          <w:ilvl w:val="0"/>
          <w:numId w:val="4"/>
        </w:numPr>
        <w:rPr>
          <w:rFonts w:ascii="Arial" w:cs="Arial" w:eastAsia="Arial" w:hAnsi="Arial"/>
          <w:sz w:val="18"/>
          <w:szCs w:val="18"/>
          <w:color w:val="0000FF"/>
        </w:rPr>
      </w:pPr>
      <w:hyperlink r:id="rId14">
        <w:r>
          <w:rPr>
            <w:rFonts w:ascii="Arial" w:cs="Arial" w:eastAsia="Arial" w:hAnsi="Arial"/>
            <w:sz w:val="18"/>
            <w:szCs w:val="18"/>
            <w:u w:val="single" w:color="auto"/>
            <w:color w:val="0000FF"/>
          </w:rPr>
          <w:t>Our Annual Report on Form 10-K for the year ended July 31, 2023</w:t>
        </w:r>
      </w:hyperlink>
      <w:r>
        <w:rPr>
          <w:rFonts w:ascii="Arial" w:cs="Arial" w:eastAsia="Arial" w:hAnsi="Arial"/>
          <w:sz w:val="18"/>
          <w:szCs w:val="18"/>
          <w:color w:val="000000"/>
        </w:rPr>
        <w:t>;</w:t>
      </w:r>
    </w:p>
    <w:p>
      <w:pPr>
        <w:spacing w:after="0" w:line="19" w:lineRule="exact"/>
        <w:rPr>
          <w:rFonts w:ascii="Arial" w:cs="Arial" w:eastAsia="Arial" w:hAnsi="Arial"/>
          <w:sz w:val="18"/>
          <w:szCs w:val="18"/>
          <w:color w:val="0000FF"/>
        </w:rPr>
      </w:pPr>
    </w:p>
    <w:p>
      <w:pPr>
        <w:jc w:val="both"/>
        <w:ind w:left="1920" w:hanging="632"/>
        <w:spacing w:after="0" w:line="250" w:lineRule="auto"/>
        <w:tabs>
          <w:tab w:leader="none" w:pos="2489" w:val="left"/>
        </w:tabs>
        <w:numPr>
          <w:ilvl w:val="0"/>
          <w:numId w:val="4"/>
        </w:numPr>
        <w:rPr>
          <w:rFonts w:ascii="Arial" w:cs="Arial" w:eastAsia="Arial" w:hAnsi="Arial"/>
          <w:sz w:val="18"/>
          <w:szCs w:val="18"/>
          <w:color w:val="0000FF"/>
        </w:rPr>
      </w:pPr>
      <w:hyperlink r:id="rId15">
        <w:r>
          <w:rPr>
            <w:rFonts w:ascii="Arial" w:cs="Arial" w:eastAsia="Arial" w:hAnsi="Arial"/>
            <w:sz w:val="18"/>
            <w:szCs w:val="18"/>
            <w:u w:val="single" w:color="auto"/>
            <w:color w:val="0000FF"/>
          </w:rPr>
          <w:t>That portion of our Registration Statement on Form 8-A filed April 27, 1999 that describes our Class A Nonvoting</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Common Stock in Item 1 thereof, which incorporates the description of our capital stock contained in our Registration Statement</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on Form S-3 (Registration Statement No. 333-04155), filed May 21, 1996, and any further amendment or report updating that</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description</w:t>
        </w:r>
        <w:r>
          <w:rPr>
            <w:rFonts w:ascii="Arial" w:cs="Arial" w:eastAsia="Arial" w:hAnsi="Arial"/>
            <w:sz w:val="18"/>
            <w:szCs w:val="18"/>
            <w:color w:val="000000"/>
          </w:rPr>
          <w:t>.</w:t>
        </w:r>
      </w:hyperlink>
    </w:p>
    <w:p>
      <w:pPr>
        <w:spacing w:after="0" w:line="139" w:lineRule="exact"/>
        <w:rPr>
          <w:rFonts w:ascii="Arial" w:cs="Arial" w:eastAsia="Arial" w:hAnsi="Arial"/>
          <w:sz w:val="18"/>
          <w:szCs w:val="18"/>
          <w:u w:val="single" w:color="auto"/>
          <w:color w:val="0000FF"/>
        </w:rPr>
      </w:pPr>
    </w:p>
    <w:p>
      <w:pPr>
        <w:jc w:val="both"/>
        <w:ind w:firstLine="640"/>
        <w:spacing w:after="0" w:line="270" w:lineRule="auto"/>
        <w:rPr>
          <w:sz w:val="20"/>
          <w:szCs w:val="20"/>
          <w:color w:val="auto"/>
        </w:rPr>
      </w:pPr>
      <w:r>
        <w:rPr>
          <w:rFonts w:ascii="Arial" w:cs="Arial" w:eastAsia="Arial" w:hAnsi="Arial"/>
          <w:sz w:val="18"/>
          <w:szCs w:val="18"/>
          <w:color w:val="auto"/>
        </w:rPr>
        <w:t xml:space="preserve">You may request a copy of any of these filings, at no cost, by writing to Investor Relations, Brady Corporation, P.O. Box 571, Milwaukee, WI 53201-0571, or e-mail at </w:t>
      </w:r>
      <w:r>
        <w:rPr>
          <w:rFonts w:ascii="Arial" w:cs="Arial" w:eastAsia="Arial" w:hAnsi="Arial"/>
          <w:sz w:val="18"/>
          <w:szCs w:val="18"/>
          <w:u w:val="single" w:color="auto"/>
          <w:color w:val="auto"/>
        </w:rPr>
        <w:t>investor@bradycorp.com</w:t>
      </w:r>
      <w:r>
        <w:rPr>
          <w:rFonts w:ascii="Arial" w:cs="Arial" w:eastAsia="Arial" w:hAnsi="Arial"/>
          <w:sz w:val="18"/>
          <w:szCs w:val="18"/>
          <w:color w:val="auto"/>
        </w:rPr>
        <w:t>, or by calling Investor Relations at (414) 438-6887.</w:t>
      </w:r>
    </w:p>
    <w:p>
      <w:pPr>
        <w:spacing w:after="0" w:line="121" w:lineRule="exact"/>
        <w:rPr>
          <w:rFonts w:ascii="Arial" w:cs="Arial" w:eastAsia="Arial" w:hAnsi="Arial"/>
          <w:sz w:val="18"/>
          <w:szCs w:val="18"/>
          <w:u w:val="single" w:color="auto"/>
          <w:color w:val="0000FF"/>
        </w:rPr>
      </w:pPr>
    </w:p>
    <w:p>
      <w:pPr>
        <w:jc w:val="both"/>
        <w:ind w:firstLine="640"/>
        <w:spacing w:after="0" w:line="258" w:lineRule="auto"/>
        <w:rPr>
          <w:sz w:val="20"/>
          <w:szCs w:val="20"/>
          <w:color w:val="auto"/>
        </w:rPr>
      </w:pPr>
      <w:r>
        <w:rPr>
          <w:rFonts w:ascii="Arial" w:cs="Arial" w:eastAsia="Arial" w:hAnsi="Arial"/>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1" w:lineRule="exact"/>
        <w:rPr>
          <w:sz w:val="20"/>
          <w:szCs w:val="20"/>
          <w:color w:val="auto"/>
        </w:rPr>
      </w:pPr>
    </w:p>
    <w:p>
      <w:pPr>
        <w:ind w:right="260" w:firstLine="640"/>
        <w:spacing w:after="0" w:line="270" w:lineRule="auto"/>
        <w:rPr>
          <w:sz w:val="20"/>
          <w:szCs w:val="20"/>
          <w:color w:val="auto"/>
        </w:rPr>
      </w:pPr>
      <w:r>
        <w:rPr>
          <w:rFonts w:ascii="Arial" w:cs="Arial" w:eastAsia="Arial" w:hAnsi="Arial"/>
          <w:sz w:val="18"/>
          <w:szCs w:val="18"/>
          <w:color w:val="auto"/>
        </w:rPr>
        <w:t>Except as otherwise described in an applicable prospectus supplement, we intend to use the net proceeds from the sale of the securities for one or more of the following purposes:</w:t>
      </w:r>
    </w:p>
    <w:p>
      <w:pPr>
        <w:spacing w:after="0" w:line="121" w:lineRule="exact"/>
        <w:rPr>
          <w:sz w:val="20"/>
          <w:szCs w:val="20"/>
          <w:color w:val="auto"/>
        </w:rPr>
      </w:pPr>
    </w:p>
    <w:p>
      <w:pPr>
        <w:ind w:left="1920" w:hanging="632"/>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refinance existing indebtedness;</w:t>
      </w:r>
    </w:p>
    <w:p>
      <w:pPr>
        <w:spacing w:after="0" w:line="19" w:lineRule="exact"/>
        <w:rPr>
          <w:rFonts w:ascii="Arial" w:cs="Arial" w:eastAsia="Arial" w:hAnsi="Arial"/>
          <w:sz w:val="18"/>
          <w:szCs w:val="18"/>
          <w:color w:val="auto"/>
        </w:rPr>
      </w:pPr>
    </w:p>
    <w:p>
      <w:pPr>
        <w:ind w:left="1920" w:hanging="632"/>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capital expenditures and capacity expansion;</w:t>
      </w:r>
    </w:p>
    <w:p>
      <w:pPr>
        <w:spacing w:after="0" w:line="6" w:lineRule="exact"/>
        <w:rPr>
          <w:rFonts w:ascii="Arial" w:cs="Arial" w:eastAsia="Arial" w:hAnsi="Arial"/>
          <w:sz w:val="18"/>
          <w:szCs w:val="18"/>
          <w:color w:val="auto"/>
        </w:rPr>
      </w:pPr>
    </w:p>
    <w:p>
      <w:pPr>
        <w:ind w:left="1920" w:hanging="632"/>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corporate purposes and working capital, including funding of existing operations; and/or</w:t>
      </w:r>
    </w:p>
    <w:p>
      <w:pPr>
        <w:spacing w:after="0" w:line="6" w:lineRule="exact"/>
        <w:rPr>
          <w:rFonts w:ascii="Arial" w:cs="Arial" w:eastAsia="Arial" w:hAnsi="Arial"/>
          <w:sz w:val="18"/>
          <w:szCs w:val="18"/>
          <w:color w:val="auto"/>
        </w:rPr>
      </w:pPr>
    </w:p>
    <w:p>
      <w:pPr>
        <w:ind w:left="1920" w:hanging="632"/>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the cost of acquisitions or strategic investments in businesses or technologies.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Funds that are not required immediately for these purposes may be invested temporarily in short-term marketable securities.</w:t>
      </w:r>
    </w:p>
    <w:p>
      <w:pPr>
        <w:spacing w:after="0" w:line="1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DESCRIPTION OF DEBT SECURITIES</w:t>
      </w:r>
    </w:p>
    <w:p>
      <w:pPr>
        <w:spacing w:after="0" w:line="17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may issue debt securities in one or more series under an Indenture (the “Indenture”) between us and a qualified trustee named in the Indenture, as trustee; a form of indenture is incorporated by reference as an exhibit to the registration statement of which this prospectus is a part. The Indenture will be subject to, and governed by, the Trust Indenture Act of 1939.</w:t>
      </w:r>
    </w:p>
    <w:p>
      <w:pPr>
        <w:spacing w:after="0" w:line="133"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following summary of certain provisions of the Indenture does not purport to be complete and is qualified in its entirety by express reference to the Indenture and the Securities Resolution which establishes a series of debt 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134"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The Indenture does not limit the amount of debt securities that can be issued or our ability or that of our subsidiaries to incur, assume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9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7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If we offer debt securities pursuant to this prospectus, the accompanying prospectus supplement will describe the following terms, if applicable, of those debt securities:</w:t>
      </w:r>
    </w:p>
    <w:p>
      <w:pPr>
        <w:spacing w:after="0" w:line="121" w:lineRule="exact"/>
        <w:rPr>
          <w:sz w:val="20"/>
          <w:szCs w:val="20"/>
          <w:color w:val="auto"/>
        </w:rPr>
      </w:pPr>
    </w:p>
    <w:p>
      <w:pPr>
        <w:ind w:left="960" w:hanging="313"/>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designation, denominations, aggregate principal amount, currency or composite currency in which principal or interest may be paid;</w:t>
      </w:r>
    </w:p>
    <w:p>
      <w:pPr>
        <w:spacing w:after="0" w:line="30" w:lineRule="exact"/>
        <w:rPr>
          <w:rFonts w:ascii="Arial" w:cs="Arial" w:eastAsia="Arial" w:hAnsi="Arial"/>
          <w:sz w:val="17"/>
          <w:szCs w:val="17"/>
          <w:color w:val="auto"/>
        </w:rPr>
      </w:pPr>
    </w:p>
    <w:p>
      <w:pPr>
        <w:ind w:left="960" w:hanging="313"/>
        <w:spacing w:after="0" w:line="247"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those debt securities will be issued and, if an index formula or other method is used, the method for determining amounts of principal or interest;</w:t>
      </w: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and other dates, if any, on which principal will be payable;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or rates, if any, or method of calculating the interest rate or rates;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or dates from which interest will accrue and on which interest will be payable, and the record dates for the payment of interest;</w:t>
      </w:r>
    </w:p>
    <w:p>
      <w:pPr>
        <w:spacing w:after="0" w:line="18" w:lineRule="exact"/>
        <w:rPr>
          <w:rFonts w:ascii="Arial" w:cs="Arial" w:eastAsia="Arial" w:hAnsi="Arial"/>
          <w:sz w:val="17"/>
          <w:szCs w:val="17"/>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of paying principal and interest;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principal and interest will be payable;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relating to subsidiary guarantees, if any;</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any mandatory or optional redemption by us including any sinking fund;</w:t>
      </w:r>
    </w:p>
    <w:p>
      <w:pPr>
        <w:spacing w:after="0" w:line="6" w:lineRule="exact"/>
        <w:rPr>
          <w:rFonts w:ascii="Arial" w:cs="Arial" w:eastAsia="Arial" w:hAnsi="Arial"/>
          <w:sz w:val="18"/>
          <w:szCs w:val="18"/>
          <w:color w:val="auto"/>
        </w:rPr>
      </w:pPr>
    </w:p>
    <w:p>
      <w:pPr>
        <w:ind w:left="960" w:hanging="313"/>
        <w:spacing w:after="0" w:line="247"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may be converted into or exchanged for common stock or any other securities, and the terms of any conversion or exchange right;</w:t>
      </w: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any redemption at the option of holders;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 indemnity provisions;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2" w:right="339" w:bottom="1440" w:gutter="0" w:footer="0" w:header="0"/>
        </w:sectPr>
      </w:pPr>
    </w:p>
    <w:bookmarkStart w:id="7" w:name="page8"/>
    <w:bookmarkEnd w:id="7"/>
    <w:p>
      <w:pPr>
        <w:ind w:left="960" w:hanging="313"/>
        <w:spacing w:after="0" w:line="255"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debt securities provide that payments of principal or interest may be made in a currency other than that in which debt securities are denominated, the manner for determining those payments;</w:t>
      </w: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payable upon acceleration of a discounted debt security (as defined below);</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upon what terms debt securities may be defeased;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any events of default or covenants in addition to or in lieu of those set forth in the Indenture apply;</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ranking of the debt securities;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terms not inconsistent with the provisions of the Indenture, including any covenants or other terms that may be required or advisable.</w:t>
      </w:r>
    </w:p>
    <w:p>
      <w:pPr>
        <w:spacing w:after="0" w:line="17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may issue debt securities as registered debt securities, bearer debt securities or uncertificated debt securities, and in any denominations specified in the terms of the series.</w:t>
      </w:r>
    </w:p>
    <w:p>
      <w:pPr>
        <w:spacing w:after="0" w:line="12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133"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71"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covenants that may apply to a particular series of debt securities will be described in the prospectus supplement relating to that series.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Debt Securities</w:t>
      </w:r>
    </w:p>
    <w:p>
      <w:pPr>
        <w:spacing w:after="0" w:line="171"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Obligor</w:t>
      </w:r>
    </w:p>
    <w:p>
      <w:pPr>
        <w:spacing w:after="0" w:line="171"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spacing w:after="0" w:line="77" w:lineRule="exact"/>
        <w:rPr>
          <w:sz w:val="20"/>
          <w:szCs w:val="20"/>
          <w:color w:val="auto"/>
        </w:rPr>
      </w:pPr>
    </w:p>
    <w:p>
      <w:pPr>
        <w:ind w:left="960" w:hanging="313"/>
        <w:spacing w:after="0" w:line="255"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person assumes by supplemental indenture all of our obligations under the Indenture, the debt securities and any coupons;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required approvals of any regulatory body having jurisdiction over the transaction shall have been obtained;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the transaction no default, as defined below, exists.</w:t>
      </w:r>
    </w:p>
    <w:p>
      <w:pPr>
        <w:spacing w:after="0" w:line="15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The successor shall be substituted for us, and thereafter all of our obligations under the Indenture, the debt securities and any coupons shall terminate.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Remedies</w:t>
      </w:r>
    </w:p>
    <w:p>
      <w:pPr>
        <w:spacing w:after="0" w:line="171"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8" w:name="page9"/>
    <w:bookmarkEnd w:id="8"/>
    <w:p>
      <w:pPr>
        <w:ind w:left="960" w:hanging="313"/>
        <w:spacing w:after="0" w:line="255"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any payment of interest on any debt securities of that series when the same becomes due and payable and the default continues for the period of time set forth in the prospectus supplement;</w:t>
      </w:r>
    </w:p>
    <w:p>
      <w:pPr>
        <w:ind w:left="960" w:hanging="313"/>
        <w:spacing w:after="0" w:line="247"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the payment of the principal and premium, if any, of any debt securities of the series when the same becomes due and payable at maturity or upon redemption, acceleration or otherwise;</w:t>
      </w:r>
    </w:p>
    <w:p>
      <w:pPr>
        <w:ind w:left="960" w:hanging="313"/>
        <w:spacing w:after="0" w:line="247"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the performance of any of our other agreements applicable to the series and the default continues for the period of time set forth in the prospectus supplement after the notice specified below;</w:t>
      </w: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or within the meaning of any Bankruptcy Law, as defined below, we:</w:t>
      </w:r>
    </w:p>
    <w:p>
      <w:pPr>
        <w:spacing w:after="0" w:line="6" w:lineRule="exact"/>
        <w:rPr>
          <w:rFonts w:ascii="Arial" w:cs="Arial" w:eastAsia="Arial" w:hAnsi="Arial"/>
          <w:sz w:val="18"/>
          <w:szCs w:val="18"/>
          <w:color w:val="auto"/>
        </w:rPr>
      </w:pPr>
    </w:p>
    <w:p>
      <w:pPr>
        <w:ind w:left="1760" w:hanging="152"/>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w:t>
      </w:r>
    </w:p>
    <w:p>
      <w:pPr>
        <w:spacing w:after="0" w:line="6" w:lineRule="exact"/>
        <w:rPr>
          <w:rFonts w:ascii="Arial" w:cs="Arial" w:eastAsia="Arial" w:hAnsi="Arial"/>
          <w:sz w:val="18"/>
          <w:szCs w:val="18"/>
          <w:color w:val="auto"/>
        </w:rPr>
      </w:pPr>
    </w:p>
    <w:p>
      <w:pPr>
        <w:ind w:left="1760" w:hanging="152"/>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an order for relief against us in an involuntary case;</w:t>
      </w:r>
    </w:p>
    <w:p>
      <w:pPr>
        <w:spacing w:after="0" w:line="6" w:lineRule="exact"/>
        <w:rPr>
          <w:rFonts w:ascii="Arial" w:cs="Arial" w:eastAsia="Arial" w:hAnsi="Arial"/>
          <w:sz w:val="18"/>
          <w:szCs w:val="18"/>
          <w:color w:val="auto"/>
        </w:rPr>
      </w:pPr>
    </w:p>
    <w:p>
      <w:pPr>
        <w:ind w:left="1760" w:hanging="152"/>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appointment of a custodian for us or for all or substantially all of our property; or</w:t>
      </w:r>
    </w:p>
    <w:p>
      <w:pPr>
        <w:spacing w:after="0" w:line="6" w:lineRule="exact"/>
        <w:rPr>
          <w:rFonts w:ascii="Arial" w:cs="Arial" w:eastAsia="Arial" w:hAnsi="Arial"/>
          <w:sz w:val="18"/>
          <w:szCs w:val="18"/>
          <w:color w:val="auto"/>
        </w:rPr>
      </w:pPr>
    </w:p>
    <w:p>
      <w:pPr>
        <w:ind w:left="1760" w:hanging="152"/>
        <w:spacing w:after="0"/>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 a general assignment for the benefit of our creditors;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6" w:lineRule="exact"/>
        <w:rPr>
          <w:rFonts w:ascii="Arial" w:cs="Arial" w:eastAsia="Arial" w:hAnsi="Arial"/>
          <w:sz w:val="18"/>
          <w:szCs w:val="18"/>
          <w:color w:val="auto"/>
        </w:rPr>
      </w:pPr>
    </w:p>
    <w:p>
      <w:pPr>
        <w:ind w:left="1920" w:hanging="312"/>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in an involuntary case;</w:t>
      </w:r>
    </w:p>
    <w:p>
      <w:pPr>
        <w:spacing w:after="0" w:line="6" w:lineRule="exact"/>
        <w:rPr>
          <w:rFonts w:ascii="Arial" w:cs="Arial" w:eastAsia="Arial" w:hAnsi="Arial"/>
          <w:sz w:val="18"/>
          <w:szCs w:val="18"/>
          <w:color w:val="auto"/>
        </w:rPr>
      </w:pPr>
    </w:p>
    <w:p>
      <w:pPr>
        <w:ind w:left="1920" w:hanging="312"/>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appoints a custodian for us or for all or substantially all of our property; or</w:t>
      </w:r>
    </w:p>
    <w:p>
      <w:pPr>
        <w:spacing w:after="0" w:line="6" w:lineRule="exact"/>
        <w:rPr>
          <w:rFonts w:ascii="Arial" w:cs="Arial" w:eastAsia="Arial" w:hAnsi="Arial"/>
          <w:sz w:val="18"/>
          <w:szCs w:val="18"/>
          <w:color w:val="auto"/>
        </w:rPr>
      </w:pPr>
    </w:p>
    <w:p>
      <w:pPr>
        <w:ind w:left="1920" w:hanging="312"/>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(and in each case the order or decree remains unstayed and in effect for the period of time set forth in the prospectus supplement); or</w:t>
      </w:r>
    </w:p>
    <w:p>
      <w:pPr>
        <w:spacing w:after="0" w:line="18" w:lineRule="exact"/>
        <w:rPr>
          <w:sz w:val="20"/>
          <w:szCs w:val="20"/>
          <w:color w:val="auto"/>
        </w:rPr>
      </w:pPr>
    </w:p>
    <w:p>
      <w:pPr>
        <w:ind w:left="960" w:hanging="31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w:t>
      </w:r>
    </w:p>
    <w:p>
      <w:pPr>
        <w:spacing w:after="0" w:line="15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21"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13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137" w:lineRule="exact"/>
        <w:rPr>
          <w:sz w:val="20"/>
          <w:szCs w:val="20"/>
          <w:color w:val="auto"/>
        </w:rPr>
      </w:pPr>
    </w:p>
    <w:p>
      <w:pPr>
        <w:jc w:val="both"/>
        <w:ind w:firstLine="640"/>
        <w:spacing w:after="0" w:line="218" w:lineRule="exact"/>
        <w:rPr>
          <w:sz w:val="20"/>
          <w:szCs w:val="20"/>
          <w:color w:val="auto"/>
        </w:rPr>
      </w:pPr>
      <w:r>
        <w:rPr>
          <w:rFonts w:ascii="Arial" w:cs="Arial" w:eastAsia="Arial" w:hAnsi="Arial"/>
          <w:sz w:val="18"/>
          <w:szCs w:val="18"/>
          <w:color w:val="auto"/>
        </w:rPr>
        <w:t>The Indenture does not have a cross</w:t>
      </w:r>
      <w:r>
        <w:rPr>
          <w:rFonts w:ascii="MS PGothic" w:cs="MS PGothic" w:eastAsia="MS PGothic" w:hAnsi="MS PGothic"/>
          <w:sz w:val="18"/>
          <w:szCs w:val="18"/>
          <w:color w:val="auto"/>
        </w:rPr>
        <w:t>‑</w:t>
      </w:r>
      <w:r>
        <w:rPr>
          <w:rFonts w:ascii="Arial" w:cs="Arial" w:eastAsia="Arial" w:hAnsi="Arial"/>
          <w:sz w:val="18"/>
          <w:szCs w:val="18"/>
          <w:color w:val="auto"/>
        </w:rPr>
        <w:t>default provision. Thus, a default by us on any other debt, including any other series of debt securities, would not constitute an event of default. A Securities Resolution which establishes a series of debt securities may provide for a cross</w:t>
      </w:r>
      <w:r>
        <w:rPr>
          <w:rFonts w:ascii="MS PGothic" w:cs="MS PGothic" w:eastAsia="MS PGothic" w:hAnsi="MS PGothic"/>
          <w:sz w:val="18"/>
          <w:szCs w:val="18"/>
          <w:color w:val="auto"/>
        </w:rPr>
        <w:t>‑</w:t>
      </w:r>
      <w:r>
        <w:rPr>
          <w:rFonts w:ascii="Arial" w:cs="Arial" w:eastAsia="Arial" w:hAnsi="Arial"/>
          <w:sz w:val="18"/>
          <w:szCs w:val="18"/>
          <w:color w:val="auto"/>
        </w:rPr>
        <w:t>default provision, in which case the prospectus supplement will describe the terms of that provision.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71"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137" w:lineRule="exact"/>
        <w:rPr>
          <w:sz w:val="20"/>
          <w:szCs w:val="20"/>
          <w:color w:val="auto"/>
        </w:rPr>
      </w:pPr>
    </w:p>
    <w:p>
      <w:pPr>
        <w:ind w:left="960" w:hanging="313"/>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or waiver;</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debt securities;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46" w:right="339" w:bottom="1440" w:gutter="0" w:footer="0" w:header="0"/>
        </w:sectPr>
      </w:pPr>
    </w:p>
    <w:bookmarkStart w:id="9" w:name="page10"/>
    <w:bookmarkEnd w:id="9"/>
    <w:p>
      <w:pPr>
        <w:ind w:left="960" w:hanging="313"/>
        <w:spacing w:after="0" w:line="255"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debt securities payable in money other than that stated in the debt securities;</w:t>
      </w:r>
    </w:p>
    <w:p>
      <w:pPr>
        <w:spacing w:after="0" w:line="6" w:lineRule="exact"/>
        <w:rPr>
          <w:rFonts w:ascii="Arial" w:cs="Arial" w:eastAsia="Arial" w:hAnsi="Arial"/>
          <w:sz w:val="18"/>
          <w:szCs w:val="18"/>
          <w:color w:val="auto"/>
        </w:rPr>
      </w:pPr>
    </w:p>
    <w:p>
      <w:pPr>
        <w:jc w:val="both"/>
        <w:ind w:left="960" w:hanging="313"/>
        <w:spacing w:after="0" w:line="247"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1"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that materially adversely affects the right to convert or exchange any debt security.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the consent of any debt security holder, we and the trustee may amend the Indenture, the debt securities or any coupons to:</w:t>
      </w:r>
    </w:p>
    <w:p>
      <w:pPr>
        <w:spacing w:after="0" w:line="167" w:lineRule="exact"/>
        <w:rPr>
          <w:sz w:val="20"/>
          <w:szCs w:val="20"/>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Indenture’s provisions relating to corporate successors or rules relating to the conduct of meetings;</w:t>
      </w:r>
    </w:p>
    <w:p>
      <w:pPr>
        <w:spacing w:after="0" w:line="6" w:lineRule="exact"/>
        <w:rPr>
          <w:rFonts w:ascii="Arial" w:cs="Arial" w:eastAsia="Arial" w:hAnsi="Arial"/>
          <w:sz w:val="18"/>
          <w:szCs w:val="18"/>
          <w:color w:val="auto"/>
        </w:rPr>
      </w:pPr>
    </w:p>
    <w:p>
      <w:pPr>
        <w:ind w:left="960" w:right="20" w:hanging="313"/>
        <w:spacing w:after="0" w:line="247"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a series and establish its terms;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qualification of the Indenture under the Trust Indenture Act;</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specific provisions of the Indenture shall not apply to a series not previously issued; or</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separate trustee for one or more series.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71"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11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exercise either defeasance option as to a series, we must:</w:t>
      </w:r>
    </w:p>
    <w:p>
      <w:pPr>
        <w:spacing w:after="0" w:line="167" w:lineRule="exact"/>
        <w:rPr>
          <w:sz w:val="20"/>
          <w:szCs w:val="20"/>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irrevocably deposit in trust (the “defeasance trust”) with the trustee or another trustee money or U.S. government obligations;</w:t>
      </w:r>
    </w:p>
    <w:p>
      <w:pPr>
        <w:spacing w:after="0" w:line="19" w:lineRule="exact"/>
        <w:rPr>
          <w:rFonts w:ascii="Arial" w:cs="Arial" w:eastAsia="Arial" w:hAnsi="Arial"/>
          <w:sz w:val="18"/>
          <w:szCs w:val="18"/>
          <w:color w:val="auto"/>
        </w:rPr>
      </w:pPr>
    </w:p>
    <w:p>
      <w:pPr>
        <w:jc w:val="both"/>
        <w:ind w:left="960" w:hanging="313"/>
        <w:spacing w:after="0" w:line="247"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1" w:lineRule="exact"/>
        <w:rPr>
          <w:rFonts w:ascii="Arial" w:cs="Arial" w:eastAsia="Arial" w:hAnsi="Arial"/>
          <w:sz w:val="18"/>
          <w:szCs w:val="18"/>
          <w:color w:val="auto"/>
        </w:rPr>
      </w:pPr>
    </w:p>
    <w:p>
      <w:pPr>
        <w:ind w:left="960" w:hanging="313"/>
        <w:spacing w:after="0" w:line="255"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13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term “government obligations” means direct obligations of, or obligations guaranteed by, the United States and for payment of which the United States pledges its full faith and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the names of our subsidiaries which are providing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0" w:name="page11"/>
    <w:bookmarkEnd w:id="10"/>
    <w:p>
      <w:pPr>
        <w:ind w:right="1020"/>
        <w:spacing w:after="0" w:line="433" w:lineRule="auto"/>
        <w:rPr>
          <w:sz w:val="20"/>
          <w:szCs w:val="20"/>
          <w:color w:val="auto"/>
        </w:rPr>
      </w:pPr>
      <w:r>
        <w:rPr>
          <w:rFonts w:ascii="Arial" w:cs="Arial" w:eastAsia="Arial" w:hAnsi="Arial"/>
          <w:sz w:val="18"/>
          <w:szCs w:val="18"/>
          <w:color w:val="auto"/>
        </w:rPr>
        <w:t xml:space="preserve">guarantees, and additional financial information regarding the guarantor subsidiaries will be contained in the applicable prospectus supplement. </w:t>
      </w:r>
      <w:r>
        <w:rPr>
          <w:rFonts w:ascii="Arial" w:cs="Arial" w:eastAsia="Arial" w:hAnsi="Arial"/>
          <w:sz w:val="18"/>
          <w:szCs w:val="18"/>
          <w:b w:val="1"/>
          <w:bCs w:val="1"/>
          <w:color w:val="auto"/>
        </w:rPr>
        <w:t>Regarding the Trustee</w:t>
      </w:r>
    </w:p>
    <w:p>
      <w:pPr>
        <w:jc w:val="both"/>
        <w:ind w:firstLine="640"/>
        <w:spacing w:after="0" w:line="216" w:lineRule="exact"/>
        <w:rPr>
          <w:sz w:val="20"/>
          <w:szCs w:val="20"/>
          <w:color w:val="auto"/>
        </w:rPr>
      </w:pPr>
      <w:r>
        <w:rPr>
          <w:rFonts w:ascii="Arial" w:cs="Arial" w:eastAsia="Arial" w:hAnsi="Arial"/>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w:t>
      </w:r>
      <w:r>
        <w:rPr>
          <w:rFonts w:ascii="MS PGothic" w:cs="MS PGothic" w:eastAsia="MS PGothic" w:hAnsi="MS PGothic"/>
          <w:sz w:val="18"/>
          <w:szCs w:val="18"/>
          <w:color w:val="auto"/>
        </w:rPr>
        <w:t>‑</w:t>
      </w:r>
      <w:r>
        <w:rPr>
          <w:rFonts w:ascii="Arial" w:cs="Arial" w:eastAsia="Arial" w:hAnsi="Arial"/>
          <w:sz w:val="18"/>
          <w:szCs w:val="18"/>
          <w:color w:val="auto"/>
        </w:rPr>
        <w:t>month period. The trustee, in its individual or any other capacity, may make loans to, accept deposits from, and perform services for us or our affiliates, and may otherwise deal with us or our affiliates, as if it were not trustee.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August 31, 2023, there were 44,825,183 shares of Class A Nonvoting Common Stock issued and outstanding and 3,538,628 shares of Class B Voting Common Stock issued and outstanding. No Brady shareholder has cumulative voting rights or preemptive or other rights to subscribe for additional Brady shares. All of the outstanding shares are fully paid and non-assessable.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The following is a brief description of Brady’s Class A Nonvoting Common Stock and Class B Voting Common Stock (collectively, the “Common Stock”). The rights of holders of the Common Stock are subject to the rights of holders of Brady’s Cumulative Preferred Stock and Preferred Stock.</w:t>
      </w:r>
    </w:p>
    <w:p>
      <w:pPr>
        <w:spacing w:after="0" w:line="7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13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134"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14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Class A Common Stock is traded under the symbol “BRC” on the New York Stock Exchange. The transfer agent for the Class A Nonvoting Common Stock is EQ Shareowner Services.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Cumulative Preferred Stock</w:t>
      </w:r>
    </w:p>
    <w:p>
      <w:pPr>
        <w:spacing w:after="0" w:line="17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133"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12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137"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10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and Certain Statutory Provisions</w:t>
      </w:r>
    </w:p>
    <w:p>
      <w:pPr>
        <w:spacing w:after="0" w:line="171"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137"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2" w:right="339" w:bottom="1440" w:gutter="0" w:footer="0" w:header="0"/>
        </w:sectPr>
      </w:pPr>
    </w:p>
    <w:bookmarkStart w:id="12" w:name="page13"/>
    <w:bookmarkEnd w:id="12"/>
    <w:p>
      <w:pPr>
        <w:jc w:val="both"/>
        <w:ind w:firstLine="640"/>
        <w:spacing w:after="0" w:line="255" w:lineRule="auto"/>
        <w:rPr>
          <w:sz w:val="20"/>
          <w:szCs w:val="20"/>
          <w:color w:val="auto"/>
        </w:rPr>
      </w:pPr>
      <w:r>
        <w:rPr>
          <w:rFonts w:ascii="Arial" w:cs="Arial" w:eastAsia="Arial" w:hAnsi="Arial"/>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13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BOOK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ENTRY</w:t>
      </w:r>
    </w:p>
    <w:p>
      <w:pPr>
        <w:spacing w:after="0" w:line="171"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Depository Trust Company (“DTC”), New York, NY, may act as securities depository for the securities, in which case the applicable prospectus supplement will so provide.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We may sell the securities offered under this prospectus to or through underwriting syndicates represented by managing underwriters, through one or more underwriters without a syndicate for them to offer and sell to the public, agents or dealers or to investors directly in negotiated sales or in competitively bid transactions, in “at the market offerings” to or through a market marker or into an existing trading market or a securities exchange or others, or as otherwise described in a prospectus supplement including through a combination of any of these methods of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17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relevant prospectus supplement will identify any agents or underwriters and describe their compensation, including any underwriting discount, agent’s commission or dealer’s purchase price.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134"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 and Direct Sales</w:t>
      </w:r>
    </w:p>
    <w:p>
      <w:pPr>
        <w:spacing w:after="0" w:line="17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133" w:lineRule="exact"/>
        <w:rPr>
          <w:sz w:val="20"/>
          <w:szCs w:val="20"/>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9"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institutional purchaser’s obligations will be subject only to the condition that the purchase of the securities is permitted at the time of delivery.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dealers and our agents will not be responsible for the validity or performance of the contract.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13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Class A Nonvoting Common Stock is listed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6" w:right="339" w:bottom="1440" w:gutter="0" w:footer="0" w:header="0"/>
        </w:sectPr>
      </w:pPr>
    </w:p>
    <w:bookmarkStart w:id="13" w:name="page14"/>
    <w:bookmarkEnd w:id="13"/>
    <w:p>
      <w:pPr>
        <w:ind w:firstLine="640"/>
        <w:spacing w:after="0" w:line="270" w:lineRule="auto"/>
        <w:rPr>
          <w:sz w:val="20"/>
          <w:szCs w:val="20"/>
          <w:color w:val="auto"/>
        </w:rPr>
      </w:pPr>
      <w:r>
        <w:rPr>
          <w:rFonts w:ascii="Arial" w:cs="Arial" w:eastAsia="Arial" w:hAnsi="Arial"/>
          <w:sz w:val="18"/>
          <w:szCs w:val="18"/>
          <w:color w:val="auto"/>
        </w:rPr>
        <w:t>Agents and underwriters and their affiliates may be customers of, engage in transactions with, or perform services for us or our subsidiary companies in the ordinary course of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validity of the securities to be sold pursuant to this prospectus will be passed upon for us by Foley &amp; Lardner LLP, counsel to the Company.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Legal matters will be passed upon for the underwriters, dealers or agents by counsel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6"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consolidated financial statements of Brady Corporation as of July 31, 2023 and 2022, and for each of the three years in the period ended July 31, 2023, incorporated by reference in this Prospectus and the effectiveness of Brady Corporation’s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2" w:right="339" w:bottom="1440" w:gutter="0" w:footer="0" w:header="0"/>
        </w:sectPr>
      </w:pPr>
    </w:p>
    <w:bookmarkStart w:id="15" w:name="page16"/>
    <w:bookmarkEnd w:id="15"/>
    <w:p>
      <w:pPr>
        <w:ind w:left="5300"/>
        <w:spacing w:after="0"/>
        <w:rPr>
          <w:sz w:val="20"/>
          <w:szCs w:val="20"/>
          <w:color w:val="auto"/>
        </w:rPr>
      </w:pPr>
      <w:r>
        <w:rPr>
          <w:rFonts w:ascii="Arial" w:cs="Arial" w:eastAsia="Arial" w:hAnsi="Arial"/>
          <w:sz w:val="18"/>
          <w:szCs w:val="18"/>
          <w:b w:val="1"/>
          <w:bCs w:val="1"/>
          <w:color w:val="auto"/>
        </w:rPr>
        <w:t>PART II</w:t>
      </w: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1" w:lineRule="exact"/>
        <w:rPr>
          <w:sz w:val="20"/>
          <w:szCs w:val="20"/>
          <w:color w:val="auto"/>
        </w:rPr>
      </w:pPr>
    </w:p>
    <w:p>
      <w:pPr>
        <w:ind w:firstLine="640"/>
        <w:spacing w:after="0" w:line="333" w:lineRule="auto"/>
        <w:rPr>
          <w:sz w:val="20"/>
          <w:szCs w:val="20"/>
          <w:color w:val="auto"/>
        </w:rPr>
      </w:pPr>
      <w:r>
        <w:rPr>
          <w:rFonts w:ascii="Arial" w:cs="Arial" w:eastAsia="Arial" w:hAnsi="Arial"/>
          <w:sz w:val="16"/>
          <w:szCs w:val="16"/>
          <w:color w:val="auto"/>
        </w:rPr>
        <w:t>The aggregate estimated expenses, other than underwriting discounts and commissions, in connection with the issuance and distribution of the securities covered by this Registration Statement are currently anticipated to be as follows. All expenses of the offering will be paid by the Company.</w:t>
      </w:r>
    </w:p>
    <w:p>
      <w:pPr>
        <w:sectPr>
          <w:pgSz w:w="11900" w:h="16838" w:orient="portrait"/>
          <w:cols w:equalWidth="0" w:num="1">
            <w:col w:w="11240"/>
          </w:cols>
          <w:pgMar w:left="320" w:top="1042" w:right="339" w:bottom="1440" w:gutter="0" w:footer="0" w:header="0"/>
        </w:sectPr>
      </w:pP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-130175</wp:posOffset>
            </wp:positionV>
            <wp:extent cx="6854190" cy="144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54190" cy="14414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-130175</wp:posOffset>
            </wp:positionV>
            <wp:extent cx="6854190"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54190" cy="14414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6"/>
          <w:szCs w:val="16"/>
          <w:color w:val="auto"/>
          <w:shd w:val="clear" w:color="auto" w:fill="CCEEFF"/>
        </w:rPr>
        <w:t xml:space="preserve">Miscellaneous </w:t>
      </w:r>
      <w:r>
        <w:rPr>
          <w:rFonts w:ascii="Arial" w:cs="Arial" w:eastAsia="Arial" w:hAnsi="Arial"/>
          <w:sz w:val="12"/>
          <w:szCs w:val="12"/>
          <w:color w:val="auto"/>
          <w:shd w:val="clear" w:color="auto" w:fill="CCEEFF"/>
        </w:rPr>
        <w:t>(including any applicable listing fees, rating agency fees, trustee and 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6854190" cy="15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854190" cy="15240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205740</wp:posOffset>
            </wp:positionV>
            <wp:extent cx="6854190" cy="161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854190" cy="161290"/>
                    </a:xfrm>
                    <a:prstGeom prst="rect">
                      <a:avLst/>
                    </a:prstGeom>
                    <a:noFill/>
                  </pic:spPr>
                </pic:pic>
              </a:graphicData>
            </a:graphic>
          </wp:anchor>
        </w:drawing>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1"/>
        </w:trPr>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474"/>
        </w:trPr>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00"/>
          </w:cols>
          <w:pgMar w:left="320" w:top="1042" w:right="339" w:bottom="1440" w:gutter="0" w:footer="0" w:header="0"/>
          <w:type w:val="continuous"/>
        </w:sectPr>
      </w:pPr>
    </w:p>
    <w:p>
      <w:pPr>
        <w:spacing w:after="0" w:line="26" w:lineRule="exact"/>
        <w:rPr>
          <w:sz w:val="20"/>
          <w:szCs w:val="20"/>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Deferred in accordance with Rules 456(b) and 457(r) under the Securities Act of 1933.</w:t>
      </w:r>
    </w:p>
    <w:p>
      <w:pPr>
        <w:spacing w:after="0" w:line="166" w:lineRule="exact"/>
        <w:rPr>
          <w:rFonts w:ascii="Arial" w:cs="Arial" w:eastAsia="Arial" w:hAnsi="Arial"/>
          <w:sz w:val="18"/>
          <w:szCs w:val="18"/>
          <w:color w:val="auto"/>
        </w:rPr>
      </w:pPr>
    </w:p>
    <w:p>
      <w:pPr>
        <w:ind w:left="640" w:hanging="313"/>
        <w:spacing w:after="0" w:line="333" w:lineRule="auto"/>
        <w:tabs>
          <w:tab w:leader="none" w:pos="6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securities and number of offerings are indeterminable, and the expenses cannot be estimated at this time. An estimate of the various expenses in connection with the sale and distribution of the securities being offered will be included in the applicable prospectus supplement.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71"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The Registrant is incorporated under the Wisconsin Business Corporation Law (the “WBCL”). The WBCL includes provisions providing for indemnification by a corporation of a director or officer against certain liabilities and expenses incurred by him or her in any proceeding (whether threatened, pending, or completed, and whether brought by the Registrant or any other person) to which he or she was a party because of being a director or officer.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liabilities (including, among other things, judgments, penalties, fines and reasonable expenses) incurred in a proceeding to which such person was a party because he or she was an officer or director of the Registrant, unless it is determined that liability was incurred because he or she breached or failed to perform a duty to which he or she owes the Registrant and the breach or failure constitutes any of the following: (i) a willful failure to deal fairly with the Registrant or its shareholders in connection with a matter in which he or she has a material conflict of interest; (ii) a violation of criminal law, unless he or she had reasonable cause to believe his or her conduct was lawful or no reasonable cause to believe his or her conduct was unlawful; (iii) a transaction from which he or she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2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Section 180.0851(2)(c) of the WBCL specifies that the termination of a proceeding by judgment, order, settlement, or conviction, or upon a plea of no contest or an equivalent plea, does not, by itself, create a presumption that indemnification is not required. Section 180.0853 of the WBCL permits the Registrant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w:t>
      </w:r>
    </w:p>
    <w:p>
      <w:pPr>
        <w:spacing w:after="0" w:line="137"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1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2" w:right="339" w:bottom="1440" w:gutter="0" w:footer="0" w:header="0"/>
          <w:type w:val="continuous"/>
        </w:sectPr>
      </w:pPr>
    </w:p>
    <w:bookmarkStart w:id="16" w:name="page17"/>
    <w:bookmarkEnd w:id="16"/>
    <w:p>
      <w:pPr>
        <w:jc w:val="both"/>
        <w:spacing w:after="0" w:line="270" w:lineRule="auto"/>
        <w:rPr>
          <w:sz w:val="20"/>
          <w:szCs w:val="20"/>
          <w:color w:val="auto"/>
        </w:rPr>
      </w:pPr>
      <w:r>
        <w:rPr>
          <w:rFonts w:ascii="Arial" w:cs="Arial" w:eastAsia="Arial" w:hAnsi="Arial"/>
          <w:sz w:val="18"/>
          <w:szCs w:val="18"/>
          <w:color w:val="auto"/>
        </w:rPr>
        <w:t>her status as a director, unless the person asserting liability proves that the breach or failure to perform constitutes any of the four exceptions to mandatory indemnification under Section 180.0851(2) referred to above.</w:t>
      </w:r>
    </w:p>
    <w:p>
      <w:pPr>
        <w:spacing w:after="0" w:line="12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they assented are entitled to contribution from other directors who assented to such distribution and from shareholders who knowingly accepted the improper distribution, as provided therein.</w:t>
      </w:r>
    </w:p>
    <w:p>
      <w:pPr>
        <w:spacing w:after="0" w:line="133"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7"/>
          </w:tcPr>
          <w:p>
            <w:pPr>
              <w:ind w:left="180"/>
              <w:spacing w:after="0"/>
              <w:rPr>
                <w:sz w:val="20"/>
                <w:szCs w:val="20"/>
                <w:color w:val="auto"/>
              </w:rPr>
            </w:pPr>
            <w:r>
              <w:rPr>
                <w:rFonts w:ascii="Arial" w:cs="Arial" w:eastAsia="Arial" w:hAnsi="Arial"/>
                <w:sz w:val="18"/>
                <w:szCs w:val="18"/>
                <w:b w:val="1"/>
                <w:bCs w:val="1"/>
                <w:color w:val="auto"/>
              </w:rPr>
              <w:t>Description</w:t>
            </w:r>
          </w:p>
        </w:tc>
        <w:tc>
          <w:tcPr>
            <w:tcW w:w="4640" w:type="dxa"/>
            <w:vAlign w:val="bottom"/>
            <w:gridSpan w:val="2"/>
          </w:tcPr>
          <w:p>
            <w:pPr>
              <w:ind w:left="840"/>
              <w:spacing w:after="0"/>
              <w:rPr>
                <w:sz w:val="20"/>
                <w:szCs w:val="20"/>
                <w:color w:val="auto"/>
              </w:rPr>
            </w:pPr>
            <w:r>
              <w:rPr>
                <w:rFonts w:ascii="Arial" w:cs="Arial" w:eastAsia="Arial" w:hAnsi="Arial"/>
                <w:sz w:val="18"/>
                <w:szCs w:val="18"/>
                <w:b w:val="1"/>
                <w:bCs w:val="1"/>
                <w:color w:val="auto"/>
              </w:rPr>
              <w:t>Incorporated Herein By Reference To</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Filed Herewith</w:t>
            </w:r>
          </w:p>
        </w:tc>
      </w:tr>
      <w:tr>
        <w:trPr>
          <w:trHeight w:val="221"/>
        </w:trPr>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6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Underwriting Agreement</w:t>
            </w:r>
          </w:p>
        </w:tc>
        <w:tc>
          <w:tcPr>
            <w:tcW w:w="10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173"/>
        </w:trPr>
        <w:tc>
          <w:tcPr>
            <w:tcW w:w="900" w:type="dxa"/>
            <w:vAlign w:val="bottom"/>
          </w:tcPr>
          <w:p>
            <w:pPr>
              <w:ind w:left="20"/>
              <w:spacing w:after="0" w:line="174"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9"/>
          </w:tcPr>
          <w:p>
            <w:pPr>
              <w:spacing w:after="0" w:line="174" w:lineRule="exact"/>
              <w:rPr>
                <w:sz w:val="20"/>
                <w:szCs w:val="20"/>
                <w:color w:val="auto"/>
              </w:rPr>
            </w:pPr>
            <w:r>
              <w:rPr>
                <w:rFonts w:ascii="Arial" w:cs="Arial" w:eastAsia="Arial" w:hAnsi="Arial"/>
                <w:sz w:val="18"/>
                <w:szCs w:val="18"/>
                <w:color w:val="auto"/>
                <w:w w:val="94"/>
              </w:rPr>
              <w:t>Restated Articles of Incorporation of the Registration</w:t>
            </w:r>
          </w:p>
        </w:tc>
        <w:tc>
          <w:tcPr>
            <w:tcW w:w="46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3"/>
              </w:rPr>
              <w:t>Exhibit 4.1 to the Registrant’s Registration Statement on Form</w:t>
            </w:r>
          </w:p>
        </w:tc>
        <w:tc>
          <w:tcPr>
            <w:tcW w:w="1620" w:type="dxa"/>
            <w:vAlign w:val="bottom"/>
          </w:tcPr>
          <w:p>
            <w:pPr>
              <w:spacing w:after="0"/>
              <w:rPr>
                <w:sz w:val="15"/>
                <w:szCs w:val="15"/>
                <w:color w:val="auto"/>
              </w:rPr>
            </w:pPr>
          </w:p>
        </w:tc>
      </w:tr>
      <w:tr>
        <w:trPr>
          <w:trHeight w:val="233"/>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S-3 (Registration No. 333-04155), filed on May 21 1996.</w:t>
            </w:r>
          </w:p>
        </w:tc>
        <w:tc>
          <w:tcPr>
            <w:tcW w:w="1620" w:type="dxa"/>
            <w:vAlign w:val="bottom"/>
          </w:tcPr>
          <w:p>
            <w:pPr>
              <w:spacing w:after="0"/>
              <w:rPr>
                <w:sz w:val="20"/>
                <w:szCs w:val="20"/>
                <w:color w:val="auto"/>
              </w:rPr>
            </w:pPr>
          </w:p>
        </w:tc>
      </w:tr>
      <w:tr>
        <w:trPr>
          <w:trHeight w:val="194"/>
        </w:trPr>
        <w:tc>
          <w:tcPr>
            <w:tcW w:w="90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60" w:type="dxa"/>
            <w:vAlign w:val="bottom"/>
            <w:gridSpan w:val="9"/>
            <w:shd w:val="clear" w:color="auto" w:fill="CCEEFF"/>
          </w:tcPr>
          <w:p>
            <w:pPr>
              <w:spacing w:after="0" w:line="194" w:lineRule="exact"/>
              <w:rPr>
                <w:rFonts w:ascii="Arial" w:cs="Arial" w:eastAsia="Arial" w:hAnsi="Arial"/>
                <w:sz w:val="18"/>
                <w:szCs w:val="18"/>
                <w:color w:val="0000FF"/>
              </w:rPr>
            </w:pPr>
            <w:hyperlink r:id="rId20">
              <w:r>
                <w:rPr>
                  <w:rFonts w:ascii="Arial" w:cs="Arial" w:eastAsia="Arial" w:hAnsi="Arial"/>
                  <w:sz w:val="18"/>
                  <w:szCs w:val="18"/>
                  <w:color w:val="0000FF"/>
                </w:rPr>
                <w:t>By-Laws of the Registrant, as amended</w:t>
              </w:r>
            </w:hyperlink>
          </w:p>
        </w:tc>
        <w:tc>
          <w:tcPr>
            <w:tcW w:w="46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w w:val="99"/>
              </w:rPr>
              <w:t>Exhibit 3.1 to the Registrant’s Current Report on Form 8-K</w:t>
            </w:r>
          </w:p>
        </w:tc>
        <w:tc>
          <w:tcPr>
            <w:tcW w:w="1620" w:type="dxa"/>
            <w:vAlign w:val="bottom"/>
            <w:shd w:val="clear" w:color="auto" w:fill="CCEEFF"/>
          </w:tcPr>
          <w:p>
            <w:pPr>
              <w:spacing w:after="0"/>
              <w:rPr>
                <w:sz w:val="16"/>
                <w:szCs w:val="16"/>
                <w:color w:val="auto"/>
              </w:rPr>
            </w:pPr>
          </w:p>
        </w:tc>
      </w:tr>
      <w:tr>
        <w:trPr>
          <w:trHeight w:val="207"/>
        </w:trPr>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82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filed September 16, 2020.</w:t>
            </w:r>
          </w:p>
        </w:tc>
        <w:tc>
          <w:tcPr>
            <w:tcW w:w="1620" w:type="dxa"/>
            <w:vAlign w:val="bottom"/>
            <w:tcBorders>
              <w:top w:val="single" w:sz="8" w:color="CCEEFF"/>
            </w:tcBorders>
            <w:shd w:val="clear" w:color="auto" w:fill="CCEEFF"/>
          </w:tcPr>
          <w:p>
            <w:pPr>
              <w:spacing w:after="0"/>
              <w:rPr>
                <w:sz w:val="17"/>
                <w:szCs w:val="17"/>
                <w:color w:val="auto"/>
              </w:rPr>
            </w:pPr>
          </w:p>
        </w:tc>
      </w:tr>
      <w:tr>
        <w:trPr>
          <w:trHeight w:val="187"/>
        </w:trPr>
        <w:tc>
          <w:tcPr>
            <w:tcW w:w="900" w:type="dxa"/>
            <w:vAlign w:val="bottom"/>
          </w:tcPr>
          <w:p>
            <w:pPr>
              <w:ind w:left="20"/>
              <w:spacing w:after="0" w:line="187"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9"/>
          </w:tcPr>
          <w:p>
            <w:pPr>
              <w:spacing w:after="0" w:line="187" w:lineRule="exact"/>
              <w:rPr>
                <w:rFonts w:ascii="Arial" w:cs="Arial" w:eastAsia="Arial" w:hAnsi="Arial"/>
                <w:sz w:val="18"/>
                <w:szCs w:val="18"/>
                <w:color w:val="0000FF"/>
              </w:rPr>
            </w:pPr>
            <w:hyperlink r:id="rId21">
              <w:r>
                <w:rPr>
                  <w:rFonts w:ascii="Arial" w:cs="Arial" w:eastAsia="Arial" w:hAnsi="Arial"/>
                  <w:sz w:val="18"/>
                  <w:szCs w:val="18"/>
                  <w:color w:val="0000FF"/>
                </w:rPr>
                <w:t>Form of Indenture</w:t>
              </w:r>
            </w:hyperlink>
          </w:p>
        </w:tc>
        <w:tc>
          <w:tcPr>
            <w:tcW w:w="4640" w:type="dxa"/>
            <w:vAlign w:val="bottom"/>
            <w:gridSpan w:val="2"/>
          </w:tcPr>
          <w:p>
            <w:pPr>
              <w:ind w:left="20"/>
              <w:spacing w:after="0" w:line="187" w:lineRule="exact"/>
              <w:rPr>
                <w:sz w:val="20"/>
                <w:szCs w:val="20"/>
                <w:color w:val="auto"/>
              </w:rPr>
            </w:pPr>
            <w:r>
              <w:rPr>
                <w:rFonts w:ascii="Arial" w:cs="Arial" w:eastAsia="Arial" w:hAnsi="Arial"/>
                <w:sz w:val="18"/>
                <w:szCs w:val="18"/>
                <w:color w:val="auto"/>
                <w:w w:val="93"/>
              </w:rPr>
              <w:t>Exhibit 4.3 to the Registrant's Registration Statement on Form</w:t>
            </w:r>
          </w:p>
        </w:tc>
        <w:tc>
          <w:tcPr>
            <w:tcW w:w="1620" w:type="dxa"/>
            <w:vAlign w:val="bottom"/>
          </w:tcPr>
          <w:p>
            <w:pPr>
              <w:spacing w:after="0"/>
              <w:rPr>
                <w:sz w:val="16"/>
                <w:szCs w:val="16"/>
                <w:color w:val="auto"/>
              </w:rPr>
            </w:pPr>
          </w:p>
        </w:tc>
      </w:tr>
      <w:tr>
        <w:trPr>
          <w:trHeight w:val="207"/>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S-3 filed on October 26, 2011.</w:t>
            </w:r>
          </w:p>
        </w:tc>
        <w:tc>
          <w:tcPr>
            <w:tcW w:w="1620" w:type="dxa"/>
            <w:vAlign w:val="bottom"/>
          </w:tcPr>
          <w:p>
            <w:pPr>
              <w:spacing w:after="0"/>
              <w:rPr>
                <w:sz w:val="17"/>
                <w:szCs w:val="17"/>
                <w:color w:val="auto"/>
              </w:rPr>
            </w:pPr>
          </w:p>
        </w:tc>
      </w:tr>
      <w:tr>
        <w:trPr>
          <w:trHeight w:val="227"/>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9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Form of Debt Securities*</w:t>
            </w:r>
          </w:p>
        </w:tc>
        <w:tc>
          <w:tcPr>
            <w:tcW w:w="4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7"/>
        </w:trPr>
        <w:tc>
          <w:tcPr>
            <w:tcW w:w="900" w:type="dxa"/>
            <w:vAlign w:val="bottom"/>
          </w:tcPr>
          <w:p>
            <w:pPr>
              <w:ind w:left="20"/>
              <w:spacing w:after="0" w:line="187"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9"/>
          </w:tcPr>
          <w:p>
            <w:pPr>
              <w:spacing w:after="0" w:line="187" w:lineRule="exact"/>
              <w:rPr>
                <w:sz w:val="20"/>
                <w:szCs w:val="20"/>
                <w:color w:val="auto"/>
              </w:rPr>
            </w:pPr>
            <w:r>
              <w:rPr>
                <w:rFonts w:ascii="Arial" w:cs="Arial" w:eastAsia="Arial" w:hAnsi="Arial"/>
                <w:sz w:val="18"/>
                <w:szCs w:val="18"/>
                <w:color w:val="0000FF"/>
                <w:w w:val="99"/>
              </w:rPr>
              <w:t>Opinion of Foley &amp; Larder LLP as to the legality of</w:t>
            </w: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line="187" w:lineRule="exact"/>
              <w:rPr>
                <w:sz w:val="20"/>
                <w:szCs w:val="20"/>
                <w:color w:val="auto"/>
              </w:rPr>
            </w:pPr>
            <w:r>
              <w:rPr>
                <w:rFonts w:ascii="Arial" w:cs="Arial" w:eastAsia="Arial" w:hAnsi="Arial"/>
                <w:sz w:val="18"/>
                <w:szCs w:val="18"/>
                <w:color w:val="auto"/>
              </w:rPr>
              <w:t>X</w:t>
            </w:r>
          </w:p>
        </w:tc>
      </w:tr>
      <w:tr>
        <w:trPr>
          <w:trHeight w:val="153"/>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7"/>
          </w:tcPr>
          <w:p>
            <w:pPr>
              <w:spacing w:after="0" w:line="154" w:lineRule="exact"/>
              <w:rPr>
                <w:sz w:val="20"/>
                <w:szCs w:val="20"/>
                <w:color w:val="auto"/>
              </w:rPr>
            </w:pPr>
            <w:r>
              <w:rPr>
                <w:rFonts w:ascii="Arial" w:cs="Arial" w:eastAsia="Arial" w:hAnsi="Arial"/>
                <w:sz w:val="17"/>
                <w:szCs w:val="17"/>
                <w:color w:val="0000FF"/>
              </w:rPr>
              <w:t>the securities being registered</w:t>
            </w:r>
          </w:p>
        </w:tc>
        <w:tc>
          <w:tcPr>
            <w:tcW w:w="260" w:type="dxa"/>
            <w:vAlign w:val="bottom"/>
            <w:gridSpan w:val="2"/>
          </w:tcPr>
          <w:p>
            <w:pPr>
              <w:spacing w:after="0"/>
              <w:rPr>
                <w:sz w:val="13"/>
                <w:szCs w:val="13"/>
                <w:color w:val="auto"/>
              </w:rPr>
            </w:pPr>
          </w:p>
        </w:tc>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7"/>
        </w:trPr>
        <w:tc>
          <w:tcPr>
            <w:tcW w:w="9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60" w:type="dxa"/>
            <w:vAlign w:val="bottom"/>
            <w:gridSpan w:val="9"/>
            <w:shd w:val="clear" w:color="auto" w:fill="CCEEFF"/>
          </w:tcPr>
          <w:p>
            <w:pPr>
              <w:spacing w:after="0" w:line="187" w:lineRule="exact"/>
              <w:rPr>
                <w:sz w:val="20"/>
                <w:szCs w:val="20"/>
                <w:color w:val="auto"/>
              </w:rPr>
            </w:pPr>
            <w:r>
              <w:rPr>
                <w:rFonts w:ascii="Arial" w:cs="Arial" w:eastAsia="Arial" w:hAnsi="Arial"/>
                <w:sz w:val="18"/>
                <w:szCs w:val="18"/>
                <w:color w:val="0000FF"/>
              </w:rPr>
              <w:t>Consent of Deloitte &amp; Touche LLP</w:t>
            </w:r>
          </w:p>
        </w:tc>
        <w:tc>
          <w:tcPr>
            <w:tcW w:w="4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rPr>
              <w:t>X</w:t>
            </w:r>
          </w:p>
        </w:tc>
      </w:tr>
      <w:tr>
        <w:trPr>
          <w:trHeight w:val="187"/>
        </w:trPr>
        <w:tc>
          <w:tcPr>
            <w:tcW w:w="900" w:type="dxa"/>
            <w:vAlign w:val="bottom"/>
            <w:tcBorders>
              <w:top w:val="single" w:sz="8" w:color="CCEEFF"/>
            </w:tcBorders>
          </w:tcPr>
          <w:p>
            <w:pPr>
              <w:ind w:left="20"/>
              <w:spacing w:after="0" w:line="187" w:lineRule="exact"/>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500" w:type="dxa"/>
            <w:vAlign w:val="bottom"/>
            <w:tcBorders>
              <w:top w:val="single" w:sz="8" w:color="0000FF"/>
            </w:tcBorders>
            <w:gridSpan w:val="5"/>
          </w:tcPr>
          <w:p>
            <w:pPr>
              <w:spacing w:after="0" w:line="187" w:lineRule="exact"/>
              <w:rPr>
                <w:sz w:val="20"/>
                <w:szCs w:val="20"/>
                <w:color w:val="auto"/>
              </w:rPr>
            </w:pPr>
            <w:r>
              <w:rPr>
                <w:rFonts w:ascii="Arial" w:cs="Arial" w:eastAsia="Arial" w:hAnsi="Arial"/>
                <w:sz w:val="18"/>
                <w:szCs w:val="18"/>
                <w:color w:val="0000FF"/>
                <w:w w:val="96"/>
              </w:rPr>
              <w:t>Consent of Foley &amp; Lardner LLP</w:t>
            </w:r>
          </w:p>
        </w:tc>
        <w:tc>
          <w:tcPr>
            <w:tcW w:w="1460" w:type="dxa"/>
            <w:vAlign w:val="bottom"/>
            <w:tcBorders>
              <w:top w:val="single" w:sz="8" w:color="CCEEFF"/>
            </w:tcBorders>
            <w:gridSpan w:val="4"/>
          </w:tcPr>
          <w:p>
            <w:pPr>
              <w:spacing w:after="0"/>
              <w:rPr>
                <w:sz w:val="16"/>
                <w:szCs w:val="16"/>
                <w:color w:val="auto"/>
              </w:rPr>
            </w:pPr>
          </w:p>
        </w:tc>
        <w:tc>
          <w:tcPr>
            <w:tcW w:w="4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20" w:type="dxa"/>
            <w:vAlign w:val="bottom"/>
            <w:tcBorders>
              <w:top w:val="single" w:sz="8" w:color="CCEEFF"/>
            </w:tcBorders>
          </w:tcPr>
          <w:p>
            <w:pPr>
              <w:jc w:val="center"/>
              <w:spacing w:after="0" w:line="187" w:lineRule="exact"/>
              <w:rPr>
                <w:sz w:val="20"/>
                <w:szCs w:val="20"/>
                <w:color w:val="auto"/>
              </w:rPr>
            </w:pPr>
            <w:r>
              <w:rPr>
                <w:rFonts w:ascii="Arial" w:cs="Arial" w:eastAsia="Arial" w:hAnsi="Arial"/>
                <w:sz w:val="18"/>
                <w:szCs w:val="18"/>
                <w:color w:val="auto"/>
                <w:w w:val="93"/>
              </w:rPr>
              <w:t>(Included in Exhibit</w:t>
            </w:r>
          </w:p>
        </w:tc>
      </w:tr>
      <w:tr>
        <w:trPr>
          <w:trHeight w:val="207"/>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5.1)</w:t>
            </w:r>
          </w:p>
        </w:tc>
      </w:tr>
      <w:tr>
        <w:trPr>
          <w:trHeight w:val="174"/>
        </w:trPr>
        <w:tc>
          <w:tcPr>
            <w:tcW w:w="9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960" w:type="dxa"/>
            <w:vAlign w:val="bottom"/>
            <w:gridSpan w:val="9"/>
            <w:shd w:val="clear" w:color="auto" w:fill="CCEEFF"/>
          </w:tcPr>
          <w:p>
            <w:pPr>
              <w:spacing w:after="0" w:line="174" w:lineRule="exact"/>
              <w:rPr>
                <w:sz w:val="20"/>
                <w:szCs w:val="20"/>
                <w:color w:val="auto"/>
              </w:rPr>
            </w:pPr>
            <w:r>
              <w:rPr>
                <w:rFonts w:ascii="Arial" w:cs="Arial" w:eastAsia="Arial" w:hAnsi="Arial"/>
                <w:sz w:val="18"/>
                <w:szCs w:val="18"/>
                <w:color w:val="auto"/>
              </w:rPr>
              <w:t>Powers of Attorney</w:t>
            </w:r>
          </w:p>
        </w:tc>
        <w:tc>
          <w:tcPr>
            <w:tcW w:w="4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2"/>
              </w:rPr>
              <w:t>(Included in the</w:t>
            </w:r>
          </w:p>
        </w:tc>
      </w:tr>
      <w:tr>
        <w:trPr>
          <w:trHeight w:val="240"/>
        </w:trPr>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Signature Pages)</w:t>
            </w:r>
          </w:p>
        </w:tc>
      </w:tr>
      <w:tr>
        <w:trPr>
          <w:trHeight w:val="227"/>
        </w:trPr>
        <w:tc>
          <w:tcPr>
            <w:tcW w:w="900" w:type="dxa"/>
            <w:vAlign w:val="bottom"/>
          </w:tcPr>
          <w:p>
            <w:pPr>
              <w:ind w:left="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9"/>
          </w:tcPr>
          <w:p>
            <w:pPr>
              <w:spacing w:after="0"/>
              <w:rPr>
                <w:sz w:val="20"/>
                <w:szCs w:val="20"/>
                <w:color w:val="auto"/>
              </w:rPr>
            </w:pPr>
            <w:r>
              <w:rPr>
                <w:rFonts w:ascii="Arial" w:cs="Arial" w:eastAsia="Arial" w:hAnsi="Arial"/>
                <w:sz w:val="18"/>
                <w:szCs w:val="18"/>
                <w:color w:val="auto"/>
                <w:w w:val="99"/>
              </w:rPr>
              <w:t>Statement of Eligibility of the Trustee on Form T-1</w:t>
            </w:r>
          </w:p>
        </w:tc>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87"/>
        </w:trPr>
        <w:tc>
          <w:tcPr>
            <w:tcW w:w="9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60" w:type="dxa"/>
            <w:vAlign w:val="bottom"/>
            <w:gridSpan w:val="9"/>
            <w:shd w:val="clear" w:color="auto" w:fill="CCEEFF"/>
          </w:tcPr>
          <w:p>
            <w:pPr>
              <w:spacing w:after="0" w:line="187" w:lineRule="exact"/>
              <w:rPr>
                <w:sz w:val="20"/>
                <w:szCs w:val="20"/>
                <w:color w:val="auto"/>
              </w:rPr>
            </w:pPr>
            <w:r>
              <w:rPr>
                <w:rFonts w:ascii="Arial" w:cs="Arial" w:eastAsia="Arial" w:hAnsi="Arial"/>
                <w:sz w:val="18"/>
                <w:szCs w:val="18"/>
                <w:color w:val="0000FF"/>
              </w:rPr>
              <w:t>Filing Fee Table</w:t>
            </w:r>
          </w:p>
        </w:tc>
        <w:tc>
          <w:tcPr>
            <w:tcW w:w="4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rPr>
              <w:t>X</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as an exhibit to a Current Report on Form 8-K.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To be filed separately under Form 305B2 in connection with the offering of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1"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66" w:lineRule="exact"/>
        <w:rPr>
          <w:rFonts w:ascii="Arial" w:cs="Arial" w:eastAsia="Arial" w:hAnsi="Arial"/>
          <w:sz w:val="18"/>
          <w:szCs w:val="18"/>
          <w:color w:val="auto"/>
        </w:rPr>
      </w:pPr>
    </w:p>
    <w:p>
      <w:pPr>
        <w:ind w:left="1920" w:hanging="632"/>
        <w:spacing w:after="0"/>
        <w:tabs>
          <w:tab w:leader="none" w:pos="19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66" w:lineRule="exact"/>
        <w:rPr>
          <w:rFonts w:ascii="Arial" w:cs="Arial" w:eastAsia="Arial" w:hAnsi="Arial"/>
          <w:sz w:val="18"/>
          <w:szCs w:val="18"/>
          <w:color w:val="auto"/>
        </w:rPr>
      </w:pPr>
    </w:p>
    <w:p>
      <w:pPr>
        <w:jc w:val="both"/>
        <w:ind w:left="1280" w:firstLine="8"/>
        <w:spacing w:after="0" w:line="268" w:lineRule="auto"/>
        <w:tabs>
          <w:tab w:leader="none" w:pos="1911" w:val="left"/>
        </w:tabs>
        <w:numPr>
          <w:ilvl w:val="2"/>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6" w:right="339" w:bottom="1440" w:gutter="0" w:footer="0" w:header="0"/>
        </w:sectPr>
      </w:pPr>
    </w:p>
    <w:bookmarkStart w:id="17" w:name="page18"/>
    <w:bookmarkEnd w:id="17"/>
    <w:p>
      <w:pPr>
        <w:ind w:left="640" w:firstLine="8"/>
        <w:spacing w:after="0" w:line="270"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(1)(ii), and (1)(iii) of this section do not apply if the Registration Statement is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periodic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1" w:lineRule="exact"/>
        <w:rPr>
          <w:sz w:val="20"/>
          <w:szCs w:val="20"/>
          <w:color w:val="auto"/>
        </w:rPr>
      </w:pPr>
    </w:p>
    <w:p>
      <w:pPr>
        <w:jc w:val="both"/>
        <w:ind w:firstLine="7"/>
        <w:spacing w:after="0" w:line="258" w:lineRule="auto"/>
        <w:tabs>
          <w:tab w:leader="none" w:pos="6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8"/>
          <w:szCs w:val="18"/>
          <w:color w:val="auto"/>
        </w:rPr>
      </w:pPr>
    </w:p>
    <w:p>
      <w:pPr>
        <w:ind w:firstLine="7"/>
        <w:spacing w:after="0" w:line="270" w:lineRule="auto"/>
        <w:tabs>
          <w:tab w:leader="none" w:pos="6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Arial" w:cs="Arial" w:eastAsia="Arial" w:hAnsi="Arial"/>
          <w:sz w:val="18"/>
          <w:szCs w:val="18"/>
          <w:color w:val="auto"/>
        </w:rPr>
      </w:pPr>
    </w:p>
    <w:p>
      <w:pPr>
        <w:ind w:left="640" w:hanging="63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to any purchaser:</w:t>
      </w:r>
    </w:p>
    <w:p>
      <w:pPr>
        <w:spacing w:after="0" w:line="166" w:lineRule="exact"/>
        <w:rPr>
          <w:rFonts w:ascii="Arial" w:cs="Arial" w:eastAsia="Arial" w:hAnsi="Arial"/>
          <w:sz w:val="18"/>
          <w:szCs w:val="18"/>
          <w:color w:val="auto"/>
        </w:rPr>
      </w:pPr>
    </w:p>
    <w:p>
      <w:pPr>
        <w:ind w:left="640" w:firstLine="8"/>
        <w:spacing w:after="0" w:line="270" w:lineRule="auto"/>
        <w:tabs>
          <w:tab w:leader="none" w:pos="12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1" w:lineRule="exact"/>
        <w:rPr>
          <w:rFonts w:ascii="Arial" w:cs="Arial" w:eastAsia="Arial" w:hAnsi="Arial"/>
          <w:sz w:val="18"/>
          <w:szCs w:val="18"/>
          <w:color w:val="auto"/>
        </w:rPr>
      </w:pPr>
    </w:p>
    <w:p>
      <w:pPr>
        <w:jc w:val="both"/>
        <w:ind w:left="640" w:firstLine="8"/>
        <w:spacing w:after="0" w:line="265" w:lineRule="auto"/>
        <w:tabs>
          <w:tab w:leader="none" w:pos="12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1" w:lineRule="exact"/>
        <w:rPr>
          <w:rFonts w:ascii="Arial" w:cs="Arial" w:eastAsia="Arial" w:hAnsi="Arial"/>
          <w:sz w:val="17"/>
          <w:szCs w:val="17"/>
          <w:color w:val="auto"/>
        </w:rPr>
      </w:pPr>
    </w:p>
    <w:p>
      <w:pPr>
        <w:ind w:firstLine="7"/>
        <w:spacing w:after="0" w:line="270" w:lineRule="auto"/>
        <w:tabs>
          <w:tab w:leader="none" w:pos="6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2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sz w:val="20"/>
          <w:szCs w:val="20"/>
          <w:color w:val="auto"/>
        </w:rPr>
      </w:pPr>
    </w:p>
    <w:p>
      <w:pPr>
        <w:ind w:left="640" w:firstLine="8"/>
        <w:spacing w:after="0" w:line="270" w:lineRule="auto"/>
        <w:tabs>
          <w:tab w:leader="none" w:pos="1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1" w:lineRule="exact"/>
        <w:rPr>
          <w:rFonts w:ascii="Arial" w:cs="Arial" w:eastAsia="Arial" w:hAnsi="Arial"/>
          <w:sz w:val="18"/>
          <w:szCs w:val="18"/>
          <w:color w:val="auto"/>
        </w:rPr>
      </w:pPr>
    </w:p>
    <w:p>
      <w:pPr>
        <w:ind w:left="640" w:firstLine="8"/>
        <w:spacing w:after="0" w:line="270" w:lineRule="auto"/>
        <w:tabs>
          <w:tab w:leader="none" w:pos="12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1" w:lineRule="exact"/>
        <w:rPr>
          <w:rFonts w:ascii="Arial" w:cs="Arial" w:eastAsia="Arial" w:hAnsi="Arial"/>
          <w:sz w:val="18"/>
          <w:szCs w:val="18"/>
          <w:color w:val="auto"/>
        </w:rPr>
      </w:pPr>
    </w:p>
    <w:p>
      <w:pPr>
        <w:ind w:left="640" w:firstLine="8"/>
        <w:spacing w:after="0" w:line="270"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1" w:lineRule="exact"/>
        <w:rPr>
          <w:rFonts w:ascii="Arial" w:cs="Arial" w:eastAsia="Arial" w:hAnsi="Arial"/>
          <w:sz w:val="18"/>
          <w:szCs w:val="18"/>
          <w:color w:val="auto"/>
        </w:rPr>
      </w:pPr>
    </w:p>
    <w:p>
      <w:pPr>
        <w:ind w:left="1280" w:hanging="63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00"/>
          </w:cols>
          <w:pgMar w:left="960" w:top="1046" w:right="339" w:bottom="1440" w:gutter="0" w:footer="0" w:header="0"/>
        </w:sectPr>
      </w:pPr>
    </w:p>
    <w:bookmarkStart w:id="18" w:name="page19"/>
    <w:bookmarkEnd w:id="18"/>
    <w:p>
      <w:pPr>
        <w:jc w:val="both"/>
        <w:ind w:left="320" w:hanging="313"/>
        <w:spacing w:after="0" w:line="253"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Arial" w:cs="Arial" w:eastAsia="Arial" w:hAnsi="Arial"/>
          <w:sz w:val="18"/>
          <w:szCs w:val="18"/>
          <w:color w:val="auto"/>
        </w:rPr>
      </w:pPr>
    </w:p>
    <w:p>
      <w:pPr>
        <w:jc w:val="both"/>
        <w:ind w:left="320" w:hanging="313"/>
        <w:spacing w:after="0" w:line="286" w:lineRule="auto"/>
        <w:tabs>
          <w:tab w:leader="none" w:pos="31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Reference is made to the indemnification provisions in Item 15 of this Registration Statement: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3" w:lineRule="exact"/>
        <w:rPr>
          <w:rFonts w:ascii="Arial" w:cs="Arial" w:eastAsia="Arial" w:hAnsi="Arial"/>
          <w:sz w:val="16"/>
          <w:szCs w:val="16"/>
          <w:color w:val="auto"/>
        </w:rPr>
      </w:pPr>
    </w:p>
    <w:p>
      <w:pPr>
        <w:jc w:val="both"/>
        <w:ind w:left="320" w:hanging="313"/>
        <w:spacing w:after="0" w:line="258"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32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640" w:top="104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September 5, 2023.</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 (Registrant)</w:t>
      </w:r>
    </w:p>
    <w:p>
      <w:pPr>
        <w:spacing w:after="0" w:line="3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17080" cy="15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 E. Thornton</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17080"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Russell R. Shaller, Ann E. Thornton and Andrew T. Gorman,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3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8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w:t>
            </w:r>
          </w:p>
        </w:tc>
        <w:tc>
          <w:tcPr>
            <w:tcW w:w="5840" w:type="dxa"/>
            <w:vAlign w:val="bottom"/>
          </w:tcPr>
          <w:p>
            <w:pPr>
              <w:ind w:left="2740"/>
              <w:spacing w:after="0"/>
              <w:rPr>
                <w:sz w:val="20"/>
                <w:szCs w:val="20"/>
                <w:color w:val="auto"/>
              </w:rPr>
            </w:pPr>
            <w:r>
              <w:rPr>
                <w:rFonts w:ascii="Arial" w:cs="Arial" w:eastAsia="Arial" w:hAnsi="Arial"/>
                <w:sz w:val="18"/>
                <w:szCs w:val="18"/>
                <w:b w:val="1"/>
                <w:bCs w:val="1"/>
                <w:color w:val="auto"/>
              </w:rPr>
              <w:t>Title</w:t>
            </w:r>
          </w:p>
        </w:tc>
      </w:tr>
      <w:tr>
        <w:trPr>
          <w:trHeight w:val="221"/>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RUSSELL R. SHALLER</w:t>
            </w:r>
          </w:p>
        </w:tc>
        <w:tc>
          <w:tcPr>
            <w:tcW w:w="400" w:type="dxa"/>
            <w:vAlign w:val="bottom"/>
            <w:tcBorders>
              <w:top w:val="single" w:sz="8" w:color="CCEEFF"/>
            </w:tcBorders>
            <w:shd w:val="clear" w:color="auto" w:fill="CCEEFF"/>
          </w:tcPr>
          <w:p>
            <w:pPr>
              <w:spacing w:after="0"/>
              <w:rPr>
                <w:sz w:val="19"/>
                <w:szCs w:val="19"/>
                <w:color w:val="auto"/>
              </w:rPr>
            </w:pPr>
          </w:p>
        </w:tc>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Russell R. Shaller</w:t>
            </w:r>
          </w:p>
        </w:tc>
        <w:tc>
          <w:tcPr>
            <w:tcW w:w="58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ANN E. THORNTON</w:t>
            </w: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Chief Accounting Officer and Treasurer</w:t>
            </w: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Ann E. Thornton</w:t>
            </w:r>
          </w:p>
        </w:tc>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PATRICK W. ALLENDER</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Patrick W. Allender</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DAVID S. BEM</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ELIZABETH P. BRUNO</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Elizabeth P. Bruno</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JOANNE COLLINS SMEE</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Joanne Collins Smee</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NANCY L. GIOIA</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Nancy L. Gioia</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VINEET NARGOLWALA</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Vineet Nargolwala</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BRADLEY C. RICHARDSON</w:t>
            </w:r>
          </w:p>
        </w:tc>
        <w:tc>
          <w:tcPr>
            <w:tcW w:w="5840" w:type="dxa"/>
            <w:vAlign w:val="bottom"/>
            <w:shd w:val="clear" w:color="auto" w:fill="CCEEFF"/>
          </w:tcPr>
          <w:p>
            <w:pPr>
              <w:spacing w:after="0"/>
              <w:rPr>
                <w:sz w:val="19"/>
                <w:szCs w:val="19"/>
                <w:color w:val="auto"/>
              </w:rPr>
            </w:pPr>
          </w:p>
        </w:tc>
      </w:tr>
      <w:tr>
        <w:trPr>
          <w:trHeight w:val="22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MICHELLE E. WILLIAMS</w:t>
            </w:r>
          </w:p>
        </w:tc>
        <w:tc>
          <w:tcPr>
            <w:tcW w:w="5840" w:type="dxa"/>
            <w:vAlign w:val="bottom"/>
            <w:shd w:val="clear" w:color="auto" w:fill="CCEEFF"/>
          </w:tcPr>
          <w:p>
            <w:pPr>
              <w:spacing w:after="0"/>
              <w:rPr>
                <w:sz w:val="19"/>
                <w:szCs w:val="19"/>
                <w:color w:val="auto"/>
              </w:rPr>
            </w:pPr>
          </w:p>
        </w:tc>
      </w:tr>
      <w:tr>
        <w:trPr>
          <w:trHeight w:val="22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Michelle E. Williams</w:t>
            </w:r>
          </w:p>
        </w:tc>
        <w:tc>
          <w:tcPr>
            <w:tcW w:w="5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66"/>
        </w:trPr>
        <w:tc>
          <w:tcPr>
            <w:tcW w:w="5380" w:type="dxa"/>
            <w:vAlign w:val="bottom"/>
            <w:gridSpan w:val="2"/>
          </w:tcPr>
          <w:p>
            <w:pPr>
              <w:spacing w:after="0"/>
              <w:rPr>
                <w:sz w:val="20"/>
                <w:szCs w:val="20"/>
                <w:color w:val="auto"/>
              </w:rPr>
            </w:pPr>
            <w:r>
              <w:rPr>
                <w:rFonts w:ascii="Arial" w:cs="Arial" w:eastAsia="Arial" w:hAnsi="Arial"/>
                <w:sz w:val="18"/>
                <w:szCs w:val="18"/>
                <w:color w:val="auto"/>
              </w:rPr>
              <w:t>* Each of the above signatures is affixed as of September 5, 2023.</w:t>
            </w:r>
          </w:p>
        </w:tc>
        <w:tc>
          <w:tcPr>
            <w:tcW w:w="5840" w:type="dxa"/>
            <w:vAlign w:val="bottom"/>
          </w:tcPr>
          <w:p>
            <w:pPr>
              <w:spacing w:after="0"/>
              <w:rPr>
                <w:sz w:val="24"/>
                <w:szCs w:val="24"/>
                <w:color w:val="auto"/>
              </w:rPr>
            </w:pPr>
          </w:p>
        </w:tc>
      </w:tr>
      <w:tr>
        <w:trPr>
          <w:trHeight w:val="761"/>
        </w:trPr>
        <w:tc>
          <w:tcPr>
            <w:tcW w:w="4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882"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107</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Calculation of Filing Fee Table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Form S-3</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 Type)</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BRADY CORPORATION</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Table 1: Newly Registered and Carry Forward Securities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Filing Fee</w:t>
            </w: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Previously</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Paid</w:t>
            </w: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Calculation</w:t>
            </w: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Forward</w:t>
            </w: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with Unsold</w:t>
            </w: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or Carry</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Maximum</w:t>
            </w:r>
          </w:p>
        </w:tc>
        <w:tc>
          <w:tcPr>
            <w:tcW w:w="820" w:type="dxa"/>
            <w:vAlign w:val="bottom"/>
          </w:tcPr>
          <w:p>
            <w:pPr>
              <w:jc w:val="center"/>
              <w:ind w:right="9"/>
              <w:spacing w:after="0" w:line="147" w:lineRule="exact"/>
              <w:rPr>
                <w:sz w:val="20"/>
                <w:szCs w:val="20"/>
                <w:color w:val="auto"/>
              </w:rPr>
            </w:pPr>
            <w:r>
              <w:rPr>
                <w:rFonts w:ascii="Arial" w:cs="Arial" w:eastAsia="Arial" w:hAnsi="Arial"/>
                <w:sz w:val="14"/>
                <w:szCs w:val="14"/>
                <w:b w:val="1"/>
                <w:bCs w:val="1"/>
                <w:color w:val="auto"/>
                <w:w w:val="89"/>
              </w:rPr>
              <w:t>Aggregate</w:t>
            </w: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Initial</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Forward</w:t>
            </w:r>
          </w:p>
        </w:tc>
        <w:tc>
          <w:tcPr>
            <w:tcW w:w="800" w:type="dxa"/>
            <w:vAlign w:val="bottom"/>
            <w:vMerge w:val="continue"/>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Offering</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Offering</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Forward</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Forward</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Effective</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to be Carried</w:t>
            </w:r>
          </w:p>
        </w:tc>
        <w:tc>
          <w:tcPr>
            <w:tcW w:w="0" w:type="dxa"/>
            <w:vAlign w:val="bottom"/>
          </w:tcPr>
          <w:p>
            <w:pPr>
              <w:spacing w:after="0"/>
              <w:rPr>
                <w:sz w:val="1"/>
                <w:szCs w:val="1"/>
                <w:color w:val="auto"/>
              </w:rPr>
            </w:pPr>
          </w:p>
        </w:tc>
      </w:tr>
      <w:tr>
        <w:trPr>
          <w:trHeight w:val="200"/>
        </w:trPr>
        <w:tc>
          <w:tcPr>
            <w:tcW w:w="1040" w:type="dxa"/>
            <w:vAlign w:val="bottom"/>
          </w:tcPr>
          <w:p>
            <w:pPr>
              <w:spacing w:after="0"/>
              <w:rPr>
                <w:sz w:val="17"/>
                <w:szCs w:val="17"/>
                <w:color w:val="auto"/>
              </w:rPr>
            </w:pPr>
          </w:p>
        </w:tc>
        <w:tc>
          <w:tcPr>
            <w:tcW w:w="1760" w:type="dxa"/>
            <w:vAlign w:val="bottom"/>
            <w:gridSpan w:val="2"/>
          </w:tcPr>
          <w:p>
            <w:pPr>
              <w:spacing w:after="0" w:line="201" w:lineRule="exact"/>
              <w:rPr>
                <w:sz w:val="20"/>
                <w:szCs w:val="20"/>
                <w:color w:val="auto"/>
              </w:rPr>
            </w:pPr>
            <w:r>
              <w:rPr>
                <w:rFonts w:ascii="Arial" w:cs="Arial" w:eastAsia="Arial" w:hAnsi="Arial"/>
                <w:sz w:val="14"/>
                <w:szCs w:val="14"/>
                <w:b w:val="1"/>
                <w:bCs w:val="1"/>
                <w:color w:val="auto"/>
                <w:w w:val="93"/>
              </w:rPr>
              <w:t xml:space="preserve">Security Type Class Title </w:t>
            </w:r>
            <w:r>
              <w:rPr>
                <w:rFonts w:ascii="Arial" w:cs="Arial" w:eastAsia="Arial" w:hAnsi="Arial"/>
                <w:sz w:val="18"/>
                <w:szCs w:val="18"/>
                <w:b w:val="1"/>
                <w:bCs w:val="1"/>
                <w:color w:val="auto"/>
                <w:w w:val="93"/>
                <w:vertAlign w:val="superscript"/>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Rule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Form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247"/>
        </w:trPr>
        <w:tc>
          <w:tcPr>
            <w:tcW w:w="104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Debt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Senior Debt</w:t>
            </w: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0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Securities</w:t>
            </w:r>
          </w:p>
        </w:tc>
        <w:tc>
          <w:tcPr>
            <w:tcW w:w="9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40" w:type="dxa"/>
            <w:vAlign w:val="bottom"/>
            <w:tcBorders>
              <w:left w:val="single" w:sz="8" w:color="auto"/>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Rules 456(b)</w:t>
            </w: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Fees to Be Paid</w:t>
            </w:r>
          </w:p>
        </w:tc>
        <w:tc>
          <w:tcPr>
            <w:tcW w:w="88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(3)</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(3)</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w:t>
            </w:r>
          </w:p>
        </w:tc>
        <w:tc>
          <w:tcPr>
            <w:tcW w:w="8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040" w:type="dxa"/>
            <w:vAlign w:val="bottom"/>
            <w:tcBorders>
              <w:left w:val="single" w:sz="8" w:color="auto"/>
              <w:right w:val="single" w:sz="8" w:color="auto"/>
            </w:tcBorders>
            <w:vMerge w:val="continue"/>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Class A Non-</w:t>
            </w:r>
          </w:p>
        </w:tc>
        <w:tc>
          <w:tcPr>
            <w:tcW w:w="90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040" w:type="dxa"/>
            <w:vAlign w:val="bottom"/>
            <w:tcBorders>
              <w:left w:val="single" w:sz="8" w:color="auto"/>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 xml:space="preserve">and 457(r) </w:t>
            </w:r>
            <w:r>
              <w:rPr>
                <w:rFonts w:ascii="Arial" w:cs="Arial" w:eastAsia="Arial" w:hAnsi="Arial"/>
                <w:sz w:val="16"/>
                <w:szCs w:val="16"/>
                <w:color w:val="auto"/>
                <w:w w:val="96"/>
                <w:vertAlign w:val="superscript"/>
              </w:rPr>
              <w:t>(2)</w:t>
            </w: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0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Equity</w:t>
            </w:r>
          </w:p>
        </w:tc>
        <w:tc>
          <w:tcPr>
            <w:tcW w:w="88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rPr>
              <w:t>Voting</w:t>
            </w:r>
          </w:p>
        </w:tc>
        <w:tc>
          <w:tcPr>
            <w:tcW w:w="9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4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line="139" w:lineRule="exact"/>
              <w:rPr>
                <w:sz w:val="20"/>
                <w:szCs w:val="20"/>
                <w:color w:val="auto"/>
              </w:rPr>
            </w:pPr>
            <w:r>
              <w:rPr>
                <w:rFonts w:ascii="Arial" w:cs="Arial" w:eastAsia="Arial" w:hAnsi="Arial"/>
                <w:sz w:val="14"/>
                <w:szCs w:val="14"/>
                <w:color w:val="auto"/>
                <w:w w:val="95"/>
              </w:rPr>
              <w:t>Common</w:t>
            </w:r>
          </w:p>
        </w:tc>
        <w:tc>
          <w:tcPr>
            <w:tcW w:w="9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40" w:type="dxa"/>
            <w:vAlign w:val="bottom"/>
            <w:tcBorders>
              <w:left w:val="single" w:sz="8" w:color="auto"/>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Stock</w:t>
            </w: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2"/>
              </w:rPr>
              <w:t>Fee Previously</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Paid</w:t>
            </w: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Carry Forward Securities</w:t>
            </w: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Carry Forward</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1"/>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Securities</w:t>
            </w: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color w:val="auto"/>
                <w:w w:val="94"/>
              </w:rPr>
              <w:t>Total Offering Amounts</w:t>
            </w: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color w:val="auto"/>
                <w:w w:val="91"/>
              </w:rPr>
              <w:t>Total Fees Previously Paid</w:t>
            </w: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color w:val="auto"/>
                <w:w w:val="91"/>
              </w:rPr>
              <w:t>Total Fee Offsets</w:t>
            </w: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color w:val="auto"/>
                <w:w w:val="90"/>
              </w:rPr>
              <w:t>Net Fee Due</w:t>
            </w: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20" w:hanging="353"/>
        <w:spacing w:after="0"/>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spacing w:after="0" w:line="92" w:lineRule="exact"/>
        <w:rPr>
          <w:rFonts w:ascii="Arial" w:cs="Arial" w:eastAsia="Arial" w:hAnsi="Arial"/>
          <w:sz w:val="14"/>
          <w:szCs w:val="14"/>
          <w:color w:val="auto"/>
        </w:rPr>
      </w:pPr>
    </w:p>
    <w:p>
      <w:pPr>
        <w:jc w:val="both"/>
        <w:ind w:left="620" w:hanging="353"/>
        <w:spacing w:after="0" w:line="273" w:lineRule="auto"/>
        <w:tabs>
          <w:tab w:leader="none" w:pos="6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of the Securities Act of 1933, as amended, the Registrant is deferring payment of all of the registration fee.</w:t>
      </w:r>
    </w:p>
    <w:p>
      <w:pPr>
        <w:spacing w:after="0" w:line="51" w:lineRule="exact"/>
        <w:rPr>
          <w:rFonts w:ascii="Arial" w:cs="Arial" w:eastAsia="Arial" w:hAnsi="Arial"/>
          <w:sz w:val="14"/>
          <w:szCs w:val="14"/>
          <w:color w:val="auto"/>
        </w:rPr>
      </w:pPr>
    </w:p>
    <w:p>
      <w:pPr>
        <w:ind w:left="620" w:hanging="353"/>
        <w:spacing w:after="0"/>
        <w:tabs>
          <w:tab w:leader="none" w:pos="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 indeterminate aggregate initial offering price or number of the securities of each identified class is being registered as may from time to time be offered at indeterminate prices.</w:t>
      </w:r>
    </w:p>
    <w:p>
      <w:pPr>
        <w:sectPr>
          <w:pgSz w:w="11900" w:h="16838" w:orient="portrait"/>
          <w:cols w:equalWidth="0" w:num="1">
            <w:col w:w="11140"/>
          </w:cols>
          <w:pgMar w:left="420" w:top="882"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2702560" cy="643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702560" cy="6438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33020</wp:posOffset>
            </wp:positionV>
            <wp:extent cx="1965325" cy="64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965325" cy="64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September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7" w:lineRule="exact"/>
        <w:rPr>
          <w:sz w:val="20"/>
          <w:szCs w:val="20"/>
          <w:color w:val="auto"/>
        </w:rPr>
      </w:pPr>
    </w:p>
    <w:p>
      <w:pPr>
        <w:jc w:val="both"/>
        <w:ind w:firstLine="1281"/>
        <w:spacing w:after="0" w:line="251" w:lineRule="auto"/>
        <w:rPr>
          <w:sz w:val="20"/>
          <w:szCs w:val="20"/>
          <w:color w:val="auto"/>
        </w:rPr>
      </w:pPr>
      <w:r>
        <w:rPr>
          <w:rFonts w:ascii="Arial" w:cs="Arial" w:eastAsia="Arial" w:hAnsi="Arial"/>
          <w:sz w:val="18"/>
          <w:szCs w:val="18"/>
          <w:color w:val="auto"/>
        </w:rPr>
        <w:t>We have acted as counsel for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of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including the prospectus constituting a part thereof (the “</w:t>
      </w:r>
      <w:r>
        <w:rPr>
          <w:rFonts w:ascii="Arial" w:cs="Arial" w:eastAsia="Arial" w:hAnsi="Arial"/>
          <w:sz w:val="18"/>
          <w:szCs w:val="18"/>
          <w:u w:val="single" w:color="auto"/>
          <w:color w:val="auto"/>
        </w:rPr>
        <w:t>Prospectus</w:t>
      </w:r>
      <w:r>
        <w:rPr>
          <w:rFonts w:ascii="Arial" w:cs="Arial" w:eastAsia="Arial" w:hAnsi="Arial"/>
          <w:sz w:val="18"/>
          <w:szCs w:val="18"/>
          <w:color w:val="auto"/>
        </w:rPr>
        <w:t>”), to be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issuance and sale by the Company from time to time of an indeterminate amount of: (i) debt securities of the Company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 (ii) shares of the Company’s Class A Nonvoting Common Stock, $0.01 par value (the “</w:t>
      </w:r>
      <w:r>
        <w:rPr>
          <w:rFonts w:ascii="Arial" w:cs="Arial" w:eastAsia="Arial" w:hAnsi="Arial"/>
          <w:sz w:val="18"/>
          <w:szCs w:val="18"/>
          <w:u w:val="single" w:color="auto"/>
          <w:color w:val="auto"/>
        </w:rPr>
        <w:t>Class A Nonvoting Common Stock</w:t>
      </w:r>
      <w:r>
        <w:rPr>
          <w:rFonts w:ascii="Arial" w:cs="Arial" w:eastAsia="Arial" w:hAnsi="Arial"/>
          <w:sz w:val="18"/>
          <w:szCs w:val="18"/>
          <w:color w:val="auto"/>
        </w:rPr>
        <w:t>” and, together with the Debt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Prospectus provides that it will be supplemented in the future by one or more supplements to such Prospectus and/or other offering material (each, a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w:t>
      </w:r>
    </w:p>
    <w:p>
      <w:pPr>
        <w:spacing w:after="0" w:line="139" w:lineRule="exact"/>
        <w:rPr>
          <w:sz w:val="20"/>
          <w:szCs w:val="20"/>
          <w:color w:val="auto"/>
        </w:rPr>
      </w:pPr>
    </w:p>
    <w:p>
      <w:pPr>
        <w:jc w:val="both"/>
        <w:ind w:firstLine="1281"/>
        <w:spacing w:after="0" w:line="296" w:lineRule="auto"/>
        <w:rPr>
          <w:sz w:val="20"/>
          <w:szCs w:val="20"/>
          <w:color w:val="auto"/>
        </w:rPr>
      </w:pPr>
      <w:r>
        <w:rPr>
          <w:rFonts w:ascii="Arial" w:cs="Arial" w:eastAsia="Arial" w:hAnsi="Arial"/>
          <w:sz w:val="16"/>
          <w:szCs w:val="16"/>
          <w:color w:val="auto"/>
        </w:rPr>
        <w:t>As counsel to the Company in connection with the proposed issuance and sale of the Securities, we have examined: (i) the Registration Statement, including the Prospectus, and the exhibits (including those incorporated by reference) constituting a part of the Registration Statement; (ii) the Company’s Restated Articles of Incorporation and By-Laws, each as amended to date; (iii) the form of Indenture pursuant to which Debt Securities may be issued (the “</w:t>
      </w:r>
      <w:r>
        <w:rPr>
          <w:rFonts w:ascii="Arial" w:cs="Arial" w:eastAsia="Arial" w:hAnsi="Arial"/>
          <w:sz w:val="16"/>
          <w:szCs w:val="16"/>
          <w:u w:val="single" w:color="auto"/>
          <w:color w:val="auto"/>
        </w:rPr>
        <w:t>Indenture</w:t>
      </w:r>
      <w:r>
        <w:rPr>
          <w:rFonts w:ascii="Arial" w:cs="Arial" w:eastAsia="Arial" w:hAnsi="Arial"/>
          <w:sz w:val="16"/>
          <w:szCs w:val="16"/>
          <w:color w:val="auto"/>
        </w:rPr>
        <w:t>”); and (iv) such other proceedings, documents and records as we have deemed necessary to enable us to render this opinion.</w:t>
      </w:r>
    </w:p>
    <w:p>
      <w:pPr>
        <w:spacing w:after="0" w:line="106" w:lineRule="exact"/>
        <w:rPr>
          <w:sz w:val="20"/>
          <w:szCs w:val="20"/>
          <w:color w:val="auto"/>
        </w:rPr>
      </w:pPr>
    </w:p>
    <w:p>
      <w:pPr>
        <w:jc w:val="both"/>
        <w:ind w:firstLine="1281"/>
        <w:spacing w:after="0" w:line="283" w:lineRule="auto"/>
        <w:rPr>
          <w:sz w:val="20"/>
          <w:szCs w:val="20"/>
          <w:color w:val="auto"/>
        </w:rPr>
      </w:pPr>
      <w:r>
        <w:rPr>
          <w:rFonts w:ascii="Arial" w:cs="Arial" w:eastAsia="Arial" w:hAnsi="Arial"/>
          <w:sz w:val="16"/>
          <w:szCs w:val="16"/>
          <w:color w:val="auto"/>
        </w:rPr>
        <w:t>In our examination of the above-referenced documents, we have assumed, as applicable, the genuineness of all signatures, the authenticity of all documents, certificates and instruments submitted to us as originals and the conformity with the originals of all documents submitted to us as copies. We have also assumed that (i) the Registration Statement, and any amendments thereto (including post-effective amendments), will comply with all applicable laws; (ii) a Prospectus Supplement, if required, will have been prepared and filed with the SEC describing the Securities offered thereby; (iii) all Securities will be issued and sold in compliance with applicable securities laws and in the manner stated in the Registration Statement and any applicable Prospectus Supplement; (iv) the Indenture will have been duly qualified under the Trust Indenture Act of 1939, as amended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and will have been duly authorized, executed and delivered by the Company and the trustee under the Indenture; (v) any supplemental indenture or officer’s certificate setting forth the terms of a series of Debt Securities to be issued under the Indenture (each in proper form), will be duly authorized, executed and delivered by the parties thereto; (vi) a Form T-1 will be filed with the SEC with respect to the trustee executing the Indenture; (vii) a definitive purchase, underwriting or similar agreement with respect to any Securities offered will have been duly authorized and validly executed and delivered by the Company and the other parties thereto; and (vii) with respect to shares of Class A Nonvoting Common Stock offered, there will be sufficient shares of Class A Nonvoting Common Stock authorized under the Company’s Restated Articles of Incorporation, as amended, and not otherwise reserved for issuance.</w:t>
      </w:r>
    </w:p>
    <w:p>
      <w:pPr>
        <w:spacing w:after="0" w:line="1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Based upon and subject to the foregoing, and the other matters set forth herein, we are of the opinion that:</w:t>
      </w:r>
    </w:p>
    <w:p>
      <w:pPr>
        <w:spacing w:after="0" w:line="167" w:lineRule="exact"/>
        <w:rPr>
          <w:sz w:val="20"/>
          <w:szCs w:val="20"/>
          <w:color w:val="auto"/>
        </w:rPr>
      </w:pPr>
    </w:p>
    <w:p>
      <w:pPr>
        <w:ind w:left="1920" w:hanging="632"/>
        <w:spacing w:after="0"/>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requisite action necessary to make any Debt Securities valid, legal and binding obligations of the Company shall have been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taken when:</w:t>
      </w:r>
    </w:p>
    <w:p>
      <w:pPr>
        <w:spacing w:after="0" w:line="154" w:lineRule="exact"/>
        <w:rPr>
          <w:sz w:val="20"/>
          <w:szCs w:val="20"/>
          <w:color w:val="auto"/>
        </w:rPr>
      </w:pPr>
    </w:p>
    <w:p>
      <w:pPr>
        <w:jc w:val="both"/>
        <w:ind w:left="1280" w:firstLine="648"/>
        <w:spacing w:after="0" w:line="258" w:lineRule="auto"/>
        <w:tabs>
          <w:tab w:leader="none" w:pos="25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Board of Directors, or a committee thereof or one or more officers of the Company, in each case duly authorized by the Board of Directors, shall have taken action to establish the terms of such Debt Securities and to authorize the issuance and sale of such Debt Securities;</w:t>
      </w:r>
    </w:p>
    <w:p>
      <w:pPr>
        <w:spacing w:after="0" w:line="133" w:lineRule="exact"/>
        <w:rPr>
          <w:rFonts w:ascii="Arial" w:cs="Arial" w:eastAsia="Arial" w:hAnsi="Arial"/>
          <w:sz w:val="18"/>
          <w:szCs w:val="18"/>
          <w:color w:val="auto"/>
        </w:rPr>
      </w:pPr>
    </w:p>
    <w:p>
      <w:pPr>
        <w:ind w:left="1280" w:firstLine="648"/>
        <w:spacing w:after="0" w:line="270" w:lineRule="auto"/>
        <w:tabs>
          <w:tab w:leader="none" w:pos="25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such Debt Securities and of their issuance and sale have been established in conformity with the Indenture (which shall have been duly qualified under the Trust Indenture Act) so as not</w:t>
      </w:r>
    </w:p>
    <w:p>
      <w:pPr>
        <w:spacing w:after="0" w:line="200" w:lineRule="exact"/>
        <w:rPr>
          <w:sz w:val="20"/>
          <w:szCs w:val="20"/>
          <w:color w:val="auto"/>
        </w:rPr>
      </w:pPr>
    </w:p>
    <w:p>
      <w:pPr>
        <w:spacing w:after="0" w:line="309" w:lineRule="exact"/>
        <w:rPr>
          <w:sz w:val="20"/>
          <w:szCs w:val="20"/>
          <w:color w:val="auto"/>
        </w:rPr>
      </w:pPr>
    </w:p>
    <w:tbl>
      <w:tblPr>
        <w:tblLayout w:type="fixed"/>
        <w:tblInd w:w="480" w:type="dxa"/>
        <w:tblCellMar>
          <w:top w:w="0" w:type="dxa"/>
          <w:left w:w="0" w:type="dxa"/>
          <w:bottom w:w="0" w:type="dxa"/>
          <w:right w:w="0" w:type="dxa"/>
        </w:tblCellMar>
      </w:tblPr>
      <w:tr>
        <w:trPr>
          <w:trHeight w:val="147"/>
        </w:trPr>
        <w:tc>
          <w:tcPr>
            <w:tcW w:w="1320" w:type="dxa"/>
            <w:vAlign w:val="bottom"/>
          </w:tcPr>
          <w:p>
            <w:pPr>
              <w:spacing w:after="0"/>
              <w:rPr>
                <w:sz w:val="20"/>
                <w:szCs w:val="20"/>
                <w:color w:val="auto"/>
              </w:rPr>
            </w:pPr>
            <w:r>
              <w:rPr>
                <w:rFonts w:ascii="Arial" w:cs="Arial" w:eastAsia="Arial" w:hAnsi="Arial"/>
                <w:sz w:val="12"/>
                <w:szCs w:val="12"/>
                <w:color w:val="auto"/>
              </w:rPr>
              <w:t>AUSTIN</w:t>
            </w:r>
          </w:p>
        </w:tc>
        <w:tc>
          <w:tcPr>
            <w:tcW w:w="2240" w:type="dxa"/>
            <w:vAlign w:val="bottom"/>
          </w:tcPr>
          <w:p>
            <w:pPr>
              <w:ind w:left="740"/>
              <w:spacing w:after="0"/>
              <w:rPr>
                <w:sz w:val="20"/>
                <w:szCs w:val="20"/>
                <w:color w:val="auto"/>
              </w:rPr>
            </w:pPr>
            <w:r>
              <w:rPr>
                <w:rFonts w:ascii="Arial" w:cs="Arial" w:eastAsia="Arial" w:hAnsi="Arial"/>
                <w:sz w:val="12"/>
                <w:szCs w:val="12"/>
                <w:color w:val="auto"/>
              </w:rPr>
              <w:t>DETROIT</w:t>
            </w:r>
          </w:p>
        </w:tc>
        <w:tc>
          <w:tcPr>
            <w:tcW w:w="2000" w:type="dxa"/>
            <w:vAlign w:val="bottom"/>
          </w:tcPr>
          <w:p>
            <w:pPr>
              <w:ind w:left="560"/>
              <w:spacing w:after="0"/>
              <w:rPr>
                <w:sz w:val="20"/>
                <w:szCs w:val="20"/>
                <w:color w:val="auto"/>
              </w:rPr>
            </w:pPr>
            <w:r>
              <w:rPr>
                <w:rFonts w:ascii="Arial" w:cs="Arial" w:eastAsia="Arial" w:hAnsi="Arial"/>
                <w:sz w:val="12"/>
                <w:szCs w:val="12"/>
                <w:color w:val="auto"/>
              </w:rPr>
              <w:t>MEXICO CITY</w:t>
            </w:r>
          </w:p>
        </w:tc>
        <w:tc>
          <w:tcPr>
            <w:tcW w:w="2180" w:type="dxa"/>
            <w:vAlign w:val="bottom"/>
          </w:tcPr>
          <w:p>
            <w:pPr>
              <w:ind w:left="640"/>
              <w:spacing w:after="0"/>
              <w:rPr>
                <w:sz w:val="20"/>
                <w:szCs w:val="20"/>
                <w:color w:val="auto"/>
              </w:rPr>
            </w:pPr>
            <w:r>
              <w:rPr>
                <w:rFonts w:ascii="Arial" w:cs="Arial" w:eastAsia="Arial" w:hAnsi="Arial"/>
                <w:sz w:val="12"/>
                <w:szCs w:val="12"/>
                <w:color w:val="auto"/>
              </w:rPr>
              <w:t>SACRAMENTO</w:t>
            </w:r>
          </w:p>
        </w:tc>
        <w:tc>
          <w:tcPr>
            <w:tcW w:w="1700" w:type="dxa"/>
            <w:vAlign w:val="bottom"/>
          </w:tcPr>
          <w:p>
            <w:pPr>
              <w:ind w:left="520"/>
              <w:spacing w:after="0"/>
              <w:rPr>
                <w:sz w:val="20"/>
                <w:szCs w:val="20"/>
                <w:color w:val="auto"/>
              </w:rPr>
            </w:pPr>
            <w:r>
              <w:rPr>
                <w:rFonts w:ascii="Arial" w:cs="Arial" w:eastAsia="Arial" w:hAnsi="Arial"/>
                <w:sz w:val="12"/>
                <w:szCs w:val="12"/>
                <w:color w:val="auto"/>
              </w:rPr>
              <w:t>TALLAHASSEE</w:t>
            </w:r>
          </w:p>
        </w:tc>
      </w:tr>
      <w:tr>
        <w:trPr>
          <w:trHeight w:val="133"/>
        </w:trPr>
        <w:tc>
          <w:tcPr>
            <w:tcW w:w="1320" w:type="dxa"/>
            <w:vAlign w:val="bottom"/>
          </w:tcPr>
          <w:p>
            <w:pPr>
              <w:spacing w:after="0" w:line="134" w:lineRule="exact"/>
              <w:rPr>
                <w:sz w:val="20"/>
                <w:szCs w:val="20"/>
                <w:color w:val="auto"/>
              </w:rPr>
            </w:pPr>
            <w:r>
              <w:rPr>
                <w:rFonts w:ascii="Arial" w:cs="Arial" w:eastAsia="Arial" w:hAnsi="Arial"/>
                <w:sz w:val="12"/>
                <w:szCs w:val="12"/>
                <w:color w:val="auto"/>
              </w:rPr>
              <w:t>BOSTON</w:t>
            </w:r>
          </w:p>
        </w:tc>
        <w:tc>
          <w:tcPr>
            <w:tcW w:w="2240" w:type="dxa"/>
            <w:vAlign w:val="bottom"/>
          </w:tcPr>
          <w:p>
            <w:pPr>
              <w:ind w:left="740"/>
              <w:spacing w:after="0" w:line="134" w:lineRule="exact"/>
              <w:rPr>
                <w:sz w:val="20"/>
                <w:szCs w:val="20"/>
                <w:color w:val="auto"/>
              </w:rPr>
            </w:pPr>
            <w:r>
              <w:rPr>
                <w:rFonts w:ascii="Arial" w:cs="Arial" w:eastAsia="Arial" w:hAnsi="Arial"/>
                <w:sz w:val="12"/>
                <w:szCs w:val="12"/>
                <w:color w:val="auto"/>
              </w:rPr>
              <w:t>HOUSTON</w:t>
            </w:r>
          </w:p>
        </w:tc>
        <w:tc>
          <w:tcPr>
            <w:tcW w:w="2000" w:type="dxa"/>
            <w:vAlign w:val="bottom"/>
          </w:tcPr>
          <w:p>
            <w:pPr>
              <w:ind w:left="560"/>
              <w:spacing w:after="0" w:line="134" w:lineRule="exact"/>
              <w:rPr>
                <w:sz w:val="20"/>
                <w:szCs w:val="20"/>
                <w:color w:val="auto"/>
              </w:rPr>
            </w:pPr>
            <w:r>
              <w:rPr>
                <w:rFonts w:ascii="Arial" w:cs="Arial" w:eastAsia="Arial" w:hAnsi="Arial"/>
                <w:sz w:val="12"/>
                <w:szCs w:val="12"/>
                <w:color w:val="auto"/>
              </w:rPr>
              <w:t>MIAMI</w:t>
            </w:r>
          </w:p>
        </w:tc>
        <w:tc>
          <w:tcPr>
            <w:tcW w:w="2180" w:type="dxa"/>
            <w:vAlign w:val="bottom"/>
          </w:tcPr>
          <w:p>
            <w:pPr>
              <w:ind w:left="640"/>
              <w:spacing w:after="0" w:line="134" w:lineRule="exact"/>
              <w:rPr>
                <w:sz w:val="20"/>
                <w:szCs w:val="20"/>
                <w:color w:val="auto"/>
              </w:rPr>
            </w:pPr>
            <w:r>
              <w:rPr>
                <w:rFonts w:ascii="Arial" w:cs="Arial" w:eastAsia="Arial" w:hAnsi="Arial"/>
                <w:sz w:val="12"/>
                <w:szCs w:val="12"/>
                <w:color w:val="auto"/>
              </w:rPr>
              <w:t>SALT LAKE CITY</w:t>
            </w:r>
          </w:p>
        </w:tc>
        <w:tc>
          <w:tcPr>
            <w:tcW w:w="1700" w:type="dxa"/>
            <w:vAlign w:val="bottom"/>
          </w:tcPr>
          <w:p>
            <w:pPr>
              <w:ind w:left="520"/>
              <w:spacing w:after="0" w:line="134" w:lineRule="exact"/>
              <w:rPr>
                <w:sz w:val="20"/>
                <w:szCs w:val="20"/>
                <w:color w:val="auto"/>
              </w:rPr>
            </w:pPr>
            <w:r>
              <w:rPr>
                <w:rFonts w:ascii="Arial" w:cs="Arial" w:eastAsia="Arial" w:hAnsi="Arial"/>
                <w:sz w:val="12"/>
                <w:szCs w:val="12"/>
                <w:color w:val="auto"/>
              </w:rPr>
              <w:t>TAMPA</w:t>
            </w:r>
          </w:p>
        </w:tc>
      </w:tr>
      <w:tr>
        <w:trPr>
          <w:trHeight w:val="147"/>
        </w:trPr>
        <w:tc>
          <w:tcPr>
            <w:tcW w:w="1320" w:type="dxa"/>
            <w:vAlign w:val="bottom"/>
          </w:tcPr>
          <w:p>
            <w:pPr>
              <w:spacing w:after="0"/>
              <w:rPr>
                <w:sz w:val="20"/>
                <w:szCs w:val="20"/>
                <w:color w:val="auto"/>
              </w:rPr>
            </w:pPr>
            <w:r>
              <w:rPr>
                <w:rFonts w:ascii="Arial" w:cs="Arial" w:eastAsia="Arial" w:hAnsi="Arial"/>
                <w:sz w:val="12"/>
                <w:szCs w:val="12"/>
                <w:color w:val="auto"/>
              </w:rPr>
              <w:t>CHICAGO</w:t>
            </w:r>
          </w:p>
        </w:tc>
        <w:tc>
          <w:tcPr>
            <w:tcW w:w="2240" w:type="dxa"/>
            <w:vAlign w:val="bottom"/>
          </w:tcPr>
          <w:p>
            <w:pPr>
              <w:ind w:left="740"/>
              <w:spacing w:after="0"/>
              <w:rPr>
                <w:sz w:val="20"/>
                <w:szCs w:val="20"/>
                <w:color w:val="auto"/>
              </w:rPr>
            </w:pPr>
            <w:r>
              <w:rPr>
                <w:rFonts w:ascii="Arial" w:cs="Arial" w:eastAsia="Arial" w:hAnsi="Arial"/>
                <w:sz w:val="12"/>
                <w:szCs w:val="12"/>
                <w:color w:val="auto"/>
              </w:rPr>
              <w:t>JACKSONVILLE</w:t>
            </w:r>
          </w:p>
        </w:tc>
        <w:tc>
          <w:tcPr>
            <w:tcW w:w="2000" w:type="dxa"/>
            <w:vAlign w:val="bottom"/>
          </w:tcPr>
          <w:p>
            <w:pPr>
              <w:ind w:left="560"/>
              <w:spacing w:after="0"/>
              <w:rPr>
                <w:sz w:val="20"/>
                <w:szCs w:val="20"/>
                <w:color w:val="auto"/>
              </w:rPr>
            </w:pPr>
            <w:r>
              <w:rPr>
                <w:rFonts w:ascii="Arial" w:cs="Arial" w:eastAsia="Arial" w:hAnsi="Arial"/>
                <w:sz w:val="12"/>
                <w:szCs w:val="12"/>
                <w:color w:val="auto"/>
              </w:rPr>
              <w:t>MILWAUKEE</w:t>
            </w:r>
          </w:p>
        </w:tc>
        <w:tc>
          <w:tcPr>
            <w:tcW w:w="2180" w:type="dxa"/>
            <w:vAlign w:val="bottom"/>
          </w:tcPr>
          <w:p>
            <w:pPr>
              <w:ind w:left="640"/>
              <w:spacing w:after="0"/>
              <w:rPr>
                <w:sz w:val="20"/>
                <w:szCs w:val="20"/>
                <w:color w:val="auto"/>
              </w:rPr>
            </w:pPr>
            <w:r>
              <w:rPr>
                <w:rFonts w:ascii="Arial" w:cs="Arial" w:eastAsia="Arial" w:hAnsi="Arial"/>
                <w:sz w:val="12"/>
                <w:szCs w:val="12"/>
                <w:color w:val="auto"/>
              </w:rPr>
              <w:t>SAN DIEGO</w:t>
            </w:r>
          </w:p>
        </w:tc>
        <w:tc>
          <w:tcPr>
            <w:tcW w:w="1700" w:type="dxa"/>
            <w:vAlign w:val="bottom"/>
          </w:tcPr>
          <w:p>
            <w:pPr>
              <w:ind w:left="520"/>
              <w:spacing w:after="0"/>
              <w:rPr>
                <w:sz w:val="20"/>
                <w:szCs w:val="20"/>
                <w:color w:val="auto"/>
              </w:rPr>
            </w:pPr>
            <w:r>
              <w:rPr>
                <w:rFonts w:ascii="Arial" w:cs="Arial" w:eastAsia="Arial" w:hAnsi="Arial"/>
                <w:sz w:val="12"/>
                <w:szCs w:val="12"/>
                <w:color w:val="auto"/>
              </w:rPr>
              <w:t>WASHINGTON, D.C.</w:t>
            </w:r>
          </w:p>
        </w:tc>
      </w:tr>
      <w:tr>
        <w:trPr>
          <w:trHeight w:val="133"/>
        </w:trPr>
        <w:tc>
          <w:tcPr>
            <w:tcW w:w="1320" w:type="dxa"/>
            <w:vAlign w:val="bottom"/>
          </w:tcPr>
          <w:p>
            <w:pPr>
              <w:spacing w:after="0" w:line="134" w:lineRule="exact"/>
              <w:rPr>
                <w:sz w:val="20"/>
                <w:szCs w:val="20"/>
                <w:color w:val="auto"/>
              </w:rPr>
            </w:pPr>
            <w:r>
              <w:rPr>
                <w:rFonts w:ascii="Arial" w:cs="Arial" w:eastAsia="Arial" w:hAnsi="Arial"/>
                <w:sz w:val="12"/>
                <w:szCs w:val="12"/>
                <w:color w:val="auto"/>
              </w:rPr>
              <w:t>DALLAS</w:t>
            </w:r>
          </w:p>
        </w:tc>
        <w:tc>
          <w:tcPr>
            <w:tcW w:w="2240" w:type="dxa"/>
            <w:vAlign w:val="bottom"/>
          </w:tcPr>
          <w:p>
            <w:pPr>
              <w:ind w:left="740"/>
              <w:spacing w:after="0" w:line="134" w:lineRule="exact"/>
              <w:rPr>
                <w:sz w:val="20"/>
                <w:szCs w:val="20"/>
                <w:color w:val="auto"/>
              </w:rPr>
            </w:pPr>
            <w:r>
              <w:rPr>
                <w:rFonts w:ascii="Arial" w:cs="Arial" w:eastAsia="Arial" w:hAnsi="Arial"/>
                <w:sz w:val="12"/>
                <w:szCs w:val="12"/>
                <w:color w:val="auto"/>
              </w:rPr>
              <w:t>LOS ANGELES</w:t>
            </w:r>
          </w:p>
        </w:tc>
        <w:tc>
          <w:tcPr>
            <w:tcW w:w="2000" w:type="dxa"/>
            <w:vAlign w:val="bottom"/>
          </w:tcPr>
          <w:p>
            <w:pPr>
              <w:ind w:left="560"/>
              <w:spacing w:after="0" w:line="134" w:lineRule="exact"/>
              <w:rPr>
                <w:sz w:val="20"/>
                <w:szCs w:val="20"/>
                <w:color w:val="auto"/>
              </w:rPr>
            </w:pPr>
            <w:r>
              <w:rPr>
                <w:rFonts w:ascii="Arial" w:cs="Arial" w:eastAsia="Arial" w:hAnsi="Arial"/>
                <w:sz w:val="12"/>
                <w:szCs w:val="12"/>
                <w:color w:val="auto"/>
              </w:rPr>
              <w:t>NEW YORK</w:t>
            </w:r>
          </w:p>
        </w:tc>
        <w:tc>
          <w:tcPr>
            <w:tcW w:w="2180" w:type="dxa"/>
            <w:vAlign w:val="bottom"/>
          </w:tcPr>
          <w:p>
            <w:pPr>
              <w:ind w:left="640"/>
              <w:spacing w:after="0" w:line="134" w:lineRule="exact"/>
              <w:rPr>
                <w:sz w:val="20"/>
                <w:szCs w:val="20"/>
                <w:color w:val="auto"/>
              </w:rPr>
            </w:pPr>
            <w:r>
              <w:rPr>
                <w:rFonts w:ascii="Arial" w:cs="Arial" w:eastAsia="Arial" w:hAnsi="Arial"/>
                <w:sz w:val="12"/>
                <w:szCs w:val="12"/>
                <w:color w:val="auto"/>
              </w:rPr>
              <w:t>SAN FRANCISCO</w:t>
            </w:r>
          </w:p>
        </w:tc>
        <w:tc>
          <w:tcPr>
            <w:tcW w:w="1700" w:type="dxa"/>
            <w:vAlign w:val="bottom"/>
          </w:tcPr>
          <w:p>
            <w:pPr>
              <w:ind w:left="520"/>
              <w:spacing w:after="0" w:line="134" w:lineRule="exact"/>
              <w:rPr>
                <w:sz w:val="20"/>
                <w:szCs w:val="20"/>
                <w:color w:val="auto"/>
              </w:rPr>
            </w:pPr>
            <w:r>
              <w:rPr>
                <w:rFonts w:ascii="Arial" w:cs="Arial" w:eastAsia="Arial" w:hAnsi="Arial"/>
                <w:sz w:val="12"/>
                <w:szCs w:val="12"/>
                <w:color w:val="auto"/>
              </w:rPr>
              <w:t>BRUSSELS</w:t>
            </w:r>
          </w:p>
        </w:tc>
      </w:tr>
      <w:tr>
        <w:trPr>
          <w:trHeight w:val="157"/>
        </w:trPr>
        <w:tc>
          <w:tcPr>
            <w:tcW w:w="1320" w:type="dxa"/>
            <w:vAlign w:val="bottom"/>
          </w:tcPr>
          <w:p>
            <w:pPr>
              <w:spacing w:after="0"/>
              <w:rPr>
                <w:sz w:val="20"/>
                <w:szCs w:val="20"/>
                <w:color w:val="auto"/>
              </w:rPr>
            </w:pPr>
            <w:r>
              <w:rPr>
                <w:rFonts w:ascii="Arial" w:cs="Arial" w:eastAsia="Arial" w:hAnsi="Arial"/>
                <w:sz w:val="12"/>
                <w:szCs w:val="12"/>
                <w:color w:val="auto"/>
              </w:rPr>
              <w:t>DENVER</w:t>
            </w:r>
          </w:p>
        </w:tc>
        <w:tc>
          <w:tcPr>
            <w:tcW w:w="2240" w:type="dxa"/>
            <w:vAlign w:val="bottom"/>
          </w:tcPr>
          <w:p>
            <w:pPr>
              <w:ind w:left="740"/>
              <w:spacing w:after="0"/>
              <w:rPr>
                <w:sz w:val="20"/>
                <w:szCs w:val="20"/>
                <w:color w:val="auto"/>
              </w:rPr>
            </w:pPr>
            <w:r>
              <w:rPr>
                <w:rFonts w:ascii="Arial" w:cs="Arial" w:eastAsia="Arial" w:hAnsi="Arial"/>
                <w:sz w:val="12"/>
                <w:szCs w:val="12"/>
                <w:color w:val="auto"/>
              </w:rPr>
              <w:t>MADISON</w:t>
            </w:r>
          </w:p>
        </w:tc>
        <w:tc>
          <w:tcPr>
            <w:tcW w:w="2000" w:type="dxa"/>
            <w:vAlign w:val="bottom"/>
          </w:tcPr>
          <w:p>
            <w:pPr>
              <w:ind w:left="560"/>
              <w:spacing w:after="0"/>
              <w:rPr>
                <w:sz w:val="20"/>
                <w:szCs w:val="20"/>
                <w:color w:val="auto"/>
              </w:rPr>
            </w:pPr>
            <w:r>
              <w:rPr>
                <w:rFonts w:ascii="Arial" w:cs="Arial" w:eastAsia="Arial" w:hAnsi="Arial"/>
                <w:sz w:val="12"/>
                <w:szCs w:val="12"/>
                <w:color w:val="auto"/>
              </w:rPr>
              <w:t>ORLANDO</w:t>
            </w:r>
          </w:p>
        </w:tc>
        <w:tc>
          <w:tcPr>
            <w:tcW w:w="2180" w:type="dxa"/>
            <w:vAlign w:val="bottom"/>
          </w:tcPr>
          <w:p>
            <w:pPr>
              <w:ind w:left="640"/>
              <w:spacing w:after="0"/>
              <w:rPr>
                <w:sz w:val="20"/>
                <w:szCs w:val="20"/>
                <w:color w:val="auto"/>
              </w:rPr>
            </w:pPr>
            <w:r>
              <w:rPr>
                <w:rFonts w:ascii="Arial" w:cs="Arial" w:eastAsia="Arial" w:hAnsi="Arial"/>
                <w:sz w:val="12"/>
                <w:szCs w:val="12"/>
                <w:color w:val="auto"/>
              </w:rPr>
              <w:t>SILICON VALLEY</w:t>
            </w:r>
          </w:p>
        </w:tc>
        <w:tc>
          <w:tcPr>
            <w:tcW w:w="1700" w:type="dxa"/>
            <w:vAlign w:val="bottom"/>
          </w:tcPr>
          <w:p>
            <w:pPr>
              <w:ind w:left="520"/>
              <w:spacing w:after="0"/>
              <w:rPr>
                <w:sz w:val="20"/>
                <w:szCs w:val="20"/>
                <w:color w:val="auto"/>
              </w:rPr>
            </w:pPr>
            <w:r>
              <w:rPr>
                <w:rFonts w:ascii="Arial" w:cs="Arial" w:eastAsia="Arial" w:hAnsi="Arial"/>
                <w:sz w:val="12"/>
                <w:szCs w:val="12"/>
                <w:color w:val="auto"/>
              </w:rPr>
              <w:t>TOKYO</w:t>
            </w: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702560" cy="643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02560" cy="643890"/>
                    </a:xfrm>
                    <a:prstGeom prst="rect">
                      <a:avLst/>
                    </a:prstGeom>
                    <a:noFill/>
                  </pic:spPr>
                </pic:pic>
              </a:graphicData>
            </a:graphic>
          </wp:anchor>
        </w:drawing>
        <w:t>Brady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80"/>
        <w:spacing w:after="0" w:line="333" w:lineRule="auto"/>
        <w:rPr>
          <w:sz w:val="20"/>
          <w:szCs w:val="20"/>
          <w:color w:val="auto"/>
        </w:rPr>
      </w:pPr>
      <w:r>
        <w:rPr>
          <w:rFonts w:ascii="Arial" w:cs="Arial" w:eastAsia="Arial" w:hAnsi="Arial"/>
          <w:sz w:val="16"/>
          <w:szCs w:val="16"/>
          <w:color w:val="auto"/>
        </w:rPr>
        <w:t>to violate any applicable law or result in a default under or breach of any agreement or instrument binding upon the Company and so as to comply with any requirements or restrictions imposed by any court or governmental entity having jurisdiction over the Company;</w:t>
      </w:r>
    </w:p>
    <w:p>
      <w:pPr>
        <w:spacing w:after="0" w:line="77" w:lineRule="exact"/>
        <w:rPr>
          <w:sz w:val="20"/>
          <w:szCs w:val="20"/>
          <w:color w:val="auto"/>
        </w:rPr>
      </w:pPr>
    </w:p>
    <w:p>
      <w:pPr>
        <w:ind w:left="1280" w:firstLine="648"/>
        <w:spacing w:after="0" w:line="270" w:lineRule="auto"/>
        <w:tabs>
          <w:tab w:leader="none" w:pos="25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Debt Securities shall have been duly executed, authenticated and delivered in accordance with the terms and provisions of the Indenture; and</w:t>
      </w:r>
    </w:p>
    <w:p>
      <w:pPr>
        <w:spacing w:after="0" w:line="121" w:lineRule="exact"/>
        <w:rPr>
          <w:rFonts w:ascii="Arial" w:cs="Arial" w:eastAsia="Arial" w:hAnsi="Arial"/>
          <w:sz w:val="18"/>
          <w:szCs w:val="18"/>
          <w:color w:val="auto"/>
        </w:rPr>
      </w:pPr>
    </w:p>
    <w:p>
      <w:pPr>
        <w:jc w:val="both"/>
        <w:ind w:left="1280" w:firstLine="648"/>
        <w:spacing w:after="0" w:line="258" w:lineRule="auto"/>
        <w:tabs>
          <w:tab w:leader="none" w:pos="25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Debt Securities shall have been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33" w:lineRule="exact"/>
        <w:rPr>
          <w:rFonts w:ascii="Arial" w:cs="Arial" w:eastAsia="Arial" w:hAnsi="Arial"/>
          <w:sz w:val="18"/>
          <w:szCs w:val="18"/>
          <w:color w:val="auto"/>
        </w:rPr>
      </w:pPr>
    </w:p>
    <w:p>
      <w:pPr>
        <w:ind w:firstLine="1288"/>
        <w:spacing w:after="0" w:line="270" w:lineRule="auto"/>
        <w:tabs>
          <w:tab w:leader="none" w:pos="19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requisite action necessary to make any shares of Class A Nonvoting Common Stock validly issued, fully paid and nonassessable will have been taken when:</w:t>
      </w:r>
    </w:p>
    <w:p>
      <w:pPr>
        <w:spacing w:after="0" w:line="121" w:lineRule="exact"/>
        <w:rPr>
          <w:rFonts w:ascii="Arial" w:cs="Arial" w:eastAsia="Arial" w:hAnsi="Arial"/>
          <w:sz w:val="18"/>
          <w:szCs w:val="18"/>
          <w:color w:val="auto"/>
        </w:rPr>
      </w:pPr>
    </w:p>
    <w:p>
      <w:pPr>
        <w:ind w:left="1280" w:firstLine="648"/>
        <w:spacing w:after="0" w:line="270" w:lineRule="auto"/>
        <w:tabs>
          <w:tab w:leader="none" w:pos="25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Company’s Board of Directors, or a committee thereof, duly authorized by the Board of Directors, shall have adopted appropriate resolutions to authorize the issuance and sale of the Class A Nonvoting Common Stock; and</w:t>
      </w:r>
    </w:p>
    <w:p>
      <w:pPr>
        <w:spacing w:after="0" w:line="121" w:lineRule="exact"/>
        <w:rPr>
          <w:rFonts w:ascii="Arial" w:cs="Arial" w:eastAsia="Arial" w:hAnsi="Arial"/>
          <w:sz w:val="18"/>
          <w:szCs w:val="18"/>
          <w:color w:val="auto"/>
        </w:rPr>
      </w:pPr>
    </w:p>
    <w:p>
      <w:pPr>
        <w:jc w:val="both"/>
        <w:ind w:left="1280" w:firstLine="648"/>
        <w:spacing w:after="0" w:line="258" w:lineRule="auto"/>
        <w:tabs>
          <w:tab w:leader="none" w:pos="25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shares of Class A Nonvoting Common Stock shall have been issued and sold for the consideration contemplated by, and otherwise in conformity with, the Registration Statement, as supplemented by a Prospectus Supplement with respect to such issuance and sale, and the acts, proceedings and documents referred to above.</w:t>
      </w:r>
    </w:p>
    <w:p>
      <w:pPr>
        <w:spacing w:after="0" w:line="133"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The opinions set forth in paragraphs 1 above are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37"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We are qualified to practice law in the States of Wisconsin and New York and we do not purport to be experts on the law other than that of the States of Wisconsin and New York and the federal laws of the United States of America. We express no opinion as to the laws of any jurisdiction other than the States of Wisconsin and New York and the federal laws of the United States.</w:t>
      </w:r>
    </w:p>
    <w:p>
      <w:pPr>
        <w:spacing w:after="0" w:line="133" w:lineRule="exact"/>
        <w:rPr>
          <w:sz w:val="20"/>
          <w:szCs w:val="20"/>
          <w:color w:val="auto"/>
        </w:rPr>
      </w:pPr>
    </w:p>
    <w:p>
      <w:pPr>
        <w:jc w:val="both"/>
        <w:ind w:firstLine="1281"/>
        <w:spacing w:after="0" w:line="306" w:lineRule="auto"/>
        <w:rPr>
          <w:sz w:val="20"/>
          <w:szCs w:val="20"/>
          <w:color w:val="auto"/>
        </w:rPr>
      </w:pPr>
      <w:r>
        <w:rPr>
          <w:rFonts w:ascii="Arial" w:cs="Arial" w:eastAsia="Arial" w:hAnsi="Arial"/>
          <w:sz w:val="16"/>
          <w:szCs w:val="16"/>
          <w:color w:val="auto"/>
        </w:rPr>
        <w:t>We hereby consent to the reference to our firm under the caption “Legal Matters” in the Prospectus which is filed as part of the Registration Statement, and to the filing of this opinion as an exhibit to the Registration Statement. In giving this consent, we do not admit that we are “experts” within the meaning of Section 11 of the Securities Act or within the category of persons whose consent is required by Section 7 of the Securities Act.</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 FOLEY &amp; LARDNER LLP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1320" w:type="dxa"/>
            <w:vAlign w:val="bottom"/>
          </w:tcPr>
          <w:p>
            <w:pPr>
              <w:spacing w:after="0"/>
              <w:rPr>
                <w:sz w:val="20"/>
                <w:szCs w:val="20"/>
                <w:color w:val="auto"/>
              </w:rPr>
            </w:pPr>
            <w:r>
              <w:rPr>
                <w:rFonts w:ascii="Arial" w:cs="Arial" w:eastAsia="Arial" w:hAnsi="Arial"/>
                <w:sz w:val="12"/>
                <w:szCs w:val="12"/>
                <w:color w:val="auto"/>
              </w:rPr>
              <w:t>AUSTIN</w:t>
            </w:r>
          </w:p>
        </w:tc>
        <w:tc>
          <w:tcPr>
            <w:tcW w:w="2240" w:type="dxa"/>
            <w:vAlign w:val="bottom"/>
          </w:tcPr>
          <w:p>
            <w:pPr>
              <w:ind w:left="740"/>
              <w:spacing w:after="0"/>
              <w:rPr>
                <w:sz w:val="20"/>
                <w:szCs w:val="20"/>
                <w:color w:val="auto"/>
              </w:rPr>
            </w:pPr>
            <w:r>
              <w:rPr>
                <w:rFonts w:ascii="Arial" w:cs="Arial" w:eastAsia="Arial" w:hAnsi="Arial"/>
                <w:sz w:val="12"/>
                <w:szCs w:val="12"/>
                <w:color w:val="auto"/>
              </w:rPr>
              <w:t>DETROIT</w:t>
            </w:r>
          </w:p>
        </w:tc>
        <w:tc>
          <w:tcPr>
            <w:tcW w:w="2000" w:type="dxa"/>
            <w:vAlign w:val="bottom"/>
          </w:tcPr>
          <w:p>
            <w:pPr>
              <w:ind w:left="560"/>
              <w:spacing w:after="0"/>
              <w:rPr>
                <w:sz w:val="20"/>
                <w:szCs w:val="20"/>
                <w:color w:val="auto"/>
              </w:rPr>
            </w:pPr>
            <w:r>
              <w:rPr>
                <w:rFonts w:ascii="Arial" w:cs="Arial" w:eastAsia="Arial" w:hAnsi="Arial"/>
                <w:sz w:val="12"/>
                <w:szCs w:val="12"/>
                <w:color w:val="auto"/>
              </w:rPr>
              <w:t>MEXICO CITY</w:t>
            </w:r>
          </w:p>
        </w:tc>
        <w:tc>
          <w:tcPr>
            <w:tcW w:w="2180" w:type="dxa"/>
            <w:vAlign w:val="bottom"/>
          </w:tcPr>
          <w:p>
            <w:pPr>
              <w:ind w:left="640"/>
              <w:spacing w:after="0"/>
              <w:rPr>
                <w:sz w:val="20"/>
                <w:szCs w:val="20"/>
                <w:color w:val="auto"/>
              </w:rPr>
            </w:pPr>
            <w:r>
              <w:rPr>
                <w:rFonts w:ascii="Arial" w:cs="Arial" w:eastAsia="Arial" w:hAnsi="Arial"/>
                <w:sz w:val="12"/>
                <w:szCs w:val="12"/>
                <w:color w:val="auto"/>
              </w:rPr>
              <w:t>SACRAMENTO</w:t>
            </w:r>
          </w:p>
        </w:tc>
        <w:tc>
          <w:tcPr>
            <w:tcW w:w="1700" w:type="dxa"/>
            <w:vAlign w:val="bottom"/>
          </w:tcPr>
          <w:p>
            <w:pPr>
              <w:ind w:left="520"/>
              <w:spacing w:after="0"/>
              <w:rPr>
                <w:sz w:val="20"/>
                <w:szCs w:val="20"/>
                <w:color w:val="auto"/>
              </w:rPr>
            </w:pPr>
            <w:r>
              <w:rPr>
                <w:rFonts w:ascii="Arial" w:cs="Arial" w:eastAsia="Arial" w:hAnsi="Arial"/>
                <w:sz w:val="12"/>
                <w:szCs w:val="12"/>
                <w:color w:val="auto"/>
              </w:rPr>
              <w:t>TALLAHASSEE</w:t>
            </w:r>
          </w:p>
        </w:tc>
      </w:tr>
      <w:tr>
        <w:trPr>
          <w:trHeight w:val="147"/>
        </w:trPr>
        <w:tc>
          <w:tcPr>
            <w:tcW w:w="1320" w:type="dxa"/>
            <w:vAlign w:val="bottom"/>
          </w:tcPr>
          <w:p>
            <w:pPr>
              <w:spacing w:after="0"/>
              <w:rPr>
                <w:sz w:val="20"/>
                <w:szCs w:val="20"/>
                <w:color w:val="auto"/>
              </w:rPr>
            </w:pPr>
            <w:r>
              <w:rPr>
                <w:rFonts w:ascii="Arial" w:cs="Arial" w:eastAsia="Arial" w:hAnsi="Arial"/>
                <w:sz w:val="12"/>
                <w:szCs w:val="12"/>
                <w:color w:val="auto"/>
              </w:rPr>
              <w:t>BOSTON</w:t>
            </w:r>
          </w:p>
        </w:tc>
        <w:tc>
          <w:tcPr>
            <w:tcW w:w="2240" w:type="dxa"/>
            <w:vAlign w:val="bottom"/>
          </w:tcPr>
          <w:p>
            <w:pPr>
              <w:ind w:left="740"/>
              <w:spacing w:after="0"/>
              <w:rPr>
                <w:sz w:val="20"/>
                <w:szCs w:val="20"/>
                <w:color w:val="auto"/>
              </w:rPr>
            </w:pPr>
            <w:r>
              <w:rPr>
                <w:rFonts w:ascii="Arial" w:cs="Arial" w:eastAsia="Arial" w:hAnsi="Arial"/>
                <w:sz w:val="12"/>
                <w:szCs w:val="12"/>
                <w:color w:val="auto"/>
              </w:rPr>
              <w:t>HOUSTON</w:t>
            </w:r>
          </w:p>
        </w:tc>
        <w:tc>
          <w:tcPr>
            <w:tcW w:w="2000" w:type="dxa"/>
            <w:vAlign w:val="bottom"/>
          </w:tcPr>
          <w:p>
            <w:pPr>
              <w:ind w:left="560"/>
              <w:spacing w:after="0"/>
              <w:rPr>
                <w:sz w:val="20"/>
                <w:szCs w:val="20"/>
                <w:color w:val="auto"/>
              </w:rPr>
            </w:pPr>
            <w:r>
              <w:rPr>
                <w:rFonts w:ascii="Arial" w:cs="Arial" w:eastAsia="Arial" w:hAnsi="Arial"/>
                <w:sz w:val="12"/>
                <w:szCs w:val="12"/>
                <w:color w:val="auto"/>
              </w:rPr>
              <w:t>MIAMI</w:t>
            </w:r>
          </w:p>
        </w:tc>
        <w:tc>
          <w:tcPr>
            <w:tcW w:w="2180" w:type="dxa"/>
            <w:vAlign w:val="bottom"/>
          </w:tcPr>
          <w:p>
            <w:pPr>
              <w:ind w:left="640"/>
              <w:spacing w:after="0"/>
              <w:rPr>
                <w:sz w:val="20"/>
                <w:szCs w:val="20"/>
                <w:color w:val="auto"/>
              </w:rPr>
            </w:pPr>
            <w:r>
              <w:rPr>
                <w:rFonts w:ascii="Arial" w:cs="Arial" w:eastAsia="Arial" w:hAnsi="Arial"/>
                <w:sz w:val="12"/>
                <w:szCs w:val="12"/>
                <w:color w:val="auto"/>
              </w:rPr>
              <w:t>SALT LAKE CITY</w:t>
            </w:r>
          </w:p>
        </w:tc>
        <w:tc>
          <w:tcPr>
            <w:tcW w:w="1700" w:type="dxa"/>
            <w:vAlign w:val="bottom"/>
          </w:tcPr>
          <w:p>
            <w:pPr>
              <w:ind w:left="520"/>
              <w:spacing w:after="0"/>
              <w:rPr>
                <w:sz w:val="20"/>
                <w:szCs w:val="20"/>
                <w:color w:val="auto"/>
              </w:rPr>
            </w:pPr>
            <w:r>
              <w:rPr>
                <w:rFonts w:ascii="Arial" w:cs="Arial" w:eastAsia="Arial" w:hAnsi="Arial"/>
                <w:sz w:val="12"/>
                <w:szCs w:val="12"/>
                <w:color w:val="auto"/>
              </w:rPr>
              <w:t>TAMPA</w:t>
            </w:r>
          </w:p>
        </w:tc>
      </w:tr>
      <w:tr>
        <w:trPr>
          <w:trHeight w:val="133"/>
        </w:trPr>
        <w:tc>
          <w:tcPr>
            <w:tcW w:w="1320" w:type="dxa"/>
            <w:vAlign w:val="bottom"/>
          </w:tcPr>
          <w:p>
            <w:pPr>
              <w:spacing w:after="0" w:line="134" w:lineRule="exact"/>
              <w:rPr>
                <w:sz w:val="20"/>
                <w:szCs w:val="20"/>
                <w:color w:val="auto"/>
              </w:rPr>
            </w:pPr>
            <w:r>
              <w:rPr>
                <w:rFonts w:ascii="Arial" w:cs="Arial" w:eastAsia="Arial" w:hAnsi="Arial"/>
                <w:sz w:val="12"/>
                <w:szCs w:val="12"/>
                <w:color w:val="auto"/>
              </w:rPr>
              <w:t>CHICAGO</w:t>
            </w:r>
          </w:p>
        </w:tc>
        <w:tc>
          <w:tcPr>
            <w:tcW w:w="2240" w:type="dxa"/>
            <w:vAlign w:val="bottom"/>
          </w:tcPr>
          <w:p>
            <w:pPr>
              <w:ind w:left="740"/>
              <w:spacing w:after="0" w:line="134" w:lineRule="exact"/>
              <w:rPr>
                <w:sz w:val="20"/>
                <w:szCs w:val="20"/>
                <w:color w:val="auto"/>
              </w:rPr>
            </w:pPr>
            <w:r>
              <w:rPr>
                <w:rFonts w:ascii="Arial" w:cs="Arial" w:eastAsia="Arial" w:hAnsi="Arial"/>
                <w:sz w:val="12"/>
                <w:szCs w:val="12"/>
                <w:color w:val="auto"/>
              </w:rPr>
              <w:t>JACKSONVILLE</w:t>
            </w:r>
          </w:p>
        </w:tc>
        <w:tc>
          <w:tcPr>
            <w:tcW w:w="2000" w:type="dxa"/>
            <w:vAlign w:val="bottom"/>
          </w:tcPr>
          <w:p>
            <w:pPr>
              <w:ind w:left="560"/>
              <w:spacing w:after="0" w:line="134" w:lineRule="exact"/>
              <w:rPr>
                <w:sz w:val="20"/>
                <w:szCs w:val="20"/>
                <w:color w:val="auto"/>
              </w:rPr>
            </w:pPr>
            <w:r>
              <w:rPr>
                <w:rFonts w:ascii="Arial" w:cs="Arial" w:eastAsia="Arial" w:hAnsi="Arial"/>
                <w:sz w:val="12"/>
                <w:szCs w:val="12"/>
                <w:color w:val="auto"/>
              </w:rPr>
              <w:t>MILWAUKEE</w:t>
            </w:r>
          </w:p>
        </w:tc>
        <w:tc>
          <w:tcPr>
            <w:tcW w:w="2180" w:type="dxa"/>
            <w:vAlign w:val="bottom"/>
          </w:tcPr>
          <w:p>
            <w:pPr>
              <w:ind w:left="640"/>
              <w:spacing w:after="0" w:line="134" w:lineRule="exact"/>
              <w:rPr>
                <w:sz w:val="20"/>
                <w:szCs w:val="20"/>
                <w:color w:val="auto"/>
              </w:rPr>
            </w:pPr>
            <w:r>
              <w:rPr>
                <w:rFonts w:ascii="Arial" w:cs="Arial" w:eastAsia="Arial" w:hAnsi="Arial"/>
                <w:sz w:val="12"/>
                <w:szCs w:val="12"/>
                <w:color w:val="auto"/>
              </w:rPr>
              <w:t>SAN DIEGO</w:t>
            </w:r>
          </w:p>
        </w:tc>
        <w:tc>
          <w:tcPr>
            <w:tcW w:w="1700" w:type="dxa"/>
            <w:vAlign w:val="bottom"/>
          </w:tcPr>
          <w:p>
            <w:pPr>
              <w:ind w:left="520"/>
              <w:spacing w:after="0" w:line="134" w:lineRule="exact"/>
              <w:rPr>
                <w:sz w:val="20"/>
                <w:szCs w:val="20"/>
                <w:color w:val="auto"/>
              </w:rPr>
            </w:pPr>
            <w:r>
              <w:rPr>
                <w:rFonts w:ascii="Arial" w:cs="Arial" w:eastAsia="Arial" w:hAnsi="Arial"/>
                <w:sz w:val="12"/>
                <w:szCs w:val="12"/>
                <w:color w:val="auto"/>
              </w:rPr>
              <w:t>WASHINGTON, D.C.</w:t>
            </w:r>
          </w:p>
        </w:tc>
      </w:tr>
      <w:tr>
        <w:trPr>
          <w:trHeight w:val="147"/>
        </w:trPr>
        <w:tc>
          <w:tcPr>
            <w:tcW w:w="1320" w:type="dxa"/>
            <w:vAlign w:val="bottom"/>
          </w:tcPr>
          <w:p>
            <w:pPr>
              <w:spacing w:after="0"/>
              <w:rPr>
                <w:sz w:val="20"/>
                <w:szCs w:val="20"/>
                <w:color w:val="auto"/>
              </w:rPr>
            </w:pPr>
            <w:r>
              <w:rPr>
                <w:rFonts w:ascii="Arial" w:cs="Arial" w:eastAsia="Arial" w:hAnsi="Arial"/>
                <w:sz w:val="12"/>
                <w:szCs w:val="12"/>
                <w:color w:val="auto"/>
              </w:rPr>
              <w:t>DALLAS</w:t>
            </w:r>
          </w:p>
        </w:tc>
        <w:tc>
          <w:tcPr>
            <w:tcW w:w="2240" w:type="dxa"/>
            <w:vAlign w:val="bottom"/>
          </w:tcPr>
          <w:p>
            <w:pPr>
              <w:ind w:left="740"/>
              <w:spacing w:after="0"/>
              <w:rPr>
                <w:sz w:val="20"/>
                <w:szCs w:val="20"/>
                <w:color w:val="auto"/>
              </w:rPr>
            </w:pPr>
            <w:r>
              <w:rPr>
                <w:rFonts w:ascii="Arial" w:cs="Arial" w:eastAsia="Arial" w:hAnsi="Arial"/>
                <w:sz w:val="12"/>
                <w:szCs w:val="12"/>
                <w:color w:val="auto"/>
              </w:rPr>
              <w:t>LOS ANGELES</w:t>
            </w:r>
          </w:p>
        </w:tc>
        <w:tc>
          <w:tcPr>
            <w:tcW w:w="2000" w:type="dxa"/>
            <w:vAlign w:val="bottom"/>
          </w:tcPr>
          <w:p>
            <w:pPr>
              <w:ind w:left="560"/>
              <w:spacing w:after="0"/>
              <w:rPr>
                <w:sz w:val="20"/>
                <w:szCs w:val="20"/>
                <w:color w:val="auto"/>
              </w:rPr>
            </w:pPr>
            <w:r>
              <w:rPr>
                <w:rFonts w:ascii="Arial" w:cs="Arial" w:eastAsia="Arial" w:hAnsi="Arial"/>
                <w:sz w:val="12"/>
                <w:szCs w:val="12"/>
                <w:color w:val="auto"/>
              </w:rPr>
              <w:t>NEW YORK</w:t>
            </w:r>
          </w:p>
        </w:tc>
        <w:tc>
          <w:tcPr>
            <w:tcW w:w="2180" w:type="dxa"/>
            <w:vAlign w:val="bottom"/>
          </w:tcPr>
          <w:p>
            <w:pPr>
              <w:ind w:left="640"/>
              <w:spacing w:after="0"/>
              <w:rPr>
                <w:sz w:val="20"/>
                <w:szCs w:val="20"/>
                <w:color w:val="auto"/>
              </w:rPr>
            </w:pPr>
            <w:r>
              <w:rPr>
                <w:rFonts w:ascii="Arial" w:cs="Arial" w:eastAsia="Arial" w:hAnsi="Arial"/>
                <w:sz w:val="12"/>
                <w:szCs w:val="12"/>
                <w:color w:val="auto"/>
              </w:rPr>
              <w:t>SAN FRANCISCO</w:t>
            </w:r>
          </w:p>
        </w:tc>
        <w:tc>
          <w:tcPr>
            <w:tcW w:w="1700" w:type="dxa"/>
            <w:vAlign w:val="bottom"/>
          </w:tcPr>
          <w:p>
            <w:pPr>
              <w:ind w:left="520"/>
              <w:spacing w:after="0"/>
              <w:rPr>
                <w:sz w:val="20"/>
                <w:szCs w:val="20"/>
                <w:color w:val="auto"/>
              </w:rPr>
            </w:pPr>
            <w:r>
              <w:rPr>
                <w:rFonts w:ascii="Arial" w:cs="Arial" w:eastAsia="Arial" w:hAnsi="Arial"/>
                <w:sz w:val="12"/>
                <w:szCs w:val="12"/>
                <w:color w:val="auto"/>
              </w:rPr>
              <w:t>BRUSSELS</w:t>
            </w:r>
          </w:p>
        </w:tc>
      </w:tr>
      <w:tr>
        <w:trPr>
          <w:trHeight w:val="157"/>
        </w:trPr>
        <w:tc>
          <w:tcPr>
            <w:tcW w:w="1320" w:type="dxa"/>
            <w:vAlign w:val="bottom"/>
          </w:tcPr>
          <w:p>
            <w:pPr>
              <w:spacing w:after="0"/>
              <w:rPr>
                <w:sz w:val="20"/>
                <w:szCs w:val="20"/>
                <w:color w:val="auto"/>
              </w:rPr>
            </w:pPr>
            <w:r>
              <w:rPr>
                <w:rFonts w:ascii="Arial" w:cs="Arial" w:eastAsia="Arial" w:hAnsi="Arial"/>
                <w:sz w:val="12"/>
                <w:szCs w:val="12"/>
                <w:color w:val="auto"/>
              </w:rPr>
              <w:t>DENVER</w:t>
            </w:r>
          </w:p>
        </w:tc>
        <w:tc>
          <w:tcPr>
            <w:tcW w:w="2240" w:type="dxa"/>
            <w:vAlign w:val="bottom"/>
          </w:tcPr>
          <w:p>
            <w:pPr>
              <w:ind w:left="740"/>
              <w:spacing w:after="0"/>
              <w:rPr>
                <w:sz w:val="20"/>
                <w:szCs w:val="20"/>
                <w:color w:val="auto"/>
              </w:rPr>
            </w:pPr>
            <w:r>
              <w:rPr>
                <w:rFonts w:ascii="Arial" w:cs="Arial" w:eastAsia="Arial" w:hAnsi="Arial"/>
                <w:sz w:val="12"/>
                <w:szCs w:val="12"/>
                <w:color w:val="auto"/>
              </w:rPr>
              <w:t>MADISON</w:t>
            </w:r>
          </w:p>
        </w:tc>
        <w:tc>
          <w:tcPr>
            <w:tcW w:w="2000" w:type="dxa"/>
            <w:vAlign w:val="bottom"/>
          </w:tcPr>
          <w:p>
            <w:pPr>
              <w:ind w:left="560"/>
              <w:spacing w:after="0"/>
              <w:rPr>
                <w:sz w:val="20"/>
                <w:szCs w:val="20"/>
                <w:color w:val="auto"/>
              </w:rPr>
            </w:pPr>
            <w:r>
              <w:rPr>
                <w:rFonts w:ascii="Arial" w:cs="Arial" w:eastAsia="Arial" w:hAnsi="Arial"/>
                <w:sz w:val="12"/>
                <w:szCs w:val="12"/>
                <w:color w:val="auto"/>
              </w:rPr>
              <w:t>ORLANDO</w:t>
            </w:r>
          </w:p>
        </w:tc>
        <w:tc>
          <w:tcPr>
            <w:tcW w:w="2180" w:type="dxa"/>
            <w:vAlign w:val="bottom"/>
          </w:tcPr>
          <w:p>
            <w:pPr>
              <w:ind w:left="640"/>
              <w:spacing w:after="0"/>
              <w:rPr>
                <w:sz w:val="20"/>
                <w:szCs w:val="20"/>
                <w:color w:val="auto"/>
              </w:rPr>
            </w:pPr>
            <w:r>
              <w:rPr>
                <w:rFonts w:ascii="Arial" w:cs="Arial" w:eastAsia="Arial" w:hAnsi="Arial"/>
                <w:sz w:val="12"/>
                <w:szCs w:val="12"/>
                <w:color w:val="auto"/>
              </w:rPr>
              <w:t>SILICON VALLEY</w:t>
            </w:r>
          </w:p>
        </w:tc>
        <w:tc>
          <w:tcPr>
            <w:tcW w:w="1700" w:type="dxa"/>
            <w:vAlign w:val="bottom"/>
          </w:tcPr>
          <w:p>
            <w:pPr>
              <w:ind w:left="520"/>
              <w:spacing w:after="0"/>
              <w:rPr>
                <w:sz w:val="20"/>
                <w:szCs w:val="20"/>
                <w:color w:val="auto"/>
              </w:rPr>
            </w:pPr>
            <w:r>
              <w:rPr>
                <w:rFonts w:ascii="Arial" w:cs="Arial" w:eastAsia="Arial" w:hAnsi="Arial"/>
                <w:sz w:val="12"/>
                <w:szCs w:val="12"/>
                <w:color w:val="auto"/>
              </w:rPr>
              <w:t>TOKYO</w:t>
            </w:r>
          </w:p>
        </w:tc>
      </w:tr>
    </w:tbl>
    <w:p>
      <w:pPr>
        <w:sectPr>
          <w:pgSz w:w="11900" w:h="16838" w:orient="portrait"/>
          <w:cols w:equalWidth="0" w:num="1">
            <w:col w:w="11240"/>
          </w:cols>
          <w:pgMar w:left="320" w:top="1233"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September 5, 2023, relating to the consolidated financial statements of Brady Corporation, and the effectiveness of Brady Corporation’s internal control over financial reporting, appearing in the Annual Report on Form 10-K of Brady Corporation for the year ended July 31, 2023. We also consent to the reference to us under the heading “Experts” in such Registration Statement.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lvl w:ilvl="1">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decimal"/>
      <w:start w:val="2"/>
    </w:lvl>
    <w:lvl w:ilvl="1">
      <w:lvlJc w:val="left"/>
      <w:lvlText w:val="(%2)"/>
      <w:numFmt w:val="lowerRoman"/>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3"/>
    </w:lvl>
  </w:abstractNum>
  <w:abstractNum w:abstractNumId="25">
    <w:nsid w:val="B03E0C6"/>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14" Type="http://schemas.openxmlformats.org/officeDocument/2006/relationships/hyperlink" Target="https://www.sec.gov/ix?doc=/Archives/edgar/data/0000746598/000074659823000058/brc-20230731.htm" TargetMode="External"/><Relationship Id="rId15" Type="http://schemas.openxmlformats.org/officeDocument/2006/relationships/hyperlink" Target="https://www.sec.gov/Archives/edgar/data/746598/0000950124-99-002800-index.html" TargetMode="External"/><Relationship Id="rId20" Type="http://schemas.openxmlformats.org/officeDocument/2006/relationships/hyperlink" Target="https://www.sec.gov/Archives/edgar/data/746598/000074659820000095/exhibit31bylawsasamend.htm" TargetMode="External"/><Relationship Id="rId21" Type="http://schemas.openxmlformats.org/officeDocument/2006/relationships/hyperlink" Target="http://www.sec.gov/Archives/edgar/data/746598/000119312511282182/d24692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2023-09-05T11:31:43Z</dcterms:created>
  <dcterms:modified xsi:type="dcterms:W3CDTF">2023-09-05T11:31:43Z</dcterms:modified>
</cp:coreProperties>
</file>