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-220345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190500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700" w:right="420" w:hanging="665"/>
        <w:spacing w:after="0" w:line="262"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2017</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00" w:right="420" w:hanging="665"/>
        <w:spacing w:after="0" w:line="262"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3500"/>
        <w:spacing w:after="0"/>
        <w:tabs>
          <w:tab w:leader="none" w:pos="6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-297815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97"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6900" w:type="dxa"/>
            <w:vAlign w:val="bottom"/>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78"/>
        </w:trPr>
        <w:tc>
          <w:tcPr>
            <w:tcW w:w="6900" w:type="dxa"/>
            <w:vAlign w:val="bottom"/>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900" w:type="dxa"/>
            <w:vAlign w:val="bottom"/>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8"/>
        </w:trPr>
        <w:tc>
          <w:tcPr>
            <w:tcW w:w="6900" w:type="dxa"/>
            <w:vAlign w:val="bottom"/>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6555 West Good Hope Road, Milwaukee, Wisconsin</w:t>
            </w:r>
          </w:p>
        </w:tc>
        <w:tc>
          <w:tcPr>
            <w:tcW w:w="1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53223</w:t>
            </w:r>
          </w:p>
        </w:tc>
      </w:tr>
      <w:tr>
        <w:trPr>
          <w:trHeight w:val="220"/>
        </w:trPr>
        <w:tc>
          <w:tcPr>
            <w:tcW w:w="6900" w:type="dxa"/>
            <w:vAlign w:val="bottom"/>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900" w:type="dxa"/>
            <w:vAlign w:val="bottom"/>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(414) 358-6600</w:t>
            </w:r>
          </w:p>
        </w:tc>
        <w:tc>
          <w:tcPr>
            <w:tcW w:w="1340" w:type="dxa"/>
            <w:vAlign w:val="bottom"/>
          </w:tcPr>
          <w:p>
            <w:pPr>
              <w:spacing w:after="0"/>
              <w:rPr>
                <w:sz w:val="24"/>
                <w:szCs w:val="24"/>
                <w:color w:val="auto"/>
              </w:rPr>
            </w:pPr>
          </w:p>
        </w:tc>
      </w:tr>
      <w:tr>
        <w:trPr>
          <w:trHeight w:val="193"/>
        </w:trPr>
        <w:tc>
          <w:tcPr>
            <w:tcW w:w="6900" w:type="dxa"/>
            <w:vAlign w:val="bottom"/>
          </w:tcPr>
          <w:p>
            <w:pPr>
              <w:jc w:val="center"/>
              <w:ind w:left="3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177800</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3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139" w:lineRule="exact"/>
        <w:rPr>
          <w:sz w:val="24"/>
          <w:szCs w:val="24"/>
          <w:color w:val="auto"/>
        </w:rPr>
      </w:pPr>
    </w:p>
    <w:p>
      <w:pPr>
        <w:ind w:left="40"/>
        <w:spacing w:after="0" w:line="161" w:lineRule="exact"/>
        <w:tabs>
          <w:tab w:leader="none" w:pos="2520" w:val="left"/>
          <w:tab w:leader="none" w:pos="3680" w:val="left"/>
          <w:tab w:leader="none" w:pos="6400" w:val="left"/>
          <w:tab w:leader="none" w:pos="75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p>
    <w:p>
      <w:pPr>
        <w:spacing w:after="0" w:line="109" w:lineRule="exact"/>
        <w:rPr>
          <w:sz w:val="24"/>
          <w:szCs w:val="24"/>
          <w:color w:val="auto"/>
        </w:rPr>
      </w:pPr>
    </w:p>
    <w:p>
      <w:pPr>
        <w:ind w:left="40"/>
        <w:spacing w:after="0" w:line="161" w:lineRule="exact"/>
        <w:tabs>
          <w:tab w:leader="none" w:pos="2520" w:val="left"/>
          <w:tab w:leader="none" w:pos="3680" w:val="left"/>
          <w:tab w:leader="none" w:pos="640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78" w:lineRule="exact"/>
        <w:rPr>
          <w:sz w:val="24"/>
          <w:szCs w:val="24"/>
          <w:color w:val="auto"/>
        </w:rPr>
      </w:pPr>
    </w:p>
    <w:p>
      <w:pPr>
        <w:ind w:left="40"/>
        <w:spacing w:after="0" w:line="26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57"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3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APPLICABLE ONLY TO CORPORATE ISSUERS</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6" w:lineRule="exact"/>
        <w:rPr>
          <w:sz w:val="24"/>
          <w:szCs w:val="24"/>
          <w:color w:val="auto"/>
        </w:rPr>
      </w:pPr>
    </w:p>
    <w:p>
      <w:pPr>
        <w:sectPr>
          <w:pgSz w:w="11900" w:h="16838" w:orient="portrait"/>
          <w:cols w:equalWidth="0" w:num="2">
            <w:col w:w="9880" w:space="400"/>
            <w:col w:w="1140"/>
          </w:cols>
          <w:pgMar w:left="240" w:top="225" w:right="2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4"/>
          <w:szCs w:val="14"/>
          <w:color w:val="auto"/>
        </w:rPr>
        <w:t>As of May 23, 2017, there were 47,758,478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FORM 10-Q</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60" w:type="dxa"/>
            <w:vAlign w:val="bottom"/>
            <w:gridSpan w:val="4"/>
          </w:tcPr>
          <w:p>
            <w:pPr>
              <w:jc w:val="center"/>
              <w:ind w:right="2900"/>
              <w:spacing w:after="0"/>
              <w:rPr>
                <w:sz w:val="20"/>
                <w:szCs w:val="20"/>
                <w:color w:val="auto"/>
              </w:rPr>
            </w:pPr>
            <w:r>
              <w:rPr>
                <w:rFonts w:ascii="Times New Roman" w:cs="Times New Roman" w:eastAsia="Times New Roman" w:hAnsi="Times New Roman"/>
                <w:sz w:val="18"/>
                <w:szCs w:val="18"/>
                <w:color w:val="auto"/>
                <w:w w:val="99"/>
              </w:rPr>
              <w:t>BRADY CORPORATION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gridSpan w:val="2"/>
          </w:tcPr>
          <w:p>
            <w:pPr>
              <w:jc w:val="center"/>
              <w:ind w:right="3580"/>
              <w:spacing w:after="0"/>
              <w:rPr>
                <w:sz w:val="20"/>
                <w:szCs w:val="20"/>
                <w:color w:val="auto"/>
              </w:rPr>
            </w:pPr>
            <w:r>
              <w:rPr>
                <w:rFonts w:ascii="Times New Roman" w:cs="Times New Roman" w:eastAsia="Times New Roman" w:hAnsi="Times New Roman"/>
                <w:sz w:val="18"/>
                <w:szCs w:val="18"/>
                <w:color w:val="auto"/>
                <w:w w:val="99"/>
              </w:rPr>
              <w:t>INDEX</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color w:val="auto"/>
              </w:rPr>
              <w:t>Page</w:t>
            </w:r>
          </w:p>
        </w:tc>
      </w:tr>
      <w:tr>
        <w:trPr>
          <w:trHeight w:val="196"/>
        </w:trPr>
        <w:tc>
          <w:tcPr>
            <w:tcW w:w="2460" w:type="dxa"/>
            <w:vAlign w:val="bottom"/>
            <w:tcBorders>
              <w:bottom w:val="single" w:sz="8" w:color="0000EE"/>
            </w:tcBorders>
            <w:gridSpan w:val="8"/>
          </w:tcPr>
          <w:p>
            <w:pPr>
              <w:spacing w:after="0" w:line="170"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PART I. Financial Information</w:t>
              </w:r>
            </w:hyperlink>
          </w:p>
        </w:tc>
        <w:tc>
          <w:tcPr>
            <w:tcW w:w="7440" w:type="dxa"/>
            <w:vAlign w:val="bottom"/>
            <w:gridSpan w:val="9"/>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3</w:t>
              </w:r>
            </w:hyperlink>
          </w:p>
        </w:tc>
        <w:tc>
          <w:tcPr>
            <w:tcW w:w="20" w:type="dxa"/>
            <w:vAlign w:val="bottom"/>
          </w:tcPr>
          <w:p>
            <w:pPr>
              <w:spacing w:after="0"/>
              <w:rPr>
                <w:sz w:val="17"/>
                <w:szCs w:val="17"/>
                <w:color w:val="auto"/>
              </w:rPr>
            </w:pPr>
          </w:p>
        </w:tc>
      </w:tr>
      <w:tr>
        <w:trPr>
          <w:trHeight w:val="257"/>
        </w:trPr>
        <w:tc>
          <w:tcPr>
            <w:tcW w:w="140" w:type="dxa"/>
            <w:vAlign w:val="bottom"/>
          </w:tcPr>
          <w:p>
            <w:pPr>
              <w:spacing w:after="0"/>
              <w:rPr>
                <w:sz w:val="22"/>
                <w:szCs w:val="22"/>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Earnings</w:t>
              </w:r>
            </w:hyperlink>
          </w:p>
        </w:tc>
        <w:tc>
          <w:tcPr>
            <w:tcW w:w="604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w:t>
              </w:r>
            </w:hyperlink>
          </w:p>
        </w:tc>
        <w:tc>
          <w:tcPr>
            <w:tcW w:w="4960" w:type="dxa"/>
            <w:vAlign w:val="bottom"/>
            <w:gridSpan w:val="3"/>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7</w:t>
              </w:r>
            </w:hyperlink>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Item 2.</w:t>
              </w:r>
            </w:hyperlink>
          </w:p>
        </w:tc>
        <w:tc>
          <w:tcPr>
            <w:tcW w:w="9240" w:type="dxa"/>
            <w:vAlign w:val="bottom"/>
            <w:gridSpan w:val="14"/>
          </w:tcPr>
          <w:p>
            <w:pPr>
              <w:ind w:lef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Results of Operations and Financial Condition</w:t>
              </w:r>
            </w:hyperlink>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18</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3.</w:t>
              </w:r>
            </w:hyperlink>
          </w:p>
        </w:tc>
        <w:tc>
          <w:tcPr>
            <w:tcW w:w="6480" w:type="dxa"/>
            <w:vAlign w:val="bottom"/>
            <w:gridSpan w:val="13"/>
          </w:tcPr>
          <w:p>
            <w:pPr>
              <w:ind w:lef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Quantitative and Qualitative Disclosures About Market Risk</w:t>
              </w:r>
            </w:hyperlink>
          </w:p>
        </w:tc>
        <w:tc>
          <w:tcPr>
            <w:tcW w:w="2760" w:type="dxa"/>
            <w:vAlign w:val="bottom"/>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Item 4.</w:t>
              </w:r>
            </w:hyperlink>
          </w:p>
        </w:tc>
        <w:tc>
          <w:tcPr>
            <w:tcW w:w="1800" w:type="dxa"/>
            <w:vAlign w:val="bottom"/>
            <w:gridSpan w:val="5"/>
          </w:tcPr>
          <w:p>
            <w:pPr>
              <w:ind w:left="20"/>
              <w:spacing w:after="0"/>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Controls and Procedures</w:t>
              </w:r>
            </w:hyperlink>
          </w:p>
        </w:tc>
        <w:tc>
          <w:tcPr>
            <w:tcW w:w="2580" w:type="dxa"/>
            <w:vAlign w:val="bottom"/>
            <w:gridSpan w:val="7"/>
          </w:tcPr>
          <w:p>
            <w:pPr>
              <w:spacing w:after="0"/>
              <w:rPr>
                <w:sz w:val="21"/>
                <w:szCs w:val="21"/>
                <w:color w:val="auto"/>
              </w:rPr>
            </w:pPr>
          </w:p>
        </w:tc>
        <w:tc>
          <w:tcPr>
            <w:tcW w:w="48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26</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00" w:type="dxa"/>
            <w:vAlign w:val="bottom"/>
            <w:gridSpan w:val="6"/>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PART II. Other Information</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90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Item 6.</w:t>
              </w:r>
            </w:hyperlink>
          </w:p>
        </w:tc>
        <w:tc>
          <w:tcPr>
            <w:tcW w:w="1340" w:type="dxa"/>
            <w:vAlign w:val="bottom"/>
            <w:gridSpan w:val="3"/>
          </w:tcPr>
          <w:p>
            <w:pPr>
              <w:ind w:left="20"/>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790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7">
              <w:r>
                <w:rPr>
                  <w:rFonts w:ascii="Times New Roman" w:cs="Times New Roman" w:eastAsia="Times New Roman" w:hAnsi="Times New Roman"/>
                  <w:sz w:val="18"/>
                  <w:szCs w:val="18"/>
                  <w:color w:val="0000FF"/>
                </w:rPr>
                <w:t>27</w:t>
              </w:r>
            </w:hyperlink>
          </w:p>
        </w:tc>
      </w:tr>
      <w:tr>
        <w:trPr>
          <w:trHeight w:val="20"/>
        </w:trPr>
        <w:tc>
          <w:tcPr>
            <w:tcW w:w="1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140" w:type="dxa"/>
            <w:vAlign w:val="bottom"/>
            <w:gridSpan w:val="4"/>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Signatures</w:t>
              </w:r>
            </w:hyperlink>
          </w:p>
        </w:tc>
        <w:tc>
          <w:tcPr>
            <w:tcW w:w="862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28</w:t>
              </w:r>
            </w:hyperlink>
          </w:p>
        </w:tc>
      </w:tr>
      <w:tr>
        <w:trPr>
          <w:trHeight w:val="507"/>
        </w:trPr>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2"/>
          </w:tcPr>
          <w:p>
            <w:pPr>
              <w:jc w:val="center"/>
              <w:ind w:left="3230"/>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5"/>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 FINANCIAL STATEMENTS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5"/>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Dollars in Thousands, Unaudited)</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April 30, 2017</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July 31, 2016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1020" w:type="dxa"/>
            <w:vAlign w:val="bottom"/>
            <w:shd w:val="clear" w:color="auto" w:fill="CCEEFF"/>
          </w:tcPr>
          <w:p>
            <w:pPr>
              <w:spacing w:after="0"/>
              <w:rPr>
                <w:sz w:val="17"/>
                <w:szCs w:val="17"/>
                <w:color w:val="auto"/>
              </w:rPr>
            </w:pPr>
          </w:p>
        </w:tc>
        <w:tc>
          <w:tcPr>
            <w:tcW w:w="7100" w:type="dxa"/>
            <w:vAlign w:val="bottom"/>
            <w:shd w:val="clear" w:color="auto" w:fill="CCEEFF"/>
          </w:tcPr>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1020" w:type="dxa"/>
            <w:vAlign w:val="bottom"/>
            <w:shd w:val="clear" w:color="auto" w:fill="CCEEFF"/>
          </w:tcPr>
          <w:p>
            <w:pPr>
              <w:spacing w:after="0"/>
              <w:rPr>
                <w:sz w:val="5"/>
                <w:szCs w:val="5"/>
                <w:color w:val="auto"/>
              </w:rPr>
            </w:pPr>
          </w:p>
        </w:tc>
        <w:tc>
          <w:tcPr>
            <w:tcW w:w="7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141,228</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Accounts receivable—net</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145,755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147,333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64,313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Work-in-process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16,678</w:t>
            </w: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19,126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18,436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97,477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99,427</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19,436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392,652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407,424</w:t>
            </w: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429,871</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59,806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27,238</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17,181</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Cost:</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5,809</w:t>
            </w: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95,662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95,355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256,549</w:t>
            </w:r>
          </w:p>
        </w:tc>
      </w:tr>
      <w:tr>
        <w:trPr>
          <w:trHeight w:val="23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2,842</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spacing w:after="0"/>
              <w:rPr>
                <w:sz w:val="20"/>
                <w:szCs w:val="20"/>
                <w:color w:val="auto"/>
              </w:rPr>
            </w:pPr>
          </w:p>
        </w:tc>
        <w:tc>
          <w:tcPr>
            <w:tcW w:w="7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364,760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360,555</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268,586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258,111</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Property, plant and equipment—net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102,444</w:t>
            </w:r>
          </w:p>
        </w:tc>
      </w:tr>
      <w:tr>
        <w:trPr>
          <w:trHeight w:val="21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1,013,248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1,043,964</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INVESTMENT</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Notes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4,928</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60,144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62,245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Wages and amounts withheld from employees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45,998</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7,403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6,136</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40,017</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158,132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166,727</w:t>
            </w:r>
          </w:p>
        </w:tc>
      </w:tr>
      <w:tr>
        <w:trPr>
          <w:trHeight w:val="23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Long-term obligations, less current maturities</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133,894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211,982</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57,159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61,657</w:t>
            </w:r>
          </w:p>
        </w:tc>
      </w:tr>
      <w:tr>
        <w:trPr>
          <w:trHeight w:val="217"/>
        </w:trPr>
        <w:tc>
          <w:tcPr>
            <w:tcW w:w="8120" w:type="dxa"/>
            <w:vAlign w:val="bottom"/>
            <w:gridSpan w:val="2"/>
          </w:tcPr>
          <w:p>
            <w:pPr>
              <w:ind w:left="7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349,185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440,366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Stockholders’ investment: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16"/>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Class A nonvoting common stock—Issued 51,261,487 and 51,261,487 shares, respectively and outstanding</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47,738,671 and 46,920,974 shares, respectively</w:t>
            </w:r>
          </w:p>
        </w:tc>
        <w:tc>
          <w:tcPr>
            <w:tcW w:w="2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Class B voting common stock—Issued and outstanding, 3,538,628 shares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321,936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317,001</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Earnings retained in the business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492,411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453,371</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Treasury stock—3,522,816 and 4,340,513 shares, respectively of Class A nonvoting common stock, at cost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(108,714)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(54,745)</w:t>
            </w: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stockholders’ investment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664,063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603,598</w:t>
            </w:r>
          </w:p>
        </w:tc>
      </w:tr>
      <w:tr>
        <w:trPr>
          <w:trHeight w:val="217"/>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1,013,248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1,043,964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420"/>
          </w:cols>
          <w:pgMar w:left="240" w:top="114" w:right="239" w:bottom="104" w:gutter="0" w:footer="0" w:header="0"/>
        </w:sect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4" w:right="239" w:bottom="10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3"/>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1"/>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EARNINGS</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 Except Per Share Amounts, Unaudited)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24"/>
                <w:szCs w:val="24"/>
                <w:color w:val="auto"/>
              </w:rPr>
            </w:pPr>
          </w:p>
        </w:tc>
        <w:tc>
          <w:tcPr>
            <w:tcW w:w="25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275,927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286,816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824,104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838,519</w:t>
            </w: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Cost of products sold</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141,373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409,679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420,835</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139,909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145,443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414,425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417,684</w:t>
            </w: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26,531</w:t>
            </w: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98,409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105,794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291,128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306,678</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319,705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333,209</w:t>
            </w:r>
          </w:p>
        </w:tc>
      </w:tr>
      <w:tr>
        <w:trPr>
          <w:trHeight w:val="21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31,550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30,784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94,720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84,475</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r>
      <w:tr>
        <w:trPr>
          <w:trHeight w:val="21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30,628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29,667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90,715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77,326</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22,352</w:t>
            </w: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22,553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20,981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70,403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54,974</w:t>
            </w: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Class A Nonvoting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Class B Voting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Dividends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0.21</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0.59</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51,227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50,602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52,201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50,505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51,882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50,747</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5440"/>
        <w:spacing w:after="0" w:line="275"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COMPREHENSIVE INCOME </w:t>
      </w:r>
      <w:r>
        <w:rPr>
          <w:rFonts w:ascii="Times New Roman" w:cs="Times New Roman" w:eastAsia="Times New Roman" w:hAnsi="Times New Roman"/>
          <w:sz w:val="16"/>
          <w:szCs w:val="16"/>
          <w:color w:val="auto"/>
        </w:rPr>
        <w:t>(Dollars in Thousands, 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60" w:type="dxa"/>
            <w:vAlign w:val="bottom"/>
          </w:tcPr>
          <w:p>
            <w:pPr>
              <w:spacing w:after="0"/>
              <w:rPr>
                <w:sz w:val="18"/>
                <w:szCs w:val="18"/>
                <w:color w:val="auto"/>
              </w:rPr>
            </w:pPr>
          </w:p>
        </w:tc>
        <w:tc>
          <w:tcPr>
            <w:tcW w:w="254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20,981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70,403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54,974</w:t>
            </w:r>
          </w:p>
        </w:tc>
      </w:tr>
      <w:tr>
        <w:trPr>
          <w:trHeight w:val="22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10,943</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investment hedge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Long-term intercompany loan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(6,141)</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gain (loss) recognized in other comprehensive loss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7"/>
        </w:trPr>
        <w:tc>
          <w:tcPr>
            <w:tcW w:w="56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932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(loss) gain recognized in other comprehensive loss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Actuarial gain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37"/>
        </w:trPr>
        <w:tc>
          <w:tcPr>
            <w:tcW w:w="5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Prior service credit amortization</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97"/>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18,674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2,187</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2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478</w:t>
            </w:r>
          </w:p>
        </w:tc>
      </w:tr>
      <w:tr>
        <w:trPr>
          <w:trHeight w:val="33"/>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2,665</w:t>
            </w:r>
          </w:p>
        </w:tc>
      </w:tr>
      <w:tr>
        <w:trPr>
          <w:trHeight w:val="21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27,428</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40,968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61,809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57,639</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BRADY CORPORATION AND SUBSIDIARIES</w:t>
      </w:r>
    </w:p>
    <w:p>
      <w:pPr>
        <w:spacing w:after="0" w:line="25" w:lineRule="exact"/>
        <w:rPr>
          <w:sz w:val="20"/>
          <w:szCs w:val="20"/>
          <w:color w:val="auto"/>
        </w:rPr>
      </w:pPr>
    </w:p>
    <w:p>
      <w:pPr>
        <w:ind w:right="274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CONDENSED CONSOLIDATED STATEMENTS OF CASH FLOWS </w:t>
      </w:r>
      <w:r>
        <w:rPr>
          <w:rFonts w:ascii="Times New Roman" w:cs="Times New Roman" w:eastAsia="Times New Roman" w:hAnsi="Times New Roman"/>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Stock-based compensation expense</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Inventories</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Accounts payable and other liabilities</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Investing activities: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Payment of dividends</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Purchases of treasury stock</w:t>
      </w:r>
    </w:p>
    <w:p>
      <w:pPr>
        <w:spacing w:after="0" w:line="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(Repayments) proceeds from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Principal payments on debt</w:t>
      </w:r>
    </w:p>
    <w:p>
      <w:pPr>
        <w:spacing w:after="0" w:line="8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Income tax on equity-based compensation, and other</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70,403</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54,974</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20,789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24,896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6,247</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3,169</w:t>
            </w:r>
          </w:p>
        </w:tc>
      </w:tr>
    </w:tbl>
    <w:p>
      <w:pPr>
        <w:spacing w:after="0" w:line="330" w:lineRule="exact"/>
        <w:rPr>
          <w:sz w:val="20"/>
          <w:szCs w:val="20"/>
          <w:color w:val="auto"/>
        </w:rPr>
      </w:pPr>
    </w:p>
    <w:p>
      <w:pPr>
        <w:ind w:left="2600" w:hanging="1519"/>
        <w:spacing w:after="0"/>
        <w:tabs>
          <w:tab w:leader="none" w:pos="2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4,679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4,556</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70"/>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3,432</w:t>
            </w:r>
          </w:p>
        </w:tc>
      </w:tr>
      <w:tr>
        <w:trPr>
          <w:trHeight w:val="270"/>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(3,270)</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91,162</w:t>
            </w:r>
          </w:p>
        </w:tc>
        <w:tc>
          <w:tcPr>
            <w:tcW w:w="12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98,550</w:t>
            </w:r>
          </w:p>
        </w:tc>
      </w:tr>
      <w:tr>
        <w:trPr>
          <w:trHeight w:val="824"/>
        </w:trPr>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(7,468)</w:t>
            </w:r>
          </w:p>
        </w:tc>
      </w:tr>
    </w:tbl>
    <w:p>
      <w:pPr>
        <w:spacing w:after="0" w:line="60" w:lineRule="exact"/>
        <w:rPr>
          <w:sz w:val="20"/>
          <w:szCs w:val="20"/>
          <w:color w:val="auto"/>
        </w:rPr>
      </w:pPr>
    </w:p>
    <w:p>
      <w:pPr>
        <w:ind w:left="2600" w:hanging="1384"/>
        <w:spacing w:after="0"/>
        <w:tabs>
          <w:tab w:leader="none" w:pos="2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1,987</w:t>
      </w:r>
    </w:p>
    <w:p>
      <w:pPr>
        <w:spacing w:after="0" w:line="8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(10,818)</w:t>
      </w:r>
      <w:r>
        <w:rPr>
          <w:rFonts w:ascii="Times New Roman" w:cs="Times New Roman" w:eastAsia="Times New Roman" w:hAnsi="Times New Roman"/>
          <w:sz w:val="15"/>
          <w:szCs w:val="15"/>
          <w:color w:val="auto"/>
        </w:rPr>
        <w:t>(5,481)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8"/>
              </w:rPr>
              <w:t>(31,362)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(30,603)</w:t>
            </w:r>
          </w:p>
        </w:tc>
      </w:tr>
      <w:tr>
        <w:trPr>
          <w:trHeight w:val="270"/>
        </w:trPr>
        <w:tc>
          <w:tcPr>
            <w:tcW w:w="108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18,674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r>
    </w:tbl>
    <w:p>
      <w:pPr>
        <w:spacing w:after="0" w:line="4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(23,552)</w:t>
      </w:r>
    </w:p>
    <w:p>
      <w:pPr>
        <w:spacing w:after="0" w:line="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(60,415)28,819</w:t>
      </w:r>
    </w:p>
    <w:p>
      <w:pPr>
        <w:spacing w:after="0" w:line="86" w:lineRule="exact"/>
        <w:rPr>
          <w:sz w:val="20"/>
          <w:szCs w:val="20"/>
          <w:color w:val="auto"/>
        </w:rPr>
      </w:pPr>
    </w:p>
    <w:p>
      <w:pPr>
        <w:jc w:val="both"/>
        <w:ind w:left="880"/>
        <w:spacing w:after="0"/>
        <w:tabs>
          <w:tab w:leader="none" w:pos="2460" w:val="left"/>
        </w:tabs>
        <w:rPr>
          <w:sz w:val="20"/>
          <w:szCs w:val="20"/>
          <w:color w:val="auto"/>
        </w:rPr>
      </w:pPr>
      <w:r>
        <w:rPr>
          <w:rFonts w:ascii="Times New Roman" w:cs="Times New Roman" w:eastAsia="Times New Roman" w:hAnsi="Times New Roman"/>
          <w:sz w:val="16"/>
          <w:szCs w:val="16"/>
          <w:color w:val="auto"/>
        </w:rPr>
        <w:t>(16,371)</w:t>
      </w:r>
      <w:r>
        <w:rPr>
          <w:sz w:val="20"/>
          <w:szCs w:val="20"/>
          <w:color w:val="auto"/>
        </w:rPr>
        <w:tab/>
      </w:r>
      <w:r>
        <w:rPr>
          <w:rFonts w:ascii="Times New Roman" w:cs="Times New Roman" w:eastAsia="Times New Roman" w:hAnsi="Times New Roman"/>
          <w:sz w:val="16"/>
          <w:szCs w:val="16"/>
          <w:color w:val="auto"/>
        </w:rPr>
        <w:t>(42,514)</w:t>
      </w:r>
    </w:p>
    <w:p>
      <w:pPr>
        <w:spacing w:after="0" w:line="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(803)</w:t>
      </w:r>
    </w:p>
    <w:p>
      <w:pPr>
        <w:spacing w:after="0" w:line="86" w:lineRule="exact"/>
        <w:rPr>
          <w:sz w:val="20"/>
          <w:szCs w:val="20"/>
          <w:color w:val="auto"/>
        </w:rPr>
      </w:pPr>
    </w:p>
    <w:p>
      <w:pPr>
        <w:ind w:left="2560" w:hanging="1479"/>
        <w:spacing w:after="0"/>
        <w:tabs>
          <w:tab w:leader="none" w:pos="2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p>
      <w:pPr>
        <w:jc w:val="both"/>
        <w:ind w:left="880"/>
        <w:spacing w:after="0"/>
        <w:tabs>
          <w:tab w:leader="none" w:pos="2460" w:val="left"/>
        </w:tabs>
        <w:rPr>
          <w:sz w:val="20"/>
          <w:szCs w:val="20"/>
          <w:color w:val="auto"/>
        </w:rPr>
      </w:pPr>
      <w:r>
        <w:rPr>
          <w:rFonts w:ascii="Times New Roman" w:cs="Times New Roman" w:eastAsia="Times New Roman" w:hAnsi="Times New Roman"/>
          <w:sz w:val="16"/>
          <w:szCs w:val="16"/>
          <w:color w:val="auto"/>
        </w:rPr>
        <w:t>(89,986)</w:t>
      </w:r>
      <w:r>
        <w:rPr>
          <w:sz w:val="20"/>
          <w:szCs w:val="20"/>
          <w:color w:val="auto"/>
        </w:rPr>
        <w:tab/>
      </w:r>
      <w:r>
        <w:rPr>
          <w:rFonts w:ascii="Times New Roman" w:cs="Times New Roman" w:eastAsia="Times New Roman" w:hAnsi="Times New Roman"/>
          <w:sz w:val="16"/>
          <w:szCs w:val="16"/>
          <w:color w:val="auto"/>
        </w:rPr>
        <w:t>(69,228)</w:t>
      </w:r>
    </w:p>
    <w:p>
      <w:pPr>
        <w:spacing w:after="0" w:line="370"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16"/>
          <w:szCs w:val="16"/>
          <w:color w:val="auto"/>
        </w:rPr>
        <w:t>(2,509)</w:t>
      </w:r>
      <w:r>
        <w:rPr>
          <w:sz w:val="20"/>
          <w:szCs w:val="20"/>
          <w:color w:val="auto"/>
        </w:rPr>
        <w:tab/>
      </w:r>
      <w:r>
        <w:rPr>
          <w:rFonts w:ascii="Times New Roman" w:cs="Times New Roman" w:eastAsia="Times New Roman" w:hAnsi="Times New Roman"/>
          <w:sz w:val="16"/>
          <w:szCs w:val="16"/>
          <w:color w:val="auto"/>
        </w:rPr>
        <w:t>3,263</w:t>
      </w:r>
    </w:p>
    <w:p>
      <w:pPr>
        <w:spacing w:after="0" w:line="370" w:lineRule="exact"/>
        <w:rPr>
          <w:sz w:val="20"/>
          <w:szCs w:val="20"/>
          <w:color w:val="auto"/>
        </w:rPr>
      </w:pPr>
    </w:p>
    <w:p>
      <w:pPr>
        <w:ind w:left="880"/>
        <w:spacing w:after="0"/>
        <w:tabs>
          <w:tab w:leader="none" w:pos="2500" w:val="left"/>
        </w:tabs>
        <w:rPr>
          <w:sz w:val="20"/>
          <w:szCs w:val="20"/>
          <w:color w:val="auto"/>
        </w:rPr>
      </w:pPr>
      <w:r>
        <w:rPr>
          <w:rFonts w:ascii="Times New Roman" w:cs="Times New Roman" w:eastAsia="Times New Roman" w:hAnsi="Times New Roman"/>
          <w:sz w:val="16"/>
          <w:szCs w:val="16"/>
          <w:color w:val="auto"/>
        </w:rPr>
        <w:t>(12,151)</w:t>
      </w:r>
      <w:r>
        <w:rPr>
          <w:sz w:val="20"/>
          <w:szCs w:val="20"/>
          <w:color w:val="auto"/>
        </w:rPr>
        <w:tab/>
      </w:r>
      <w:r>
        <w:rPr>
          <w:rFonts w:ascii="Times New Roman" w:cs="Times New Roman" w:eastAsia="Times New Roman" w:hAnsi="Times New Roman"/>
          <w:sz w:val="16"/>
          <w:szCs w:val="16"/>
          <w:color w:val="auto"/>
        </w:rPr>
        <w:t>27,104</w:t>
      </w:r>
    </w:p>
    <w:p>
      <w:pPr>
        <w:spacing w:after="0" w:line="86" w:lineRule="exact"/>
        <w:rPr>
          <w:sz w:val="20"/>
          <w:szCs w:val="20"/>
          <w:color w:val="auto"/>
        </w:rPr>
      </w:pPr>
    </w:p>
    <w:p>
      <w:pPr>
        <w:ind w:left="860"/>
        <w:spacing w:after="0"/>
        <w:tabs>
          <w:tab w:leader="none" w:pos="2440" w:val="left"/>
        </w:tabs>
        <w:rPr>
          <w:sz w:val="20"/>
          <w:szCs w:val="20"/>
          <w:color w:val="auto"/>
        </w:rPr>
      </w:pPr>
      <w:r>
        <w:rPr>
          <w:rFonts w:ascii="Times New Roman" w:cs="Times New Roman" w:eastAsia="Times New Roman" w:hAnsi="Times New Roman"/>
          <w:sz w:val="16"/>
          <w:szCs w:val="16"/>
          <w:color w:val="auto"/>
        </w:rPr>
        <w:t>141,228</w:t>
      </w:r>
      <w:r>
        <w:rPr>
          <w:sz w:val="20"/>
          <w:szCs w:val="20"/>
          <w:color w:val="auto"/>
        </w:rPr>
        <w:tab/>
      </w:r>
      <w:r>
        <w:rPr>
          <w:rFonts w:ascii="Times New Roman" w:cs="Times New Roman" w:eastAsia="Times New Roman" w:hAnsi="Times New Roman"/>
          <w:sz w:val="16"/>
          <w:szCs w:val="16"/>
          <w:color w:val="auto"/>
        </w:rPr>
        <w:t>114,492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20" w:space="720"/>
            <w:col w:w="3080"/>
          </w:cols>
          <w:pgMar w:left="240" w:top="118" w:right="239" w:bottom="1440" w:gutter="0" w:footer="0" w:header="0"/>
        </w:sectPr>
      </w:pPr>
    </w:p>
    <w:p>
      <w:pPr>
        <w:spacing w:after="0" w:line="170"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Times New Roman" w:cs="Times New Roman" w:eastAsia="Times New Roman" w:hAnsi="Times New Roman"/>
          <w:sz w:val="16"/>
          <w:szCs w:val="16"/>
          <w:color w:val="auto"/>
        </w:rPr>
        <w:t>Cash and cash equivalents, end of period</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129,077</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141,596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54610</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Nine Months Ended April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Basis of Presentation</w:t>
      </w:r>
    </w:p>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April 30, 2017 and July 31, 2016, its results of operations and comprehensive income for the three and nine months ended April 30, 2017 and 2016, and cash flows for the nine months ended April 30, 2017 and 2016. The consolidated balance sheet as of July 31, 2016,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3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Goodwill and Other Intangible Assets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April 30, 2017,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WPS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as of July 31, 2016</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384,529</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429,871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6"/>
                <w:szCs w:val="16"/>
                <w:color w:val="auto"/>
              </w:rPr>
              <w:t>Translation adjustments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shd w:val="clear" w:color="auto" w:fill="CCEEFF"/>
              </w:rPr>
              <w:t>Realignment of businesses between segments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as of April 30, 2017</w:t>
            </w:r>
          </w:p>
        </w:tc>
        <w:tc>
          <w:tcPr>
            <w:tcW w:w="94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382,721</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43,214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425,935</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Goodwill at April 30, 2017 and July 31, 2016, included $118,637 and $209,392 of accumulated impairment losses within the Identification Solutions ("IDS") and Workplace Safety ("WPS") segments, respectively, for a total of $328,029. There were no impairment charges recorded during the nine months ended April 30, 2017.</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further discussed in Note E - Segment Information, the Company realigned certain businesses between the WPS and IDS reportable segments effective August 1, 2016. In accordance with ASC 350, "Intangibles - Goodwill and Other," the Company completed a relative fair value calculation of the businesses that were realigned and moved the corresponding goodwill balance of $2,490 between the two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April 30, 2017</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8"/>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Amortized other intangible assets:</w:t>
            </w: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18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1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Patents</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12,337</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927</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12,252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(11,063)</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73"/>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Trademarks and other</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14,359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78"/>
        </w:trPr>
        <w:tc>
          <w:tcPr>
            <w:tcW w:w="2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Customer relationships</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134,618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30,122</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135,795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(100,830)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34,965</w:t>
            </w:r>
          </w:p>
        </w:tc>
        <w:tc>
          <w:tcPr>
            <w:tcW w:w="0" w:type="dxa"/>
            <w:vAlign w:val="bottom"/>
          </w:tcPr>
          <w:p>
            <w:pPr>
              <w:spacing w:after="0"/>
              <w:rPr>
                <w:sz w:val="1"/>
                <w:szCs w:val="1"/>
                <w:color w:val="auto"/>
              </w:rPr>
            </w:pPr>
          </w:p>
        </w:tc>
      </w:tr>
      <w:tr>
        <w:trPr>
          <w:trHeight w:val="73"/>
        </w:trPr>
        <w:tc>
          <w:tcPr>
            <w:tcW w:w="2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ind w:left="380"/>
              <w:spacing w:after="0" w:line="158" w:lineRule="exact"/>
              <w:rPr>
                <w:sz w:val="20"/>
                <w:szCs w:val="20"/>
                <w:color w:val="auto"/>
              </w:rPr>
            </w:pPr>
            <w:r>
              <w:rPr>
                <w:rFonts w:ascii="Times New Roman" w:cs="Times New Roman" w:eastAsia="Times New Roman" w:hAnsi="Times New Roman"/>
                <w:sz w:val="14"/>
                <w:szCs w:val="14"/>
                <w:color w:val="auto"/>
              </w:rPr>
              <w:t>Non-compete agreements and</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9,091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Unamortized other intangible assets: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Trademarks</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22,594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22,594</w:t>
            </w:r>
          </w:p>
        </w:tc>
        <w:tc>
          <w:tcPr>
            <w:tcW w:w="1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22,991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22,991</w:t>
            </w:r>
          </w:p>
        </w:tc>
        <w:tc>
          <w:tcPr>
            <w:tcW w:w="0" w:type="dxa"/>
            <w:vAlign w:val="bottom"/>
          </w:tcPr>
          <w:p>
            <w:pPr>
              <w:spacing w:after="0"/>
              <w:rPr>
                <w:sz w:val="1"/>
                <w:szCs w:val="1"/>
                <w:color w:val="auto"/>
              </w:rPr>
            </w:pPr>
          </w:p>
        </w:tc>
      </w:tr>
      <w:tr>
        <w:trPr>
          <w:trHeight w:val="78"/>
        </w:trPr>
        <w:tc>
          <w:tcPr>
            <w:tcW w:w="21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192,968</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(138,861)</w:t>
            </w:r>
          </w:p>
        </w:tc>
        <w:tc>
          <w:tcPr>
            <w:tcW w:w="12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54,107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194,550</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(134,744)</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59,806</w:t>
            </w:r>
          </w:p>
        </w:tc>
        <w:tc>
          <w:tcPr>
            <w:tcW w:w="0" w:type="dxa"/>
            <w:vAlign w:val="bottom"/>
          </w:tcPr>
          <w:p>
            <w:pPr>
              <w:spacing w:after="0"/>
              <w:rPr>
                <w:sz w:val="1"/>
                <w:szCs w:val="1"/>
                <w:color w:val="auto"/>
              </w:rPr>
            </w:pPr>
          </w:p>
        </w:tc>
      </w:tr>
      <w:tr>
        <w:trPr>
          <w:trHeight w:val="64"/>
        </w:trPr>
        <w:tc>
          <w:tcPr>
            <w:tcW w:w="2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decrease in the gross carrying amount of other intangible assets as of April 30, 2017, compared to July 31, 2016, was primarily due to the effect of currency fluctuations during the nine-month period.</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Amortization expense on intangible assets was $1,766 and $1,838 for the three months ended April 30, 2017 and 2016, respectively, and $5,349 and $7,066 for the nine months ended April 30, 2017 and 2016, respectively. The amortization over each of the next five fiscal years is projected to be $6,869, $6,158, $5,936, $5,431 and $5,385 for the fiscal years ending July 31, 2017, 2018, 2019, 2020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Other Comprehensive Loss</w:t>
      </w:r>
    </w:p>
    <w:p>
      <w:pPr>
        <w:spacing w:after="0" w:line="17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comprehensive loss consists of foreign currency translation adjustments, unrealized gains and losses from cash flow hedges and net investment hedges, and the unamortized gain on post-retirement plans, net of their related tax effects.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each component of accumulated other comprehensive loss, net of tax, for the nine months ended April 30, 2017:</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Unrealized (loss)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gain on cash flow</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translation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Accumulated other</w:t>
            </w:r>
          </w:p>
        </w:tc>
      </w:t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hedges</w:t>
            </w:r>
          </w:p>
        </w:tc>
        <w:tc>
          <w:tcPr>
            <w:tcW w:w="3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plans</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adjustments</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July 31,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(54,745)</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w:t>
            </w:r>
          </w:p>
        </w:tc>
        <w:tc>
          <w:tcPr>
            <w:tcW w:w="1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4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April 30, 2017</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1,900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(63,339)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increase in accumulated other comprehensive loss as of April 30, 2017, compared to July 31, 2016, was primarily due to the appreciation of the U.S. dollar against certain other currencies during the nine-month period. The foreign currency translation adjustments column in the table above includes the impact of foreign currency translation, foreign currency translation on intercompany notes, and the settlements of net investment hedges, net of tax. Of the total $85 reclassified from accumulated other comprehensive loss, the $323 loss on cash flow hedges was reclassified into cost of products sold, and the $408 gain on post-retirement plans was reclassified into selling, general and administrative expenses ("SG&amp;A") on the condensed consolidated statement of earnings for the nine months ended April 30, 2017.</w:t>
      </w:r>
    </w:p>
    <w:p>
      <w:pPr>
        <w:spacing w:after="0" w:line="1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changes in accumulated other comprehensive loss by component, net of tax, for the nine months ended April 30, 2016, were as follows: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Unrealized gain</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Unamortized gain</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Foreign currency</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(loss) on cash flow</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on post-retirement</w:t>
            </w:r>
          </w:p>
        </w:tc>
        <w:tc>
          <w:tcPr>
            <w:tcW w:w="1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translation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Accumulated other</w:t>
            </w:r>
          </w:p>
        </w:tc>
      </w:tr>
      <w:tr>
        <w:trPr>
          <w:trHeight w:val="210"/>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hedges</w:t>
            </w:r>
          </w:p>
        </w:tc>
        <w:tc>
          <w:tcPr>
            <w:tcW w:w="3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plans</w:t>
            </w: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adjustments</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 July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(45,034)</w:t>
            </w:r>
          </w:p>
        </w:tc>
      </w:tr>
      <w:tr>
        <w:trPr>
          <w:trHeight w:val="237"/>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4,264</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w:t>
            </w:r>
          </w:p>
        </w:tc>
      </w:tr>
      <w:tr>
        <w:trPr>
          <w:trHeight w:val="244"/>
        </w:trPr>
        <w:tc>
          <w:tcPr>
            <w:tcW w:w="5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Ending balance, April 30, 2016</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(43,847)</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(42,396)</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decrease in accumulated other comprehensive loss as of April 30, 2016, compared to July 31, 2015, was primarily due to the depreciation of the U.S. dollar against certain other currencies during the nine-month period. The foreign currency translation adjustments column in the table above includes the impact of foreign currency translation, foreign currency translation on intercompany notes, and the settlements of net investment hedges, net of tax. Of the total $1,626 reclassified from accumulated other comprehensive loss, the $106 gain on cash flow hedges was reclassified into cost of products sold, and the $1,520 gain on post-retirement plans was reclassified into SG&amp;A on the condensed consolidated statement of earnings for the nine months ended April 30, 2016.</w:t>
      </w:r>
    </w:p>
    <w:p>
      <w:pPr>
        <w:spacing w:after="0" w:line="13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income tax expense on the components of other comprehensive loss for the three and nine months ended April 30, 2017 and 2016:</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w:t>
            </w:r>
          </w:p>
        </w:tc>
        <w:tc>
          <w:tcPr>
            <w:tcW w:w="10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investment hedge translation adjustments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752</w:t>
            </w:r>
          </w:p>
        </w:tc>
        <w:tc>
          <w:tcPr>
            <w:tcW w:w="120" w:type="dxa"/>
            <w:vAlign w:val="bottom"/>
          </w:tcPr>
          <w:p>
            <w:pPr>
              <w:spacing w:after="0"/>
              <w:rPr>
                <w:sz w:val="20"/>
                <w:szCs w:val="20"/>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1,456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flow hedges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Pension and other post-retirement benefits</w:t>
            </w:r>
          </w:p>
        </w:tc>
        <w:tc>
          <w:tcPr>
            <w:tcW w:w="10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income tax adjustments and currency translation</w:t>
            </w:r>
          </w:p>
        </w:tc>
        <w:tc>
          <w:tcPr>
            <w:tcW w:w="10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6"/>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w:t>
            </w:r>
          </w:p>
        </w:tc>
        <w:tc>
          <w:tcPr>
            <w:tcW w:w="1020" w:type="dxa"/>
            <w:vAlign w:val="bottom"/>
            <w:tcBorders>
              <w:top w:val="single" w:sz="8" w:color="auto"/>
            </w:tcBorders>
            <w:vMerge w:val="restart"/>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821</w:t>
            </w:r>
          </w:p>
        </w:tc>
        <w:tc>
          <w:tcPr>
            <w:tcW w:w="120" w:type="dxa"/>
            <w:vAlign w:val="bottom"/>
          </w:tcPr>
          <w:p>
            <w:pPr>
              <w:spacing w:after="0"/>
              <w:rPr>
                <w:sz w:val="17"/>
                <w:szCs w:val="17"/>
                <w:color w:val="auto"/>
              </w:rPr>
            </w:pPr>
          </w:p>
        </w:tc>
        <w:tc>
          <w:tcPr>
            <w:tcW w:w="1000" w:type="dxa"/>
            <w:vAlign w:val="bottom"/>
            <w:tcBorders>
              <w:top w:val="single" w:sz="8" w:color="auto"/>
            </w:tcBorders>
            <w:vMerge w:val="restart"/>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1,313</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28"/>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w:t>
            </w:r>
          </w:p>
        </w:tc>
        <w:tc>
          <w:tcPr>
            <w:tcW w:w="10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Net Earnings per Common Share</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Reconciliations of the numerator and denominator of the basic and diluted per share computations for the Company’s Class A and Class B common stock are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31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Earnings (Numerator for basic and diluted Class A Nonvoting Common</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22,553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20,981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70,403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54,974</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5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Numerator for basic and diluted earnings per Class B Voting Common</w:t>
            </w:r>
          </w:p>
        </w:tc>
        <w:tc>
          <w:tcPr>
            <w:tcW w:w="920" w:type="dxa"/>
            <w:vAlign w:val="bottom"/>
            <w:tcBorders>
              <w:top w:val="single" w:sz="8" w:color="auto"/>
            </w:tcBorders>
            <w:vMerge w:val="restart"/>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22,553</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20,981</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69,601</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54,190</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basic earnings per share for both Class A and Class B</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51,227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50,251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50,602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Plus: Effect of dilutive stock options and 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196"/>
        </w:trPr>
        <w:tc>
          <w:tcPr>
            <w:tcW w:w="5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Denominator for diluted earnings per share for both Class A and Class</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52,201</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50,505</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51,882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50,747</w:t>
            </w:r>
          </w:p>
        </w:tc>
        <w:tc>
          <w:tcPr>
            <w:tcW w:w="0" w:type="dxa"/>
            <w:vAlign w:val="bottom"/>
          </w:tcPr>
          <w:p>
            <w:pPr>
              <w:spacing w:after="0"/>
              <w:rPr>
                <w:sz w:val="1"/>
                <w:szCs w:val="1"/>
                <w:color w:val="auto"/>
              </w:rPr>
            </w:pPr>
          </w:p>
        </w:tc>
      </w:tr>
      <w:tr>
        <w:trPr>
          <w:trHeight w:val="263"/>
        </w:trPr>
        <w:tc>
          <w:tcPr>
            <w:tcW w:w="51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B</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 per Class A Nonvoting Common Share:</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earnings per Class B Voting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37"/>
        </w:trPr>
        <w:tc>
          <w:tcPr>
            <w:tcW w:w="51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Diluted</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Options to purchase 577,557 and 2,480,000 shares of Class A Nonvoting Common Stock for the three months ended April 30, 2017 and 2016, respectively, and 705,859 and 3,525,000 shares for the nine months ended April 30, 2017 and 2016, respectively, were not included in the computation of diluted net earnings or loss per share because the option exercise price was greater than the average market price of the common shares and, therefore, the effect would have been anti-dilutive.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Segment Information</w:t>
      </w:r>
    </w:p>
    <w:p>
      <w:pPr>
        <w:spacing w:after="0" w:line="9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three operating segments, Identification Solutions ("IDS"), Workplace Safety ("WPS"), and People Identification ("People ID"), which aggregate into two reportable segments that are organized around businesses with consistent products and services: IDS and WPS. The Identification Solutions and People ID operating segments aggregate into the IDS reporting segment, while the WPS reporting segment is comprised solely of the Workplace Safety operating segment.</w:t>
      </w:r>
    </w:p>
    <w:p>
      <w:pPr>
        <w:spacing w:after="0" w:line="4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Effective August 1, 2016, the Company changed its internal measure of segment profit and loss that is reported to the chief operating decision maker for purposes of making decisions about allocating resources to the segment and assessing its performance. Prior to August 1, 2016, certain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 expense, and certain corporate administrative expenses continue to be excluded when evaluating segment performance.</w:t>
      </w:r>
    </w:p>
    <w:p>
      <w:pPr>
        <w:spacing w:after="0" w:line="5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nine months ended April 30, 2017 and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Sales to External Customers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196,880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201,482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589,106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592,282</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79,047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234,998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246,237</w:t>
            </w:r>
          </w:p>
        </w:tc>
      </w:tr>
      <w:tr>
        <w:trPr>
          <w:trHeight w:val="21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275,927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286,816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824,104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838,519</w:t>
            </w:r>
          </w:p>
        </w:tc>
      </w:tr>
      <w:tr>
        <w:trPr>
          <w:trHeight w:val="73"/>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Segment Profit</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32,633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31,898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94,676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80,385</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21,690</w:t>
            </w:r>
          </w:p>
        </w:tc>
      </w:tr>
      <w:tr>
        <w:trPr>
          <w:trHeight w:val="21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Company</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37,753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37,910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112,291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102,075</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earnings before income taxes for the three and nine months ended April 30, 2017 and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24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2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37,753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112,291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102,075</w:t>
            </w:r>
          </w:p>
        </w:tc>
      </w:tr>
      <w:tr>
        <w:trPr>
          <w:trHeight w:val="224"/>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Unallocated amounts: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Administrative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r>
      <w:tr>
        <w:trPr>
          <w:trHeight w:val="237"/>
        </w:trPr>
        <w:tc>
          <w:tcPr>
            <w:tcW w:w="5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30,628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29,667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90,715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77,326</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Stock-Based Compensation</w:t>
      </w:r>
    </w:p>
    <w:p>
      <w:pPr>
        <w:spacing w:after="0" w:line="17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an incentive stock plan under which the Board of Directors may grant nonqualified stock options to purchase shares of Class A Nonvoting Common Stock, restricted stock units ("RSUs"), or restricted and unrestricted shares of Class A Nonvoting Common Stock to employees and non-employee directors. Certain awards may be subject to pre-established performance goals.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options issued under the plan have an exercise price equal to the fair market value of the underlying stock at the date of grant and generally vest over a three-year service period, with one-third becoming exercisable one year after the grant date and one-third additional in each of the succeeding two years. Options issued under the plan, referred to herein as “service-based” stock options, generally expire 10 years from the date of grant.</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Restricted and unrestricted shares and RSUs issued under the plan have a grant date fair value equal to the fair market value of the underlying stock at the date of grant. Shares issued under the plan are referred to herein as either "service-based" or "performance-based" restricted shares and RSUs. The service-based RSUs granted under the plan generally vest over a three-year service period, with one-third becoming exercisable one year after the grant date and one-third additional in each of the succeeding two years. The performance-based RSUs granted under the plan vest at the end of a three-year service period provided specified company financial performance metrics are met.</w:t>
      </w:r>
    </w:p>
    <w:p>
      <w:pPr>
        <w:spacing w:after="0" w:line="13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As of April 30, 2017, the Company has reserved 3,596,805 shares of Class A Nonvoting Common Stock for outstanding stock options, RSUs, and restricted shares and 4,478,958 shares of Class A Nonvoting Common Stock remain for future issuance of stock options, RSUs, and restricted and unrestricted shares under the plan. The Company uses treasury stock or will issue new Class A Nonvoting Common Stock to deliver shares under the plan.</w:t>
      </w:r>
    </w:p>
    <w:p>
      <w:pPr>
        <w:spacing w:after="0" w:line="122"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recognizes the compensation cost of all share-based awards at the time it is deemed probable the award will vest. This cost is recognized on a straight-line basis over the vesting period of the award. If it is determined that it is unlikely the award will vest, the expense recognized to date for the award is reversed in the period in which this is evident and the remaining expense is not recorded. Total stock-based compensation expense recognized by the Company during the three months ended April 30, 2017 and 2016, was $2,051 ($1,272 net of taxes) and $1,678 ($1,040 net of taxes), respectively. Expense recognized during the nine months ended April 30, 2017 and 2016, was $7,445 ($4,616 net of taxes) and $6,247 ($3,873 net of taxes), respectively.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As of April 30, 2017, total unrecognized compensation cost related to stock-based compensation awards was $15,840 pre-tax, net of estimated forfeitures, which the Company expects to recognize over a weighted-average period of 2.0 years.</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has estimated the grant date fair value of its service-based stock option awards granted during the nine months ended April 30, 2017 and 2016, using the Black-Scholes option valuation model. The weighted-average assumptions used in the Black-Scholes valuation model are reflected in the following table:</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59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Black-Scholes Option Valuation Assumptions</w:t>
            </w: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5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term (in years)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6.11</w:t>
            </w:r>
          </w:p>
        </w:tc>
      </w:tr>
      <w:tr>
        <w:trPr>
          <w:trHeight w:val="237"/>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Expected volatility</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Expected dividend yield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37"/>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Risk-free interest rate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market value of underlying stock at grant date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20.02</w:t>
            </w:r>
          </w:p>
        </w:tc>
      </w:tr>
      <w:tr>
        <w:trPr>
          <w:trHeight w:val="237"/>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Weighted-average exercise price</w:t>
            </w: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35.14</w:t>
            </w:r>
          </w:p>
        </w:tc>
        <w:tc>
          <w:tcPr>
            <w:tcW w:w="10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20.02</w:t>
            </w:r>
          </w:p>
        </w:tc>
      </w:tr>
      <w:tr>
        <w:trPr>
          <w:trHeight w:val="33"/>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Weighted-average fair value of options granted during the period</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4.58</w:t>
            </w:r>
          </w:p>
        </w:tc>
      </w:tr>
      <w:tr>
        <w:trPr>
          <w:trHeight w:val="33"/>
        </w:trPr>
        <w:tc>
          <w:tcPr>
            <w:tcW w:w="5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Company’s share-based compensation plans for the nine months ended April 30, 2017, is presented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2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220" w:type="dxa"/>
            <w:vAlign w:val="bottom"/>
          </w:tcPr>
          <w:p>
            <w:pPr>
              <w:spacing w:after="0"/>
              <w:rPr>
                <w:sz w:val="18"/>
                <w:szCs w:val="18"/>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July 31, 2016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3,714,039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grants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378,939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Forfeited or expired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April 30, 2017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2,932,098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27.44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34,919,577</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Exercisable at April 30, 2017</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gridSpan w:val="2"/>
            <w:vMerge w:val="continue"/>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1,882,244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20,664,011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There were 1,882,244 and 2,679,527 options exercisable with a weighted average exercise price of $28.37 and $30.09 at April 30, 2017 and 2016, respectively. The total intrinsic value of options exercised during the nine months ended April 30, 2017 and 2016, based upon the average market price at the time of exercise during the period, was $7,809 and $105, respectively. The total fair value of stock options vested during the nine months ended April 30, 2017 and 2016, was $2,901 and $3,193, respectively.</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cash received from the exercise of options during the three months ended April 30, 2017 and 2016, was $4,015 and $610, respectively. The cash received from the exercise of options during the nine months ended April 30, 2017, and 2016 was $18,674 and $663, respectively. The tax benefit on options exercised during the three months ended April 30, 2017 and 2016, was $1,514 and $37, respectively. The tax benefit on options exercised during the nine months ended April 30, 2017 and 2016, was $2,967 and $40,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summarizes the RSU activity under the Company's share-based compensation plans for the nine months ended April 30, 2017:</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Service-Based RSUs</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July 31, 2016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678,381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w:t>
            </w: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grants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35.13</w:t>
            </w:r>
          </w:p>
        </w:tc>
      </w:tr>
      <w:tr>
        <w:trPr>
          <w:trHeight w:val="3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24.35</w:t>
            </w:r>
          </w:p>
        </w:tc>
      </w:tr>
      <w:tr>
        <w:trPr>
          <w:trHeight w:val="33"/>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April 30, 2017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service-based RSUs granted during the nine months ended April 30, 2016, had a weighted-average grant date fair value of $20.07. The total fair value of service-based RSUs vested during the nine months ended April 30, 2017 and 2016, was $4,173 and $1,471, respectively.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 RSUs</w:t>
            </w:r>
          </w:p>
        </w:tc>
        <w:tc>
          <w:tcPr>
            <w:tcW w:w="11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33"/>
        </w:trPr>
        <w:tc>
          <w:tcPr>
            <w:tcW w:w="6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July 31, 2016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grants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33"/>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Forfeited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Outstanding at April 30, 2017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58,206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No performance-based RSUs were granted during the nine months ended April 30, 2016. The aggregate intrinsic value of unvested service-based and performance-based RSUs outstanding at April 30, 2017, and expected to vest, was $25,890.</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Fair Value Measurements</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accordance with fair value accounting guidance, the Company’s assets and liabilities measured at fair market value are classified in one of the following categories:</w:t>
      </w:r>
    </w:p>
    <w:p>
      <w:pPr>
        <w:spacing w:after="0" w:line="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Assets or liabilities for which fair value is based on unadjusted quoted prices in active markets for identical instruments that are accessible as of the reporting date.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Assets or liabilities for which fair value is based on other significant pricing inputs that are either directly or indirectly observable.</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Assets or liabilities for which fair value is based on significant unobservable pricing inputs to the extent little or no market data is available, which result in the use of management's own assumptions.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our financial assets and liabilities that were accounted for at fair value on a recurring basis at April 30, 2017 and July 31, 2016, according to the valuation techniques the Company used to determine their fair values.</w:t>
      </w:r>
    </w:p>
    <w:p>
      <w:pPr>
        <w:spacing w:after="0" w:line="11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Inputs</w:t>
      </w:r>
    </w:p>
    <w:p>
      <w:pPr>
        <w:spacing w:after="0" w:line="28"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Considered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33020</wp:posOffset>
            </wp:positionV>
            <wp:extent cx="1981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Active Markets for</w:t>
            </w:r>
          </w:p>
        </w:tc>
        <w:tc>
          <w:tcPr>
            <w:tcW w:w="1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Identical</w:t>
            </w: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12"/>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Values</w:t>
            </w:r>
          </w:p>
        </w:tc>
        <w:tc>
          <w:tcPr>
            <w:tcW w:w="120" w:type="dxa"/>
            <w:vAlign w:val="bottom"/>
          </w:tcPr>
          <w:p>
            <w:pPr>
              <w:spacing w:after="0"/>
              <w:rPr>
                <w:sz w:val="18"/>
                <w:szCs w:val="18"/>
                <w:color w:val="auto"/>
              </w:rPr>
            </w:pPr>
          </w:p>
        </w:tc>
        <w:tc>
          <w:tcPr>
            <w:tcW w:w="352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Balance Sheet Classifications</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04"/>
        </w:trPr>
        <w:tc>
          <w:tcPr>
            <w:tcW w:w="3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April 30, 2017</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60"/>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520" w:type="dxa"/>
            <w:vAlign w:val="bottom"/>
            <w:shd w:val="clear" w:color="auto" w:fill="CCEEFF"/>
          </w:tcPr>
          <w:p>
            <w:pPr>
              <w:spacing w:after="0"/>
              <w:rPr>
                <w:sz w:val="5"/>
                <w:szCs w:val="5"/>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Trading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13,795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13,795</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13,795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14,695</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177"/>
        </w:trPr>
        <w:tc>
          <w:tcPr>
            <w:tcW w:w="310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July 31, 2016</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r>
      <w:tr>
        <w:trPr>
          <w:trHeight w:val="74"/>
        </w:trPr>
        <w:tc>
          <w:tcPr>
            <w:tcW w:w="3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520" w:type="dxa"/>
            <w:vAlign w:val="bottom"/>
            <w:shd w:val="clear" w:color="auto" w:fill="CCEEFF"/>
          </w:tcPr>
          <w:p>
            <w:pPr>
              <w:spacing w:after="0"/>
              <w:rPr>
                <w:sz w:val="6"/>
                <w:szCs w:val="6"/>
                <w:color w:val="auto"/>
              </w:rPr>
            </w:pPr>
          </w:p>
        </w:tc>
      </w:tr>
      <w:tr>
        <w:trPr>
          <w:trHeight w:val="237"/>
        </w:trPr>
        <w:tc>
          <w:tcPr>
            <w:tcW w:w="3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Trading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13,834</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13,834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2,138</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13,834</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15,972</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520" w:type="dxa"/>
            <w:vAlign w:val="bottom"/>
            <w:tcBorders>
              <w:bottom w:val="single" w:sz="8" w:color="CCEEFF"/>
            </w:tcBorders>
          </w:tcPr>
          <w:p>
            <w:pPr>
              <w:spacing w:after="0"/>
              <w:rPr>
                <w:sz w:val="6"/>
                <w:szCs w:val="6"/>
                <w:color w:val="auto"/>
              </w:rPr>
            </w:pPr>
          </w:p>
        </w:tc>
      </w:tr>
      <w:tr>
        <w:trPr>
          <w:trHeight w:val="237"/>
        </w:trPr>
        <w:tc>
          <w:tcPr>
            <w:tcW w:w="3100" w:type="dxa"/>
            <w:vAlign w:val="bottom"/>
            <w:tcBorders>
              <w:bottom w:val="single" w:sz="8" w:color="CCEEFF"/>
            </w:tcBorders>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r>
      <w:tr>
        <w:trPr>
          <w:trHeight w:val="217"/>
        </w:trPr>
        <w:tc>
          <w:tcPr>
            <w:tcW w:w="3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88"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Trading securities: </w:t>
      </w:r>
      <w:r>
        <w:rPr>
          <w:rFonts w:ascii="Times New Roman" w:cs="Times New Roman" w:eastAsia="Times New Roman" w:hAnsi="Times New Roman"/>
          <w:sz w:val="18"/>
          <w:szCs w:val="18"/>
          <w:color w:val="auto"/>
        </w:rPr>
        <w:t>The Company’s deferred compensation investments consist of investments in mutual funds. These investments were classified as Level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as the shares of these investments trade with sufficient frequency and volume to enable us to obtain pricing information on an ongoing basis.</w:t>
      </w:r>
    </w:p>
    <w:p>
      <w:pPr>
        <w:spacing w:after="0" w:line="104" w:lineRule="exact"/>
        <w:rPr>
          <w:sz w:val="20"/>
          <w:szCs w:val="20"/>
          <w:color w:val="auto"/>
        </w:rPr>
      </w:pPr>
    </w:p>
    <w:p>
      <w:pPr>
        <w:jc w:val="both"/>
        <w:ind w:firstLine="2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contracts: </w:t>
      </w:r>
      <w:r>
        <w:rPr>
          <w:rFonts w:ascii="Times New Roman" w:cs="Times New Roman" w:eastAsia="Times New Roman" w:hAnsi="Times New Roman"/>
          <w:sz w:val="18"/>
          <w:szCs w:val="18"/>
          <w:color w:val="auto"/>
        </w:rPr>
        <w:t>The Company’s foreign exchange contracts were classified as Level 2 as the fair value was based on the present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flows using external models that use observable inputs, such as interest rates, yield curves and foreign exchange rates. See Note H, “Derivatives and Hedging Activities,” for additional information.</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transfers of assets or liabilities between the fair value hierarchy levels outlined above during the nine months ended April 30, 2017. In addition, the Company had no significant measurements of assets or liabilities at fair value on a nonrecurring basis subsequent to their initial recognition during the nine months ended April 30, 2017.</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other than those presented in the disclosures above, include cash and cash equivalents, accounts receivable, notes payable, accounts payable, and other liabilities. The fair values of these financial instruments approximated carrying values because of their short-term nature.</w:t>
      </w:r>
    </w:p>
    <w:p>
      <w:pPr>
        <w:spacing w:after="0" w:line="10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short-term and long-term debt obligations, excluding notes payable, based on the quoted market prices for similar issues and on the current rates offered for debt of similar maturities was $138,778 and $218,977 at April 30, 2017 and July 31, 2016, respectively, as compared to the carrying value of $133,894 and $211,982 at April 30, 2017 and July 31, 2016,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Derivatives and Hedging Activities</w:t>
      </w:r>
    </w:p>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April 30, 2017 and July 31, 2016, the notional amount of outstanding forward exchange contracts was $131,051 and $186,093, respectively.</w:t>
      </w:r>
    </w:p>
    <w:p>
      <w:pPr>
        <w:spacing w:after="0" w:line="13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hedges a portion of known exposures using forward exchange contracts. Main exposures are related to transactions denominated in the British Pound, the Euro, Canadian Dollar, Australian Dollar, Mexican Peso, and Singapore Dollar. Generally, these risk management transactions will involve the use of foreign currency derivatives to minimize the impact of currency movements on non-functional currency transactions.</w:t>
      </w:r>
    </w:p>
    <w:p>
      <w:pPr>
        <w:spacing w:after="0" w:line="12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Hedge effectiveness is determined by how closely the changes in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7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OCI and reclassified into earnings in the same period or periods during which the hedged transaction affects earnings. As of April 30, 2017 and 2016, unrealized gains of $171 and losses of $605 have been included in OCI, respectively. Balances are reclassified from OCI to earnings when the hedged transactions impact earnings. For the three months ended April 30, 2017 and 2016, the Company reclassified losses of $114 and $169 from OCI into earnings, respectively. For the nine months ended April 30, 2017 and 2016, the Company reclassified losses of $530 and gains of $174 from OCI into earnings, respectively. At April 30, 2017, the U.S. dollar equivalent of these outstanding forward foreign exchange contracts totaled $38,662, including contracts to sell Euros, Canadian Dollars, Australian Dollars, and U.S. Dollars.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also designated intercompany and third party foreign currency denominated debt instruments as net investment hedges. As of April 30, 2017, £25,036 of intercompany loans were designated as net investment hedges to hedge portions of the Company's net investment in British foreign operations. As of April 30, 2017, €45 million of Euro-denominated senior unsecured notes were designated as net investment hedges to hedge portions of its net investment in European operations. The Company’s foreign denominated debt obligations are valued under a market approach using publicized spot prices.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Hedges</w:t>
      </w:r>
    </w:p>
    <w:p>
      <w:pPr>
        <w:spacing w:after="0" w:line="9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April 30, 2017, the Company recognized gains of $1,725 and losses of $3,321 respectively, in “Investment and other income” on the condensed consolidated statements of earnings related to non-designated hedges. For the three and nine months ended April 30, 2016, the Company recognized gains of $1,410 and $897,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Fair values of derivative instruments in the condensed consolidated balance sheets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62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April 30, 2017</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April 30, 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July 31, 2016</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2"/>
                <w:szCs w:val="12"/>
                <w:color w:val="auto"/>
              </w:rPr>
            </w:pPr>
          </w:p>
        </w:tc>
        <w:tc>
          <w:tcPr>
            <w:tcW w:w="6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2"/>
                <w:szCs w:val="12"/>
                <w:color w:val="auto"/>
              </w:rPr>
            </w:pPr>
          </w:p>
        </w:tc>
        <w:tc>
          <w:tcPr>
            <w:tcW w:w="7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2"/>
                <w:szCs w:val="12"/>
                <w:color w:val="auto"/>
              </w:rPr>
            </w:pPr>
          </w:p>
        </w:tc>
        <w:tc>
          <w:tcPr>
            <w:tcW w:w="6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2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2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Sheet</w:t>
            </w: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6"/>
        </w:trPr>
        <w:tc>
          <w:tcPr>
            <w:tcW w:w="196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12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 hedges</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Foreign exchange</w:t>
            </w:r>
          </w:p>
        </w:tc>
        <w:tc>
          <w:tcPr>
            <w:tcW w:w="138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contracts</w:t>
            </w:r>
          </w:p>
        </w:tc>
        <w:tc>
          <w:tcPr>
            <w:tcW w:w="1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investment hedges</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9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CEEFF"/>
          </w:tcPr>
          <w:p>
            <w:pPr>
              <w:ind w:left="380"/>
              <w:spacing w:after="0" w:line="153" w:lineRule="exact"/>
              <w:rPr>
                <w:sz w:val="20"/>
                <w:szCs w:val="20"/>
                <w:color w:val="auto"/>
              </w:rPr>
            </w:pPr>
            <w:r>
              <w:rPr>
                <w:rFonts w:ascii="Times New Roman" w:cs="Times New Roman" w:eastAsia="Times New Roman" w:hAnsi="Times New Roman"/>
                <w:sz w:val="14"/>
                <w:szCs w:val="14"/>
                <w:color w:val="auto"/>
              </w:rPr>
              <w:t>Foreign currency</w:t>
            </w:r>
          </w:p>
        </w:tc>
        <w:tc>
          <w:tcPr>
            <w:tcW w:w="138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Long term</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denominated debt</w:t>
            </w:r>
          </w:p>
        </w:tc>
        <w:tc>
          <w:tcPr>
            <w:tcW w:w="13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81,225</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obligations, less</w:t>
            </w:r>
          </w:p>
        </w:tc>
        <w:tc>
          <w:tcPr>
            <w:tcW w:w="2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116,888</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maturities</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maturities</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Total derivatives designated as</w:t>
            </w: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265</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81,501</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117,558</w:t>
            </w:r>
          </w:p>
        </w:tc>
        <w:tc>
          <w:tcPr>
            <w:tcW w:w="0" w:type="dxa"/>
            <w:vAlign w:val="bottom"/>
          </w:tcPr>
          <w:p>
            <w:pPr>
              <w:spacing w:after="0"/>
              <w:rPr>
                <w:sz w:val="1"/>
                <w:szCs w:val="1"/>
                <w:color w:val="auto"/>
              </w:rPr>
            </w:pPr>
          </w:p>
        </w:tc>
      </w:tr>
      <w:tr>
        <w:trPr>
          <w:trHeight w:val="225"/>
        </w:trPr>
        <w:tc>
          <w:tcPr>
            <w:tcW w:w="19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hedging instruments</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960" w:type="dxa"/>
            <w:vAlign w:val="bottom"/>
            <w:shd w:val="clear" w:color="auto" w:fill="CCEEFF"/>
          </w:tcPr>
          <w:p>
            <w:pPr>
              <w:ind w:left="40"/>
              <w:spacing w:after="0" w:line="105" w:lineRule="exact"/>
              <w:rPr>
                <w:sz w:val="20"/>
                <w:szCs w:val="20"/>
                <w:color w:val="auto"/>
              </w:rPr>
            </w:pPr>
            <w:r>
              <w:rPr>
                <w:rFonts w:ascii="Times New Roman" w:cs="Times New Roman" w:eastAsia="Times New Roman" w:hAnsi="Times New Roman"/>
                <w:sz w:val="12"/>
                <w:szCs w:val="12"/>
                <w:b w:val="1"/>
                <w:bCs w:val="1"/>
                <w:color w:val="auto"/>
              </w:rPr>
              <w:t>Derivatives not designated as</w:t>
            </w: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960" w:type="dxa"/>
            <w:vAlign w:val="bottom"/>
          </w:tcPr>
          <w:p>
            <w:pPr>
              <w:ind w:left="380"/>
              <w:spacing w:after="0" w:line="153" w:lineRule="exact"/>
              <w:rPr>
                <w:sz w:val="20"/>
                <w:szCs w:val="20"/>
                <w:color w:val="auto"/>
              </w:rPr>
            </w:pPr>
            <w:r>
              <w:rPr>
                <w:rFonts w:ascii="Times New Roman" w:cs="Times New Roman" w:eastAsia="Times New Roman" w:hAnsi="Times New Roman"/>
                <w:sz w:val="14"/>
                <w:szCs w:val="14"/>
                <w:color w:val="auto"/>
              </w:rPr>
              <w:t>Foreign exchange</w:t>
            </w:r>
          </w:p>
        </w:tc>
        <w:tc>
          <w:tcPr>
            <w:tcW w:w="138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40"/>
              <w:spacing w:after="0" w:line="153" w:lineRule="exact"/>
              <w:rPr>
                <w:sz w:val="20"/>
                <w:szCs w:val="20"/>
                <w:color w:val="auto"/>
              </w:rPr>
            </w:pPr>
            <w:r>
              <w:rPr>
                <w:rFonts w:ascii="Times New Roman" w:cs="Times New Roman" w:eastAsia="Times New Roman" w:hAnsi="Times New Roman"/>
                <w:sz w:val="14"/>
                <w:szCs w:val="14"/>
                <w:color w:val="auto"/>
              </w:rPr>
              <w:t>Prepaid 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Other current</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contracts</w:t>
            </w:r>
          </w:p>
        </w:tc>
        <w:tc>
          <w:tcPr>
            <w:tcW w:w="13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tcPr>
          <w:p>
            <w:pPr>
              <w:spacing w:after="0"/>
              <w:rPr>
                <w:sz w:val="12"/>
                <w:szCs w:val="12"/>
                <w:color w:val="auto"/>
              </w:rPr>
            </w:pPr>
          </w:p>
        </w:tc>
        <w:tc>
          <w:tcPr>
            <w:tcW w:w="13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and other current</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1,873</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3"/>
        </w:trPr>
        <w:tc>
          <w:tcPr>
            <w:tcW w:w="19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rPr>
              <w:t>Total derivatives not designated</w:t>
            </w:r>
          </w:p>
        </w:tc>
        <w:tc>
          <w:tcPr>
            <w:tcW w:w="1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1,873</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 hedging instruments</w:t>
            </w:r>
          </w:p>
        </w:tc>
        <w:tc>
          <w:tcPr>
            <w:tcW w:w="1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New Accounting Pronouncements</w:t>
      </w:r>
    </w:p>
    <w:p>
      <w:pPr>
        <w:spacing w:after="0" w:line="17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"Goodwill and Other ,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This guidance will only impact the Consolidated Financial Statements if there is a future impairment of goodwill.</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which replaces the current lease accounting standard. The update will require, among other items, lessees to recognize the assets and liabilities that arise from most leases on the balance sheet. This guidance is effective for annual periods beginning after December 15, 2018, and interim periods within those annual periods. The ASU must be adopted using a modified retrospective approach and early adoption is permitted. The Company is currently evaluating the impact of this update on its consolidated financial statements and disclosures.</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which eliminates the transaction-and industry-specific revenue recognition guidance under current GAAP and replaces it with a principles-based approach for determining revenue recognition. The new guidance requires revenue recognition when control of the goods or services transfers to the customer, replacing the existing guidance which requires revenue recognition when the risks and rewards transfer to the customer.</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ASU 2014-09 (and related updates) is effective for annual periods beginning after December 15, 2017, and interim periods within those annual periods, with early adoption permitted for annual periods beginning after December 15, 2016. The Company intends to adopt this standard beginning August 1, 2018. Entities have the option of using either a full retrospective or a modified retrospective approach for the adoption of the standard. The Company is currently assessing the new guidance and whether to adopt using a full retrospective or a modified retrospective approach. Management is conducting surveys of its various business units and analyzing contracts and agreements during fiscal 2017 to ensure that all components of the new guidance are appropriately considered for the impact on its consolidated financial statements and disclosures upon adoption.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Subsequent Events</w:t>
      </w:r>
    </w:p>
    <w:p>
      <w:pPr>
        <w:spacing w:after="0" w:line="252"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On May 24, 2017, the Board of Directors declared a quarterly cash dividend to shareholders of the Company’s Class A and Class B Common Stock of $0.205 per share payable on July 31, 2017, to shareholders of record at the close of business on July 10, 2017.</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40"/>
        <w:spacing w:after="0" w:line="376" w:lineRule="auto"/>
        <w:rPr>
          <w:sz w:val="20"/>
          <w:szCs w:val="20"/>
          <w:color w:val="auto"/>
        </w:rPr>
      </w:pPr>
      <w:r>
        <w:rPr>
          <w:rFonts w:ascii="Times New Roman" w:cs="Times New Roman" w:eastAsia="Times New Roman" w:hAnsi="Times New Roman"/>
          <w:sz w:val="18"/>
          <w:szCs w:val="18"/>
          <w:color w:val="auto"/>
        </w:rPr>
        <w:t xml:space="preserve">ITEM 2. MANAGEMENT’S DISCUSSION AND ANALYSIS OF RESULTS OF OPERATIONS AND FINANCIAL CONDITION </w:t>
      </w:r>
      <w:r>
        <w:rPr>
          <w:rFonts w:ascii="Times New Roman" w:cs="Times New Roman" w:eastAsia="Times New Roman" w:hAnsi="Times New Roman"/>
          <w:sz w:val="18"/>
          <w:szCs w:val="18"/>
          <w:u w:val="single" w:color="auto"/>
          <w:color w:val="auto"/>
        </w:rPr>
        <w:t>Overview</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half of which are internally manufactured and half are externally sourced. Approximately 45% of our total sales are derived outside of the United States. Foreign sales within the IDS and WPS segments are approximately 40% and 70%, respectively.</w:t>
      </w:r>
    </w:p>
    <w:p>
      <w:pPr>
        <w:spacing w:after="0" w:line="4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ability to provide customers with a vast array of proprietary, customized and diverse products for use in various applications across multiple customers and geographies, along with a commitment to quality and service, have made Brady a leader in many of its markets. 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IDS business, our strategy for growth includes an increased focus on key customers, industries and products and improving the efficiency and effectiveness of the research and development ("R&amp;D") function. In our WPS business, our strategy for growth includes a focus on workplace safety critical industries, innovative new product offerings, and increased investment in digital capabilities.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targeting the following key initiatives in fiscal 2017:</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innovation development process and the speed to deliver high-value, innovative products that align with our target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operational excellence and providing our customers with the highest level of customer service.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comprehensive product reviews to optimize our product offerings.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digital presence with a heightened focus on mobile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through focused sales and marketing efforts in selected vertical markets and strategic accounts.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global employee development process to attract and retain key talent.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comparison of results of operating income for the three and nine months ended April 30, 2017 and 2016,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9"/>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140" w:type="dxa"/>
            <w:vAlign w:val="bottom"/>
          </w:tcPr>
          <w:p>
            <w:pPr>
              <w:spacing w:after="0"/>
              <w:rPr>
                <w:sz w:val="18"/>
                <w:szCs w:val="18"/>
                <w:color w:val="auto"/>
              </w:rPr>
            </w:pPr>
          </w:p>
        </w:tc>
        <w:tc>
          <w:tcPr>
            <w:tcW w:w="2920" w:type="dxa"/>
            <w:vAlign w:val="bottom"/>
            <w:gridSpan w:val="8"/>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2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140" w:type="dxa"/>
            <w:vAlign w:val="bottom"/>
          </w:tcPr>
          <w:p>
            <w:pPr>
              <w:spacing w:after="0"/>
              <w:rPr>
                <w:sz w:val="20"/>
                <w:szCs w:val="20"/>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275,927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286,816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824,104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838,519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139,909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145,443</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414,425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417,684</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98,409</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105,794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291,128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306,678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7"/>
        </w:trPr>
        <w:tc>
          <w:tcPr>
            <w:tcW w:w="29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108,359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114,659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319,705</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333,209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33"/>
        </w:trPr>
        <w:tc>
          <w:tcPr>
            <w:tcW w:w="2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30,784</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94,720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References in this Form 10-Q to “organic sales” refer to sales calculated in accordance with U.S.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Sales for the three months ended April 30, 2017, decreased 3.8% to $275.9 million, compared to $286.8 million in the same period of the prior year, which consisted of an organic sales decline of 1.9% and a negative currency impact of 1.9% due to the strengthening of the U.S. Dollar against certain other currencies. Organic sales declined 0.8% in the IDS segment and 4.6% in the WPS segment during the three months ended April 30, 2017, compared to the same period in the prior year. The IDS segment experienced sales declines in the Healthcare ID product line, partially offset by sales growth in the Product ID and Wire ID product lines compared to the prior year. Catalog sales in the WPS segment declined, but were partially offset by sales growth in the digital channel.</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for the nine months ended April 30, 2017, decreased 1.7% to $824.1 million, compared to $838.5 million in the same period of the prior year, which consisted of an organic sales decline of 0.3% and a negative currency impact of 1.4%. Organic sales grew 0.6% in the IDS segment and declined 2.5% in the WPS segment during the nine months ended April 30, 2017, compared to the same period in the prior year. The IDS segment realized sales growth in the Product ID and Wire ID product lines, partially offset by sales declines in the Safety and Facility ID product line. Catalog sales in the WPS segment declined, but were partially offset by sales growth in the digital channel.</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Gross margin for the three months ended April 30, 2017, declined 3.8% to $139.9 million, compared to $145.4 million in the same period of the prior year, and declined 0.8% to $414.4 million for the nine months ended April 30, 2017, compared to $417.7 million in the same period of the prior year. As a percentage of sales, gross margin remained flat at 50.7% for the three months ended April 30, 2017 compared to the same period of the prior year, and increased to 50.3% for the nine months ended April 30, 2017, from 49.8% in the same period of the prior year. The increase in gross margin percentage during the nine-month period was primarily due to our on-going efforts to streamline manufacturing processes and drive operational efficiencies in manufacturing facilities. These efforts resulted in reduced material, supplies and labor costs compared to the same periods in the prior year.</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R&amp;D expenses for the three months ended April 30, 2017, increased 12.2% to $10.0 million, compared to $8.9 million in the same period of the prior year, and increased 7.7% to $28.6 million for the nine months ended April 30, 2017, compared to $26.5 million in the same period of the prior year. The increases in both the three and nine-month periods were due to the hiring of engineers as well as increased spending on printing and software solutions projects within our IDS businesses.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include selling costs directly attributed to the IDS and WPS segments, as well as certain other expenses including finance, information technology, human resources, and other administrative expenses. SG&amp;A decreased 7.0% to $98.4 million for the three months ended April 30, 2017, and 5.1% to $291.1 million for the nine months ended April 30, 2017, compared to $105.8 million and $306.7 million in the same periods of the prior year, respectively. The declines in both the three and nine-month periods were primarily due to reductions in general and administrative costs due to ongoing efficiency gains, as well as foreign currency translation.</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was $31.6 million during the three months ended April 30, 2017, compared to $30.8 million for the three months ended April 30, 2016. Operating income was $94.7 million during the nine months ended April 30, 2017, compared to $84.5 million for the nine months ended April 30,</w:t>
      </w:r>
    </w:p>
    <w:p>
      <w:pPr>
        <w:jc w:val="both"/>
        <w:spacing w:after="0" w:line="261" w:lineRule="auto"/>
        <w:rPr>
          <w:sz w:val="20"/>
          <w:szCs w:val="20"/>
          <w:color w:val="auto"/>
        </w:rPr>
      </w:pPr>
      <w:r>
        <w:rPr>
          <w:rFonts w:ascii="Times New Roman" w:cs="Times New Roman" w:eastAsia="Times New Roman" w:hAnsi="Times New Roman"/>
          <w:sz w:val="18"/>
          <w:szCs w:val="18"/>
          <w:color w:val="auto"/>
        </w:rPr>
        <w:t>2016. The increase was primarily due to reduced general and administrative expense in both the IDS and WPS segments, partially offset by the negative impact of foreign currency fluctuations and increased R&amp;D expense in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TO NET EARNINGS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3280" w:type="dxa"/>
            <w:vAlign w:val="bottom"/>
            <w:gridSpan w:val="8"/>
          </w:tcPr>
          <w:p>
            <w:pPr>
              <w:ind w:left="5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180" w:type="dxa"/>
            <w:vAlign w:val="bottom"/>
            <w:gridSpan w:val="7"/>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27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6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Sales</w:t>
            </w: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Sales</w:t>
            </w:r>
          </w:p>
        </w:tc>
      </w:tr>
      <w:tr>
        <w:trPr>
          <w:trHeight w:val="33"/>
        </w:trPr>
        <w:tc>
          <w:tcPr>
            <w:tcW w:w="2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$ 31,550</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$ 30,784</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$ 94,720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$ 84,475</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16"/>
        </w:trPr>
        <w:tc>
          <w:tcPr>
            <w:tcW w:w="27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Investment and other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3"/>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27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Interest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(6,119)</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2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before income tax</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30,628</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29,667</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90,715</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8,686</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22,352</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33"/>
        </w:trPr>
        <w:tc>
          <w:tcPr>
            <w:tcW w:w="27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$ 22,553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$ 20,981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$ 70,403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$ 54,974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0"/>
        </w:trPr>
        <w:tc>
          <w:tcPr>
            <w:tcW w:w="2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and other income was $0.5 million for the three months ended April 30, 2017, which was consistent with the prior year of $0.7 million. Investment and other income was $0.6 million for the nine months ended April 30, 2017, compared to investment and other expense of $1.0 million in the same period of the prior year. The increase in income in the current nine-month period was primarily due to an increase in the market value of securities held in executive deferred compensation plans.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decreased to $1.4 million from $1.8 million for the three months, and decreased to $4.6 million from $6.1 million for the nine months ended April 30, 2017, compared to the same periods in the prior year. For both the three and nine-month periods, the decrease was due to a reduction in the Company's outstanding debt balances.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income tax rate was 26.4% for the three months ended April 30, 2017, compared to 29.3% for the same period in the prior year. The income tax rate was 22.4% for the nine months ended April 30, 2017, compared to 28.9% for the same period of the prior year. The decrease in the income tax rate for the three months ended April 30, 2017 was primarily due to a decrease in the reserve in uncertain tax positions compared to the same period of the prior year. The decrease in the income tax rate for the nine months ended April 30, 2017, was primarily due to foreign tax credits generated from a cash repatriation to the U.S. that occurred during the Company's second fiscal quarter. The Company's anticipated annual income tax rate is expected to be in the mid-20% range for fiscal year 2017.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Segment Operating Results</w:t>
      </w:r>
    </w:p>
    <w:p>
      <w:pPr>
        <w:spacing w:after="0" w:line="308"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The Company is organized and managed on a global basis within two reportable segments: ID Solutions and Workplace Safety. Effective August 1, 2016, the Company changed its internal measure of segment profit and loss that is reported to the chief operating decision maker for purposes of making decisions about allocating resources to the segment and assessing its performance. Prior to August 1, 2016, administrative costs were excluded from the measure of segment profit and loss. Effective August 1, 2016, a portion of these administrative costs have been included within the IDS and WPS segments, which includes the cost of finance, information technology, human resources, and certain other administrative costs. Interest expense, investment and other income (expense), income tax expense, and certain corporate administrative expenses continue to be excluded when evaluating segment performance.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effective August 1, 2016, the Company realigned certain businesses between the WPS and IDS reportable segments, resulting in increased revenues and segment profit in the IDS segment and equal and offsetting declines in revenues and segment profit in the WPS segment. The Company's accompanying segment information has been restated to reflect the change in measurement of segment profit and loss and the realignment of businesses.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segment information for the three and nine months ended April 30, 2017, and 2016:</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00" w:type="dxa"/>
            <w:vAlign w:val="bottom"/>
          </w:tcPr>
          <w:p>
            <w:pPr>
              <w:spacing w:after="0"/>
              <w:rPr>
                <w:sz w:val="18"/>
                <w:szCs w:val="18"/>
                <w:color w:val="auto"/>
              </w:rPr>
            </w:pPr>
          </w:p>
        </w:tc>
        <w:tc>
          <w:tcPr>
            <w:tcW w:w="234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SALES TO EXTERNAL CUSTOMERS</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4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3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196,880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201,482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589,106</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592,282</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79,047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85,334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234,998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246,237</w:t>
            </w:r>
          </w:p>
        </w:tc>
      </w:tr>
      <w:tr>
        <w:trPr>
          <w:trHeight w:val="21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275,927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286,816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824,104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838,519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848985"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8985" cy="19748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SALES GROWTH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ID Solutions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Workplace Safety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Total Company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Organic</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Currency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32,633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80,385</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17,615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21,690</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37,910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112,291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102,075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SEGMENT PROFIT AS A PERCENT OF SALES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ID Solutions</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0" w:type="dxa"/>
            <w:vAlign w:val="bottom"/>
          </w:tcPr>
          <w:p>
            <w:pPr>
              <w:spacing w:after="0"/>
              <w:rPr>
                <w:sz w:val="1"/>
                <w:szCs w:val="1"/>
                <w:color w:val="auto"/>
              </w:rPr>
            </w:pPr>
          </w:p>
        </w:tc>
      </w:tr>
      <w:tr>
        <w:trPr>
          <w:trHeight w:val="23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Workplace Safety</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segment profit to earnings before income taxes for the three and nine months ended April 30, 2017 and 2016:</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200" w:type="dxa"/>
            <w:vAlign w:val="bottom"/>
          </w:tcPr>
          <w:p>
            <w:pPr>
              <w:spacing w:after="0"/>
              <w:rPr>
                <w:sz w:val="18"/>
                <w:szCs w:val="18"/>
                <w:color w:val="auto"/>
              </w:rPr>
            </w:pPr>
          </w:p>
        </w:tc>
        <w:tc>
          <w:tcPr>
            <w:tcW w:w="236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4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profit from reportable segments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102,075</w:t>
            </w:r>
          </w:p>
        </w:tc>
      </w:tr>
      <w:tr>
        <w:trPr>
          <w:trHeight w:val="224"/>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Unallocated amounts: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7"/>
        </w:trPr>
        <w:tc>
          <w:tcPr>
            <w:tcW w:w="4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Administrative costs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r>
      <w:tr>
        <w:trPr>
          <w:trHeight w:val="237"/>
        </w:trPr>
        <w:tc>
          <w:tcPr>
            <w:tcW w:w="4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and other income (expense)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r>
      <w:tr>
        <w:trPr>
          <w:trHeight w:val="217"/>
        </w:trPr>
        <w:tc>
          <w:tcPr>
            <w:tcW w:w="4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30,628</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90,715</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77,326</w:t>
            </w:r>
          </w:p>
        </w:tc>
      </w:tr>
      <w:tr>
        <w:trPr>
          <w:trHeight w:val="33"/>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 Solutions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Approximately 70% of net sales in the IDS segment were generated in the Americas region, 20% in Europe and 10% in Asia. IDS sales decreased 2.3% to $196.9 million for the three months ended April 30, 2017, compared to $201.5 million for the same period in the prior year, which consisted of an organic sales decline of 0.8% and a negative currency impact of 1.5%. IDS sales decreased 0.5% to $589.1 million for the nine months ended April 30, 2017, compared to $592.3 million for the same period in the prior year. Organic sales increased 0.6% and currency fluctuations decreased sales by 1.1% during the nine months ended April 30, 2017.</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Organic sales in the Americas declined in the low-single digits for the three months ended April 30, 2017, and were essentially flat for the nine months ended April 30, 2017, compared to the same periods in the prior year. The decrease in organic sales during the three-month period was primarily due to pricing pressure from certain distributors in the Healthcare ID product line, partially offset by sales growth in the Wire ID product line. Flat organic sales in the IDS Americas region for the nine-month period was primarily due to sales growth in the Wire ID product line due to an increase in sales of printer consumables, offset by a decline in sales in the Healthcare ID and Product ID product lines. An organic sales decline in the United States was partially offset by organic sales growth in Mexico and Canada for both the three and nine-month periods.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IDS business in Europe had essentially flat organic sales for the three months ended April 30, 2017, and realized low-single digit organic sales growth for the nine months ended April 30, 2017, compared to the same periods in the prior year. The IDS Europe region realized organic sales growth in the Safety and Facility ID product line, offset by organic sales declines in the Product ID and Wire ID product lines for the three months ended April 30, 2017, compared to the same period in the prior year. Organic sales grew in the low-single digits for the nine months ended April 30, 2017, compared to the same period in the prior year. Organic sales growth for the nine months ended April 30, 2017, was primarily due to sales increases in the Product ID and Safety and Facility ID product lines, compared to the same period in the prior year. Organic sales growth in western Europe was partially offset by organic sales declines in certain emerging markets due to weak demand in the oil and gas industry.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Organic sales in Asia grew in the low-double digits for the three months ended April 30, 2017, and mid-single digits for the nine months ended April 30, 2017, compared to the same periods in the prior year. The IDS Asia region realized organic sales growth in the OEM and MRO product categories for the three months ended April 30, 2017, compared to the same period in the prior year. Organic sales for the nine months ended April 30, 2017, grew in the OEM product category and were essentially flat in the MRO product category, compared to the same period in the prior year. Organic sales increased within all countries in the Asia region for both the three and nine-month periods.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profit increased to $32.6 million for the three months ended April 30, 2017, compared to $31.9 million in the same period in the prior year. As a percentage of sales, segment profit increased to 16.6% from 15.8% in the same period in the prior year. Segment profit increased to $94.7 million from $80.4 million for the nine months ended April 30, 2017, compared to the same period in the prior year. As a percentage of sales, segment profit increased to 16.1% from 13.6% for same period in the prior year. The increase in segment profit for both the three and nine-month periods was primarily driven by operational efficiencies in our manufacturing processes in all regions, as well as a reduction in SG&amp;A due to ongoing process improvement activities.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WPS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Approximately 50% of net sales in the WPS segment were generated in Europe, 35% in the Americas and 15% in Australia. WPS sales decreased 7.5% to $79.0 million for the three months and 4.6% to $235.0 million for the nine months ended April 30, 2017, compared to $85.3 million and $246.2 million, respectively, for the same periods in the prior year. Organic sales declined 4.6% and 2.5% in the three and nine months ended April 30, 2017, respectively, compared to the same periods in the prior year. Currency fluctuations decreased sales by 2.9% and 2.1% for the three and nine months ended April 30, 2017, respectively, due to the strengthening of the U.S. dollar against certain other major currencies as compared to the same periods in the prior year.</w:t>
      </w:r>
    </w:p>
    <w:p>
      <w:pPr>
        <w:spacing w:after="0" w:line="13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Organic sales in Europe were essentially flat for the three months ended April 30, 2017, and increased in the low-single digits for the nine months ended April 30, 2017, compared to the same periods in the prior year. The growth in the nine-month period was driven primarily by Germany, France, and Belgium due to improvements in website functionality and key account management. Digital sales growth in the Europe region was in the high-single digits for the three-month period and double-digits for the nine-month period, compared to the same periods in the prior year.</w:t>
      </w:r>
    </w:p>
    <w:p>
      <w:pPr>
        <w:spacing w:after="0" w:line="2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the Americas declined in the high-single digits during the three and nine months ended April 30, 2017, compared to the same periods in the prior year. This decrease was primarily in the U.S. due to lower response rates to catalog promotions and continued pricing pressures in industrial end markets. In addition, pricing pressures from certain competitors have led to an acceleration of organic sales declines in the region from prior quarters.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Organic sales in Australia declined in the mid-single digits for the three months ended April 30, 2017, and declined in the low-single digits for the nine months ended April 30, 2017, compared to the same periods in the prior year. The organic sales declines in Australia were due to its higher concentration in industries that are experiencing economic challenges, which include manufacturing and mining production.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profit decreased to $5.1 million from $6.0 million for the three months, and to $17.6 million from $21.7 million for the nine months ended April 30, 2017, compared to the same periods in the prior year. As a percentage of sales, segment profit decreased to 6.5% from 7.0% for the three months, and to 7.5% from 8.8% for the nine months ended April 30, 2017, compared to the same periods in the prior year. The decrease in segment profit was primarily due to the decline in sales and compressed gross profit margins partially due to pricing, which was partially offset by reduced selling, general and administrative expenses.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Cash and cash equivalents decreased by $12.2 million and increased by $27.1 million during the nine months ended April 30, 2017 and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40" w:type="dxa"/>
            <w:vAlign w:val="bottom"/>
          </w:tcPr>
          <w:p>
            <w:pPr>
              <w:spacing w:after="0"/>
              <w:rPr>
                <w:sz w:val="20"/>
                <w:szCs w:val="20"/>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65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91,162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98,550</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(5,481)</w:t>
            </w:r>
          </w:p>
        </w:tc>
      </w:tr>
      <w:tr>
        <w:trPr>
          <w:trHeight w:val="237"/>
        </w:trPr>
        <w:tc>
          <w:tcPr>
            <w:tcW w:w="6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(69,228)</w:t>
            </w:r>
          </w:p>
        </w:tc>
      </w:tr>
      <w:tr>
        <w:trPr>
          <w:trHeight w:val="33"/>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r>
      <w:tr>
        <w:trPr>
          <w:trHeight w:val="217"/>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27,104</w:t>
            </w:r>
          </w:p>
        </w:tc>
      </w:tr>
      <w:tr>
        <w:trPr>
          <w:trHeight w:val="33"/>
        </w:trPr>
        <w:tc>
          <w:tcPr>
            <w:tcW w:w="6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$91.2 million for the nine months ended April 30, 2017, compared to $98.6 million in the same period of the prior year. The decrease in cash provided by operating activities of $7.4 million was primarily due to a decrease in cash provided by working capital. The change in the cash outflow from accounts receivable of $5.6 million was primarily due to the timing of sales in the U.S. and Western Europe compared to the prior year. The prior year cash inflow from inventory of $4.6 million was due to declines following the build-up of inventories in prior years in anticipation of facility consolidation activities. These current year uses of cash for working capital were partially offset by an increase in net earnings.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$10.8 million for the nine months ended April 30, 2017, compared to $5.5 million in the same period of the prior year. The increase in cash used in investing activities of $5.3 million was primarily due to an increase in capital expenditures due to the purchase of manufacturing equipment and facility upgrades in the United States and Europe.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$90.0 million during the nine months ended April 30, 2017, compared to $69.2 million in the same period of the prior year. The increase in cash used in financing activities of $20.8 million was primarily due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an increase of $63.1 million in credit facility and debt repayments in the current year, which was partially offset by an $18.0 million increase in proceeds from stock option exercises in the current year. The remainder of the change was due to $23.6 million of cash used for share repurchases in the prior year, while no shares were repurchased in the current year.</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effect of fluctuations in exchange rates decreased cash balances by $2.5 million primarily due to cash balances held in currencies that depreciated against the U.S. dollar during nine months ended April 30, 2017.</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13, 2010, the Company completed a private placement of €75 million aggregate principal amount of senior unsecured notes to institutional investors. The €75 million of senior notes consists of €30 million aggregate principal amount of 3.71% Series 2010-A Senior Notes, due May 13, 2017 and €45 million aggregate principal amount of 4.24% Series 2010-A Senior Notes, due May 13, 2020, with interest payable on the notes semiannually. The notes have certain prepayment penalties for repaying them prior to maturity. The Company intends to utilize its revolving credit facility to fund private placement principal payments due during the fiscal year ended July 31, 2017, and therefore the maturities are included in "Long-term obligations, less current maturities" on the condensed consolidated balance sheets as of April 30, 2017.</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25, 2015, the Company and certain of its subsidiaries entered into an unsecured $300 million multi-currency revolving loan agreement with a group of six banks that replaced and terminated the Company’s previous loan agreement that had been entered into on February 1, 2012. Under the new revolving loan agreement, which has a final maturity date of September 25, 2020, the Company has the option to select either a base interest rate (based upon the higher of the federal funds rate plus one-half of 1%, the prime rate of Bank of America plus a margin based on the Company’s consolidated leverage ratio, or the one month LIBOR rate plus 1%) or a Eurocurrency interest rate (at the LIBOR rate plus a margin based on the Company’s consolidated leverage ratio). At the Company's option, and subject to certain conditions, the available amount under the revolving loan agreement may be increased from $300 million to $450 million. During the nine months ended April 30, 2017, the Company repaid $59.6 million on the revolving loan agreement. As of April 30, 2017, the outstanding balance on the credit facility was $52.4 million, and the maximum outstanding balance during the nine months ended April 30, 2017 was $112 million. The Company also had letters of credit outstanding under the loan agreement of $4.1 million as of April 30, 2017, and there was $243.4 million available for future borrowing, which can be increased to $393.4 million at the Company's option, subject to certain conditions. The revolving loan agreement has a final maturity date of September 25, 2020. As such, the borrowing is included in "Long-term obligations, less current maturities" on the condensed consolidated balance sheets.</w:t>
      </w:r>
    </w:p>
    <w:p>
      <w:pPr>
        <w:spacing w:after="0" w:line="13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two multi-currency lines of credit in China with capacity of $10 million each. These lines of credit support USD-denominated or CNY-denominated borrowing to fund working capital and operations for the Company's Chinese entities and are due on demand. The borrowings under these facilities may be made for a period up to one year from the date of borrowing with interest on the USD-denominated borrowings incurred equal to U.S. dollar LIBOR on the date of borrowing plus a margin based upon duration and on the CNY-denominated borrowings incurred equal to the local China rate based upon duration. There is no ultimate maturity on the facilities and they are subject to periodic review and repricing. The Company is not required to comply with any financial covenants as part of the agreements. During the nine months ended April 30, 2017, the Company repaid $0.9 million of these multi-currency lines of credit and the maximum outstanding balance was $5.7 million. As of April 30, 2017, the aggregate outstanding balance of these lines was $4.1 million. There was $14.3 million available for future borrowing under these facilities as of April 30, 2017. Due to the short-term nature of these credit facilities, the borrowings are classified as "Notes payable" within current liabilities on the condensed consolidated balance sheets.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debt agreements require it to maintain certain financial covenants, including a ratio of debt to the trailing twelve months EBITDA, as defined in the debt agreements, of not more than a 3.25 to 1.0 ratio (leverage ratio) and the trailing twelve months EBITDA to interest expense of not less than a 3.0 to 1.0 ratio (interest expense coverage). As of April 30, 2017, the Company was in compliance with these financial covenants, with the leverage ratio, as defined by the agreements, equal to 0.9 to 1.0 and the interest expense coverage ratio equal to 26.5 to 1.0.</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cash balances are generated and held in numerous locations throughout the world. At April 30, 2017, approximately 76% of the Company's cash and cash equivalents were held outside the United States. The Company's growth has historically been funded by a combination of cash provided by operating activities and debt financing. The Company believes that its cash flow from operating activities, in addition to its borrowing capacity, are sufficient to fund its anticipated requirements for working capital, capital expenditures, common stock repurchases, scheduled debt repayments, and dividend payments for the next 12 months. Although we believe these sources of cash are currently sufficient to fund our domestic operations, our annual cash needs could require us to repatriate cash to the U.S. from foreign jurisdictions, which may result in tax charges.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On May 24, 2017, the Board of Directors declared a quarterly cash dividend to shareholders of the Company’s Class A and Class B Common Stock of $0.205 per share payable on July 31, 2017, to shareholders of record at the close of business on July 10, 2017.</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Off-Balance Sheet Arrangements</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Operating Leases - The leases generally are entered into for investments in facilities such as manufacturing facilities, warehouses and office space, computer equipment and Company vehicles.</w:t>
      </w:r>
    </w:p>
    <w:p>
      <w:pPr>
        <w:spacing w:after="0" w:line="10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Other Contractual Obligations - The Company does not have material financial guarantees or other contractual commitments that are reasonably likely to adversely affect liquidity.</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33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84"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26"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compete effectively or to successfully execute our strategy</w:t>
      </w:r>
    </w:p>
    <w:p>
      <w:pPr>
        <w:spacing w:after="0" w:line="2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develop technologically advanced products that meet customer demands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protecting our websites, networks, and systems against security breaches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or instability in the global economy and financial markets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retain large customers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loss of key employees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and tax rates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execute facility consolidations and maintain acceptable operational service metrics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regulations by U.S. and non-U.S. governmental and self regulatory entities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product liability claims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and contingent liabilities from divestitures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properly identify, integrate, and grow acquired companies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Brady's substantial intangible assets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interests of voting and non-voting shareholders</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Brady's ability to meet certain financial covenants required by our debt agreements.</w:t>
      </w:r>
    </w:p>
    <w:p>
      <w:pPr>
        <w:spacing w:after="0" w:line="9" w:lineRule="exact"/>
        <w:rPr>
          <w:rFonts w:ascii="Times New Roman" w:cs="Times New Roman" w:eastAsia="Times New Roman" w:hAnsi="Times New Roman"/>
          <w:sz w:val="18"/>
          <w:szCs w:val="18"/>
          <w:color w:val="auto"/>
        </w:rPr>
      </w:pPr>
    </w:p>
    <w:p>
      <w:pPr>
        <w:jc w:val="both"/>
        <w:ind w:left="540" w:hanging="316"/>
        <w:spacing w:after="0" w:line="255"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the Form 10-K filed with the SEC on September 15, 2016.</w:t>
      </w:r>
    </w:p>
    <w:p>
      <w:pPr>
        <w:spacing w:after="0" w:line="7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90"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Refer to the Company’s annual report on Form 10-K for the year ended July 31, 2016. There has been no material change in this information since July 31, 2016.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8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  Exhibits</w:t>
      </w:r>
    </w:p>
    <w:p>
      <w:pPr>
        <w:spacing w:after="0" w:line="171"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Rule 13a-14(a)/15d-14(a)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31.2</w:t>
        <w:tab/>
        <w:t>Rule 13a-14(a)/15d-14(a)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color w:val="auto"/>
        </w:rPr>
        <w:t>Section 1350 Certification of J. Michael Nauman</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32.2</w:t>
        <w:tab/>
        <w:t>Section 1350 Certification of Aaron J. Pearce</w:t>
      </w:r>
    </w:p>
    <w:p>
      <w:pPr>
        <w:spacing w:after="0" w:line="387" w:lineRule="exact"/>
        <w:rPr>
          <w:sz w:val="20"/>
          <w:szCs w:val="20"/>
          <w:color w:val="auto"/>
        </w:rPr>
      </w:pPr>
    </w:p>
    <w:p>
      <w:pPr>
        <w:ind w:left="40"/>
        <w:spacing w:after="0"/>
        <w:tabs>
          <w:tab w:leader="none" w:pos="5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w:t>
      </w:r>
    </w:p>
    <w:p>
      <w:pPr>
        <w:spacing w:after="0" w:line="27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219"/>
          </w:cols>
          <w:pgMar w:left="240" w:top="118" w:right="1440"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810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color w:val="auto"/>
                <w:w w:val="98"/>
              </w:rPr>
              <w:t>SIGNATURES</w:t>
            </w:r>
          </w:p>
        </w:tc>
      </w:tr>
      <w:tr>
        <w:trPr>
          <w:trHeight w:val="378"/>
        </w:trPr>
        <w:tc>
          <w:tcPr>
            <w:tcW w:w="32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BRADY CORPORATION</w:t>
            </w:r>
          </w:p>
        </w:tc>
      </w:tr>
      <w:tr>
        <w:trPr>
          <w:trHeight w:val="59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25, 2017</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J. MICHAEL NAUMAN</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Michael Nauman</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6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25, 2017</w:t>
            </w:r>
          </w:p>
        </w:tc>
        <w:tc>
          <w:tcPr>
            <w:tcW w:w="400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AARON J. PEARCE</w:t>
            </w:r>
          </w:p>
        </w:tc>
      </w:tr>
      <w:tr>
        <w:trPr>
          <w:trHeight w:val="27"/>
        </w:trPr>
        <w:tc>
          <w:tcPr>
            <w:tcW w:w="32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Aaron J. Pearce</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3280" w:type="dxa"/>
            <w:vAlign w:val="bottom"/>
          </w:tcPr>
          <w:p>
            <w:pPr>
              <w:spacing w:after="0"/>
              <w:rPr>
                <w:sz w:val="23"/>
                <w:szCs w:val="23"/>
                <w:color w:val="auto"/>
              </w:rPr>
            </w:pPr>
          </w:p>
        </w:tc>
        <w:tc>
          <w:tcPr>
            <w:tcW w:w="400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3280" w:type="dxa"/>
            <w:vAlign w:val="bottom"/>
          </w:tcPr>
          <w:p>
            <w:pPr>
              <w:spacing w:after="0"/>
              <w:rPr>
                <w:sz w:val="24"/>
                <w:szCs w:val="24"/>
                <w:color w:val="auto"/>
              </w:rPr>
            </w:pPr>
          </w:p>
        </w:tc>
        <w:tc>
          <w:tcPr>
            <w:tcW w:w="400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28</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40"/>
        <w:spacing w:after="0" w:line="282" w:lineRule="auto"/>
        <w:tabs>
          <w:tab w:leader="none" w:pos="69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40"/>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firstLine="440"/>
        <w:spacing w:after="0" w:line="266" w:lineRule="auto"/>
        <w:tabs>
          <w:tab w:leader="none" w:pos="6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firstLine="440"/>
        <w:spacing w:after="0" w:line="282" w:lineRule="auto"/>
        <w:tabs>
          <w:tab w:leader="none" w:pos="6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6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40"/>
        <w:spacing w:after="0" w:line="282" w:lineRule="auto"/>
        <w:tabs>
          <w:tab w:leader="none" w:pos="6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440"/>
        <w:spacing w:after="0" w:line="282" w:lineRule="auto"/>
        <w:tabs>
          <w:tab w:leader="none" w:pos="6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25, 2017</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Brady Corporation;</w:t>
      </w:r>
    </w:p>
    <w:p>
      <w:pPr>
        <w:spacing w:after="0" w:line="171" w:lineRule="exact"/>
        <w:rPr>
          <w:rFonts w:ascii="Times New Roman" w:cs="Times New Roman" w:eastAsia="Times New Roman" w:hAnsi="Times New Roman"/>
          <w:sz w:val="18"/>
          <w:szCs w:val="18"/>
          <w:color w:val="auto"/>
        </w:rPr>
      </w:pPr>
    </w:p>
    <w:p>
      <w:pPr>
        <w:ind w:firstLine="440"/>
        <w:spacing w:after="0" w:line="282" w:lineRule="auto"/>
        <w:tabs>
          <w:tab w:leader="none" w:pos="6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 w:lineRule="exact"/>
        <w:rPr>
          <w:sz w:val="20"/>
          <w:szCs w:val="20"/>
          <w:color w:val="auto"/>
        </w:rPr>
      </w:pPr>
    </w:p>
    <w:p>
      <w:pPr>
        <w:jc w:val="both"/>
        <w:ind w:firstLine="440"/>
        <w:spacing w:after="0" w:line="266"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firstLine="440"/>
        <w:spacing w:after="0" w:line="266" w:lineRule="auto"/>
        <w:tabs>
          <w:tab w:leader="none" w:pos="63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firstLine="440"/>
        <w:spacing w:after="0" w:line="282" w:lineRule="auto"/>
        <w:tabs>
          <w:tab w:leader="none" w:pos="6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firstLine="440"/>
        <w:spacing w:after="0" w:line="266" w:lineRule="auto"/>
        <w:tabs>
          <w:tab w:leader="none" w:pos="6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ind w:firstLine="440"/>
        <w:spacing w:after="0" w:line="282" w:lineRule="auto"/>
        <w:tabs>
          <w:tab w:leader="none" w:pos="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sz w:val="20"/>
          <w:szCs w:val="20"/>
          <w:color w:val="auto"/>
        </w:rPr>
      </w:pPr>
    </w:p>
    <w:p>
      <w:pPr>
        <w:ind w:firstLine="440"/>
        <w:spacing w:after="0" w:line="282" w:lineRule="auto"/>
        <w:tabs>
          <w:tab w:leader="none" w:pos="6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6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25, 2017</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27" w:lineRule="exact"/>
        <w:rPr>
          <w:sz w:val="20"/>
          <w:szCs w:val="20"/>
          <w:color w:val="auto"/>
        </w:rPr>
      </w:pPr>
    </w:p>
    <w:p>
      <w:pPr>
        <w:ind w:right="20" w:firstLine="440"/>
        <w:spacing w:after="0" w:line="282" w:lineRule="auto"/>
        <w:tabs>
          <w:tab w:leader="none" w:pos="7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2017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25, 2017</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76"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Brady Corporation (the “Company”) certifies to his knowledge that:</w:t>
      </w:r>
    </w:p>
    <w:p>
      <w:pPr>
        <w:spacing w:after="0" w:line="27" w:lineRule="exact"/>
        <w:rPr>
          <w:sz w:val="20"/>
          <w:szCs w:val="20"/>
          <w:color w:val="auto"/>
        </w:rPr>
      </w:pPr>
    </w:p>
    <w:p>
      <w:pPr>
        <w:ind w:right="20" w:firstLine="440"/>
        <w:spacing w:after="0" w:line="282" w:lineRule="auto"/>
        <w:tabs>
          <w:tab w:leader="none" w:pos="7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April 30, 2017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firstLine="440"/>
        <w:spacing w:after="0" w:line="282" w:lineRule="auto"/>
        <w:tabs>
          <w:tab w:leader="none" w:pos="7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25, 2017</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98"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931"/>
    </w:lvl>
  </w:abstractNum>
  <w:abstractNum w:abstractNumId="3">
    <w:nsid w:val="1190CDE7"/>
    <w:multiLevelType w:val="hybridMultilevel"/>
    <w:lvl w:ilvl="0">
      <w:lvlJc w:val="left"/>
      <w:lvlText w:val="%1"/>
      <w:numFmt w:val="decimal"/>
      <w:start w:val="38"/>
    </w:lvl>
  </w:abstractNum>
  <w:abstractNum w:abstractNumId="4">
    <w:nsid w:val="66EF438D"/>
    <w:multiLevelType w:val="hybridMultilevel"/>
    <w:lvl w:ilvl="0">
      <w:lvlJc w:val="left"/>
      <w:lvlText w:val="\emdash "/>
      <w:numFmt w:val="bullet"/>
      <w:start w:val="1"/>
    </w:lvl>
  </w:abstractNum>
  <w:abstractNum w:abstractNumId="5">
    <w:nsid w:val="140E0F76"/>
    <w:multiLevelType w:val="hybridMultilevel"/>
    <w:lvl w:ilvl="0">
      <w:lvlJc w:val="left"/>
      <w:lvlText w:val="\emdash "/>
      <w:numFmt w:val="bullet"/>
      <w:start w:val="1"/>
    </w:lvl>
  </w:abstractNum>
  <w:abstractNum w:abstractNumId="6">
    <w:nsid w:val="3352255A"/>
    <w:multiLevelType w:val="hybridMultilevel"/>
    <w:lvl w:ilvl="0">
      <w:lvlJc w:val="left"/>
      <w:lvlText w:val="(%1)"/>
      <w:numFmt w:val="decimal"/>
      <w:start w:val="512"/>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2019-12-29T05:50:10Z</dcterms:created>
  <dcterms:modified xsi:type="dcterms:W3CDTF">2019-12-29T05:50:10Z</dcterms:modified>
</cp:coreProperties>
</file>