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w:t>
      </w:r>
    </w:p>
    <w:p>
      <w:pPr>
        <w:spacing w:after="0" w:line="238" w:lineRule="auto"/>
        <w:rPr>
          <w:sz w:val="20"/>
          <w:szCs w:val="20"/>
          <w:color w:val="auto"/>
        </w:rPr>
      </w:pPr>
      <w:r>
        <w:rPr>
          <w:rFonts w:ascii="Courier New" w:cs="Courier New" w:eastAsia="Courier New" w:hAnsi="Courier New"/>
          <w:sz w:val="18"/>
          <w:szCs w:val="18"/>
          <w:color w:val="auto"/>
        </w:rPr>
        <w:t>(12-02)Persons who respond to the collection of information contained in this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are not required to respond unless the form displays a currently valid OMB</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control number</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OMB APPROVALOMB NUMBER:</w:t>
      </w:r>
      <w:r>
        <w:rPr>
          <w:sz w:val="20"/>
          <w:szCs w:val="20"/>
          <w:color w:val="auto"/>
        </w:rPr>
        <w:tab/>
      </w:r>
      <w:r>
        <w:rPr>
          <w:rFonts w:ascii="Courier New" w:cs="Courier New" w:eastAsia="Courier New" w:hAnsi="Courier New"/>
          <w:sz w:val="16"/>
          <w:szCs w:val="16"/>
          <w:color w:val="auto"/>
        </w:rPr>
        <w:t>3235-0145Expires: 12/31/2007Estimated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rPr>
          <w:sz w:val="20"/>
          <w:szCs w:val="20"/>
          <w:color w:val="auto"/>
        </w:rPr>
      </w:pPr>
      <w:r>
        <w:rPr>
          <w:rFonts w:ascii="Courier New" w:cs="Courier New" w:eastAsia="Courier New" w:hAnsi="Courier New"/>
          <w:sz w:val="18"/>
          <w:szCs w:val="18"/>
          <w:color w:val="auto"/>
        </w:rPr>
        <w:t>UNITED STATES</w:t>
      </w:r>
    </w:p>
    <w:p>
      <w:pPr>
        <w:spacing w:after="0" w:line="237"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No.22)*</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7"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08/31/2008</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02-07124182.</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 w:lineRule="exact"/>
        <w:rPr>
          <w:rFonts w:ascii="Courier New" w:cs="Courier New" w:eastAsia="Courier New" w:hAnsi="Courier New"/>
          <w:sz w:val="18"/>
          <w:szCs w:val="18"/>
          <w:color w:val="auto"/>
        </w:rPr>
      </w:pPr>
    </w:p>
    <w:p>
      <w:pPr>
        <w:ind w:left="860" w:right="557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line="234"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4"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5,048,557</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6,349,257</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6,353,562</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6,353,562/50,312,341=12.6%</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right="70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Ariel Investments, LLC</w:t>
      </w: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w:t>
      </w:r>
    </w:p>
    <w:p>
      <w:pPr>
        <w:spacing w:after="0" w:line="5" w:lineRule="exact"/>
        <w:rPr>
          <w:sz w:val="20"/>
          <w:szCs w:val="20"/>
          <w:color w:val="auto"/>
        </w:rPr>
      </w:pPr>
    </w:p>
    <w:p>
      <w:pPr>
        <w:ind w:left="1700" w:right="1579"/>
        <w:spacing w:after="0" w:line="268" w:lineRule="auto"/>
        <w:rPr>
          <w:sz w:val="20"/>
          <w:szCs w:val="20"/>
          <w:color w:val="auto"/>
        </w:rPr>
      </w:pPr>
      <w:r>
        <w:rPr>
          <w:rFonts w:ascii="Courier New" w:cs="Courier New" w:eastAsia="Courier New" w:hAnsi="Courier New"/>
          <w:sz w:val="16"/>
          <w:szCs w:val="16"/>
          <w:color w:val="auto"/>
        </w:rPr>
        <w:t>Act(15 U.S.C. 78c).(d) [_] Investment company registered under section 8 of the Investment Company Act of 1940 (15 U.S.C. 80a-8).</w:t>
      </w: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2,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2,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2,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2,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5"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Investments, LLC's clients have an economic interest in more than 5% of the subject securities reported upon this Schedule.</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ind w:left="86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the securities referred to above were acquired and are held in the ordinary</w:t>
      </w:r>
    </w:p>
    <w:p>
      <w:pPr>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w:t>
      </w:r>
    </w:p>
    <w:p>
      <w:pPr>
        <w:spacing w:after="0"/>
        <w:rPr>
          <w:sz w:val="20"/>
          <w:szCs w:val="20"/>
          <w:color w:val="auto"/>
        </w:rPr>
      </w:pPr>
      <w:r>
        <w:rPr>
          <w:rFonts w:ascii="Courier New" w:cs="Courier New" w:eastAsia="Courier New" w:hAnsi="Courier New"/>
          <w:sz w:val="18"/>
          <w:szCs w:val="18"/>
          <w:color w:val="auto"/>
        </w:rPr>
        <w:t>of or with the effect of changing or influencing the control of the issuer of</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2019-12-13T14:19:47Z</dcterms:created>
  <dcterms:modified xsi:type="dcterms:W3CDTF">2019-12-13T14:19:47Z</dcterms:modified>
</cp:coreProperties>
</file>