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2"/>
          <w:szCs w:val="22"/>
          <w:b w:val="1"/>
          <w:bCs w:val="1"/>
          <w:color w:val="auto"/>
        </w:rPr>
        <w:t>UNITED STATES</w:t>
      </w:r>
    </w:p>
    <w:p>
      <w:pPr>
        <w:spacing w:after="0" w:line="23"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9"/>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2772410</wp:posOffset>
            </wp:positionH>
            <wp:positionV relativeFrom="paragraph">
              <wp:posOffset>36195</wp:posOffset>
            </wp:positionV>
            <wp:extent cx="1594485"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94485" cy="5715"/>
                    </a:xfrm>
                    <a:prstGeom prst="rect">
                      <a:avLst/>
                    </a:prstGeom>
                    <a:noFill/>
                  </pic:spPr>
                </pic:pic>
              </a:graphicData>
            </a:graphic>
          </wp:anchor>
        </w:drawing>
      </w:r>
    </w:p>
    <w:p>
      <w:pPr>
        <w:spacing w:after="0" w:line="217"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2772410</wp:posOffset>
            </wp:positionH>
            <wp:positionV relativeFrom="paragraph">
              <wp:posOffset>45085</wp:posOffset>
            </wp:positionV>
            <wp:extent cx="1594485"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94485" cy="5715"/>
                    </a:xfrm>
                    <a:prstGeom prst="rect">
                      <a:avLst/>
                    </a:prstGeom>
                    <a:noFill/>
                  </pic:spPr>
                </pic:pic>
              </a:graphicData>
            </a:graphic>
          </wp:anchor>
        </w:drawing>
      </w:r>
    </w:p>
    <w:p>
      <w:pPr>
        <w:spacing w:after="0" w:line="244" w:lineRule="exact"/>
        <w:rPr>
          <w:sz w:val="24"/>
          <w:szCs w:val="24"/>
          <w:color w:val="auto"/>
        </w:rPr>
      </w:pPr>
    </w:p>
    <w:p>
      <w:pPr>
        <w:jc w:val="center"/>
        <w:ind w:right="-39"/>
        <w:spacing w:after="0"/>
        <w:rPr>
          <w:sz w:val="20"/>
          <w:szCs w:val="20"/>
          <w:color w:val="auto"/>
        </w:rPr>
      </w:pPr>
      <w:r>
        <w:rPr>
          <w:rFonts w:ascii="Arial" w:cs="Arial" w:eastAsia="Arial" w:hAnsi="Arial"/>
          <w:sz w:val="17"/>
          <w:szCs w:val="17"/>
          <w:b w:val="1"/>
          <w:bCs w:val="1"/>
          <w:color w:val="auto"/>
        </w:rPr>
        <w:t>CURRENT REPORT</w:t>
      </w:r>
    </w:p>
    <w:p>
      <w:pPr>
        <w:spacing w:after="0" w:line="116"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Pursuant to Section 13 or 15(d) of the</w:t>
      </w:r>
    </w:p>
    <w:p>
      <w:pPr>
        <w:spacing w:after="0" w:line="25"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Securities Exchange Act of 1934</w:t>
      </w:r>
    </w:p>
    <w:p>
      <w:pPr>
        <w:spacing w:after="0" w:line="103"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Date of Report (Date of earliest event reported): May 19,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2772410</wp:posOffset>
            </wp:positionH>
            <wp:positionV relativeFrom="paragraph">
              <wp:posOffset>46355</wp:posOffset>
            </wp:positionV>
            <wp:extent cx="1594485"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94485" cy="5715"/>
                    </a:xfrm>
                    <a:prstGeom prst="rect">
                      <a:avLst/>
                    </a:prstGeom>
                    <a:noFill/>
                  </pic:spPr>
                </pic:pic>
              </a:graphicData>
            </a:graphic>
          </wp:anchor>
        </w:drawing>
      </w:r>
    </w:p>
    <w:p>
      <w:pPr>
        <w:spacing w:after="0" w:line="305"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BRADY CORPORATION</w:t>
      </w:r>
    </w:p>
    <w:p>
      <w:pPr>
        <w:spacing w:after="0" w:line="28" w:lineRule="exact"/>
        <w:rPr>
          <w:sz w:val="24"/>
          <w:szCs w:val="24"/>
          <w:color w:val="auto"/>
        </w:rPr>
      </w:pPr>
    </w:p>
    <w:p>
      <w:pPr>
        <w:jc w:val="center"/>
        <w:ind w:right="-39"/>
        <w:spacing w:after="0"/>
        <w:rPr>
          <w:sz w:val="20"/>
          <w:szCs w:val="20"/>
          <w:color w:val="auto"/>
        </w:rPr>
      </w:pPr>
      <w:r>
        <w:rPr>
          <w:rFonts w:ascii="Arial" w:cs="Arial" w:eastAsia="Arial" w:hAnsi="Arial"/>
          <w:sz w:val="12"/>
          <w:szCs w:val="12"/>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2772410</wp:posOffset>
            </wp:positionH>
            <wp:positionV relativeFrom="paragraph">
              <wp:posOffset>37465</wp:posOffset>
            </wp:positionV>
            <wp:extent cx="1594485"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94485" cy="5715"/>
                    </a:xfrm>
                    <a:prstGeom prst="rect">
                      <a:avLst/>
                    </a:prstGeom>
                    <a:noFill/>
                  </pic:spPr>
                </pic:pic>
              </a:graphicData>
            </a:graphic>
          </wp:anchor>
        </w:drawing>
      </w:r>
    </w:p>
    <w:p>
      <w:pPr>
        <w:spacing w:after="0" w:line="188" w:lineRule="exact"/>
        <w:rPr>
          <w:sz w:val="24"/>
          <w:szCs w:val="24"/>
          <w:color w:val="auto"/>
        </w:rPr>
      </w:pPr>
    </w:p>
    <w:tbl>
      <w:tblPr>
        <w:tblLayout w:type="fixed"/>
        <w:tblInd w:w="1520" w:type="dxa"/>
        <w:tblCellMar>
          <w:top w:w="0" w:type="dxa"/>
          <w:left w:w="0" w:type="dxa"/>
          <w:bottom w:w="0" w:type="dxa"/>
          <w:right w:w="0" w:type="dxa"/>
        </w:tblCellMar>
      </w:tblPr>
      <w:tr>
        <w:trPr>
          <w:trHeight w:val="157"/>
        </w:trPr>
        <w:tc>
          <w:tcPr>
            <w:tcW w:w="2840" w:type="dxa"/>
            <w:vAlign w:val="bottom"/>
          </w:tcPr>
          <w:p>
            <w:pPr>
              <w:spacing w:after="0"/>
              <w:rPr>
                <w:sz w:val="13"/>
                <w:szCs w:val="13"/>
                <w:color w:val="auto"/>
              </w:rPr>
            </w:pPr>
          </w:p>
        </w:tc>
        <w:tc>
          <w:tcPr>
            <w:tcW w:w="4920" w:type="dxa"/>
            <w:vAlign w:val="bottom"/>
            <w:gridSpan w:val="2"/>
          </w:tcPr>
          <w:p>
            <w:pPr>
              <w:jc w:val="center"/>
              <w:ind w:right="2292"/>
              <w:spacing w:after="0"/>
              <w:rPr>
                <w:sz w:val="20"/>
                <w:szCs w:val="20"/>
                <w:color w:val="auto"/>
              </w:rPr>
            </w:pPr>
            <w:r>
              <w:rPr>
                <w:rFonts w:ascii="Arial" w:cs="Arial" w:eastAsia="Arial" w:hAnsi="Arial"/>
                <w:sz w:val="12"/>
                <w:szCs w:val="12"/>
                <w:b w:val="1"/>
                <w:bCs w:val="1"/>
                <w:color w:val="auto"/>
                <w:w w:val="90"/>
              </w:rPr>
              <w:t>Commission File Number 1-14959</w:t>
            </w:r>
          </w:p>
        </w:tc>
      </w:tr>
      <w:tr>
        <w:trPr>
          <w:trHeight w:val="346"/>
        </w:trPr>
        <w:tc>
          <w:tcPr>
            <w:tcW w:w="2840" w:type="dxa"/>
            <w:vAlign w:val="bottom"/>
          </w:tcPr>
          <w:p>
            <w:pPr>
              <w:jc w:val="center"/>
              <w:ind w:right="306"/>
              <w:spacing w:after="0"/>
              <w:rPr>
                <w:sz w:val="20"/>
                <w:szCs w:val="20"/>
                <w:color w:val="auto"/>
              </w:rPr>
            </w:pPr>
            <w:r>
              <w:rPr>
                <w:rFonts w:ascii="Arial" w:cs="Arial" w:eastAsia="Arial" w:hAnsi="Arial"/>
                <w:sz w:val="12"/>
                <w:szCs w:val="12"/>
                <w:b w:val="1"/>
                <w:bCs w:val="1"/>
                <w:color w:val="auto"/>
                <w:w w:val="86"/>
              </w:rPr>
              <w:t>Wisconsin</w:t>
            </w:r>
          </w:p>
        </w:tc>
        <w:tc>
          <w:tcPr>
            <w:tcW w:w="4920" w:type="dxa"/>
            <w:vAlign w:val="bottom"/>
            <w:gridSpan w:val="2"/>
          </w:tcPr>
          <w:p>
            <w:pPr>
              <w:jc w:val="right"/>
              <w:ind w:right="372"/>
              <w:spacing w:after="0"/>
              <w:rPr>
                <w:sz w:val="20"/>
                <w:szCs w:val="20"/>
                <w:color w:val="auto"/>
              </w:rPr>
            </w:pPr>
            <w:r>
              <w:rPr>
                <w:rFonts w:ascii="Arial" w:cs="Arial" w:eastAsia="Arial" w:hAnsi="Arial"/>
                <w:sz w:val="12"/>
                <w:szCs w:val="12"/>
                <w:b w:val="1"/>
                <w:bCs w:val="1"/>
                <w:color w:val="auto"/>
              </w:rPr>
              <w:t>39-0971239</w:t>
            </w:r>
          </w:p>
        </w:tc>
      </w:tr>
      <w:tr>
        <w:trPr>
          <w:trHeight w:val="123"/>
        </w:trPr>
        <w:tc>
          <w:tcPr>
            <w:tcW w:w="2840" w:type="dxa"/>
            <w:vAlign w:val="bottom"/>
          </w:tcPr>
          <w:p>
            <w:pPr>
              <w:jc w:val="center"/>
              <w:ind w:right="306"/>
              <w:spacing w:after="0"/>
              <w:rPr>
                <w:sz w:val="20"/>
                <w:szCs w:val="20"/>
                <w:color w:val="auto"/>
              </w:rPr>
            </w:pPr>
            <w:r>
              <w:rPr>
                <w:rFonts w:ascii="Arial" w:cs="Arial" w:eastAsia="Arial" w:hAnsi="Arial"/>
                <w:sz w:val="10"/>
                <w:szCs w:val="10"/>
                <w:b w:val="1"/>
                <w:bCs w:val="1"/>
                <w:color w:val="auto"/>
                <w:w w:val="87"/>
              </w:rPr>
              <w:t>(State or other jurisdiction of incorporation or organization)</w:t>
            </w:r>
          </w:p>
        </w:tc>
        <w:tc>
          <w:tcPr>
            <w:tcW w:w="2520" w:type="dxa"/>
            <w:vAlign w:val="bottom"/>
          </w:tcPr>
          <w:p>
            <w:pPr>
              <w:spacing w:after="0"/>
              <w:rPr>
                <w:sz w:val="10"/>
                <w:szCs w:val="10"/>
                <w:color w:val="auto"/>
              </w:rPr>
            </w:pPr>
          </w:p>
        </w:tc>
        <w:tc>
          <w:tcPr>
            <w:tcW w:w="2400" w:type="dxa"/>
            <w:vAlign w:val="bottom"/>
          </w:tcPr>
          <w:p>
            <w:pPr>
              <w:jc w:val="center"/>
              <w:ind w:left="952"/>
              <w:spacing w:after="0"/>
              <w:rPr>
                <w:sz w:val="20"/>
                <w:szCs w:val="20"/>
                <w:color w:val="auto"/>
              </w:rPr>
            </w:pPr>
            <w:r>
              <w:rPr>
                <w:rFonts w:ascii="Arial" w:cs="Arial" w:eastAsia="Arial" w:hAnsi="Arial"/>
                <w:sz w:val="10"/>
                <w:szCs w:val="10"/>
                <w:b w:val="1"/>
                <w:bCs w:val="1"/>
                <w:color w:val="auto"/>
                <w:w w:val="89"/>
              </w:rPr>
              <w:t>(IRS Employer Identification No.)</w:t>
            </w:r>
          </w:p>
        </w:tc>
      </w:tr>
      <w:tr>
        <w:trPr>
          <w:trHeight w:val="287"/>
        </w:trPr>
        <w:tc>
          <w:tcPr>
            <w:tcW w:w="2840" w:type="dxa"/>
            <w:vAlign w:val="bottom"/>
          </w:tcPr>
          <w:p>
            <w:pPr>
              <w:spacing w:after="0"/>
              <w:rPr>
                <w:sz w:val="24"/>
                <w:szCs w:val="24"/>
                <w:color w:val="auto"/>
              </w:rPr>
            </w:pPr>
          </w:p>
        </w:tc>
        <w:tc>
          <w:tcPr>
            <w:tcW w:w="4920" w:type="dxa"/>
            <w:vAlign w:val="bottom"/>
            <w:gridSpan w:val="2"/>
          </w:tcPr>
          <w:p>
            <w:pPr>
              <w:jc w:val="center"/>
              <w:ind w:right="2312"/>
              <w:spacing w:after="0"/>
              <w:rPr>
                <w:sz w:val="20"/>
                <w:szCs w:val="20"/>
                <w:color w:val="auto"/>
              </w:rPr>
            </w:pPr>
            <w:r>
              <w:rPr>
                <w:rFonts w:ascii="Arial" w:cs="Arial" w:eastAsia="Arial" w:hAnsi="Arial"/>
                <w:sz w:val="12"/>
                <w:szCs w:val="12"/>
                <w:b w:val="1"/>
                <w:bCs w:val="1"/>
                <w:color w:val="auto"/>
                <w:w w:val="89"/>
              </w:rPr>
              <w:t>6555 West Good Hope Road</w:t>
            </w:r>
          </w:p>
        </w:tc>
      </w:tr>
      <w:tr>
        <w:trPr>
          <w:trHeight w:val="216"/>
        </w:trPr>
        <w:tc>
          <w:tcPr>
            <w:tcW w:w="2840" w:type="dxa"/>
            <w:vAlign w:val="bottom"/>
          </w:tcPr>
          <w:p>
            <w:pPr>
              <w:spacing w:after="0"/>
              <w:rPr>
                <w:sz w:val="18"/>
                <w:szCs w:val="18"/>
                <w:color w:val="auto"/>
              </w:rPr>
            </w:pPr>
          </w:p>
        </w:tc>
        <w:tc>
          <w:tcPr>
            <w:tcW w:w="4920" w:type="dxa"/>
            <w:vAlign w:val="bottom"/>
            <w:gridSpan w:val="2"/>
          </w:tcPr>
          <w:p>
            <w:pPr>
              <w:jc w:val="center"/>
              <w:ind w:right="2312"/>
              <w:spacing w:after="0"/>
              <w:rPr>
                <w:sz w:val="20"/>
                <w:szCs w:val="20"/>
                <w:color w:val="auto"/>
              </w:rPr>
            </w:pPr>
            <w:r>
              <w:rPr>
                <w:rFonts w:ascii="Arial" w:cs="Arial" w:eastAsia="Arial" w:hAnsi="Arial"/>
                <w:sz w:val="12"/>
                <w:szCs w:val="12"/>
                <w:b w:val="1"/>
                <w:bCs w:val="1"/>
                <w:color w:val="auto"/>
                <w:w w:val="90"/>
              </w:rPr>
              <w:t>Milwaukee, Wisconsin 53223</w:t>
            </w:r>
          </w:p>
        </w:tc>
      </w:tr>
      <w:tr>
        <w:trPr>
          <w:trHeight w:val="181"/>
        </w:trPr>
        <w:tc>
          <w:tcPr>
            <w:tcW w:w="2840" w:type="dxa"/>
            <w:vAlign w:val="bottom"/>
          </w:tcPr>
          <w:p>
            <w:pPr>
              <w:spacing w:after="0"/>
              <w:rPr>
                <w:sz w:val="15"/>
                <w:szCs w:val="15"/>
                <w:color w:val="auto"/>
              </w:rPr>
            </w:pPr>
          </w:p>
        </w:tc>
        <w:tc>
          <w:tcPr>
            <w:tcW w:w="4920" w:type="dxa"/>
            <w:vAlign w:val="bottom"/>
            <w:gridSpan w:val="2"/>
          </w:tcPr>
          <w:p>
            <w:pPr>
              <w:jc w:val="center"/>
              <w:ind w:right="2312"/>
              <w:spacing w:after="0"/>
              <w:rPr>
                <w:sz w:val="20"/>
                <w:szCs w:val="20"/>
                <w:color w:val="auto"/>
              </w:rPr>
            </w:pPr>
            <w:r>
              <w:rPr>
                <w:rFonts w:ascii="Arial" w:cs="Arial" w:eastAsia="Arial" w:hAnsi="Arial"/>
                <w:sz w:val="10"/>
                <w:szCs w:val="10"/>
                <w:b w:val="1"/>
                <w:bCs w:val="1"/>
                <w:color w:val="auto"/>
                <w:w w:val="85"/>
              </w:rPr>
              <w:t>(Address of principal executive offices and Zip Code)</w:t>
            </w:r>
          </w:p>
        </w:tc>
      </w:tr>
      <w:tr>
        <w:trPr>
          <w:trHeight w:val="201"/>
        </w:trPr>
        <w:tc>
          <w:tcPr>
            <w:tcW w:w="2840" w:type="dxa"/>
            <w:vAlign w:val="bottom"/>
          </w:tcPr>
          <w:p>
            <w:pPr>
              <w:spacing w:after="0"/>
              <w:rPr>
                <w:sz w:val="17"/>
                <w:szCs w:val="17"/>
                <w:color w:val="auto"/>
              </w:rPr>
            </w:pPr>
          </w:p>
        </w:tc>
        <w:tc>
          <w:tcPr>
            <w:tcW w:w="2520" w:type="dxa"/>
            <w:vAlign w:val="bottom"/>
          </w:tcPr>
          <w:p>
            <w:pPr>
              <w:jc w:val="center"/>
              <w:spacing w:after="0"/>
              <w:rPr>
                <w:sz w:val="20"/>
                <w:szCs w:val="20"/>
                <w:color w:val="auto"/>
              </w:rPr>
            </w:pPr>
            <w:r>
              <w:rPr>
                <w:rFonts w:ascii="Arial" w:cs="Arial" w:eastAsia="Arial" w:hAnsi="Arial"/>
                <w:sz w:val="12"/>
                <w:szCs w:val="12"/>
                <w:b w:val="1"/>
                <w:bCs w:val="1"/>
                <w:color w:val="auto"/>
                <w:w w:val="92"/>
              </w:rPr>
              <w:t>(414) 358-6600</w:t>
            </w:r>
          </w:p>
        </w:tc>
        <w:tc>
          <w:tcPr>
            <w:tcW w:w="2400" w:type="dxa"/>
            <w:vAlign w:val="bottom"/>
          </w:tcPr>
          <w:p>
            <w:pPr>
              <w:spacing w:after="0"/>
              <w:rPr>
                <w:sz w:val="17"/>
                <w:szCs w:val="17"/>
                <w:color w:val="auto"/>
              </w:rPr>
            </w:pPr>
          </w:p>
        </w:tc>
      </w:tr>
      <w:tr>
        <w:trPr>
          <w:trHeight w:val="123"/>
        </w:trPr>
        <w:tc>
          <w:tcPr>
            <w:tcW w:w="2840" w:type="dxa"/>
            <w:vAlign w:val="bottom"/>
          </w:tcPr>
          <w:p>
            <w:pPr>
              <w:spacing w:after="0"/>
              <w:rPr>
                <w:sz w:val="10"/>
                <w:szCs w:val="10"/>
                <w:color w:val="auto"/>
              </w:rPr>
            </w:pPr>
          </w:p>
        </w:tc>
        <w:tc>
          <w:tcPr>
            <w:tcW w:w="4920" w:type="dxa"/>
            <w:vAlign w:val="bottom"/>
            <w:gridSpan w:val="2"/>
          </w:tcPr>
          <w:p>
            <w:pPr>
              <w:jc w:val="center"/>
              <w:ind w:right="2312"/>
              <w:spacing w:after="0"/>
              <w:rPr>
                <w:sz w:val="20"/>
                <w:szCs w:val="20"/>
                <w:color w:val="auto"/>
              </w:rPr>
            </w:pPr>
            <w:r>
              <w:rPr>
                <w:rFonts w:ascii="Arial" w:cs="Arial" w:eastAsia="Arial" w:hAnsi="Arial"/>
                <w:sz w:val="10"/>
                <w:szCs w:val="10"/>
                <w:b w:val="1"/>
                <w:bCs w:val="1"/>
                <w:color w:val="auto"/>
                <w:w w:val="86"/>
              </w:rPr>
              <w:t>(Registrant’s Telephone Number)</w:t>
            </w:r>
          </w:p>
        </w:tc>
      </w:tr>
      <w:tr>
        <w:trPr>
          <w:trHeight w:val="53"/>
        </w:trPr>
        <w:tc>
          <w:tcPr>
            <w:tcW w:w="2840" w:type="dxa"/>
            <w:vAlign w:val="bottom"/>
          </w:tcPr>
          <w:p>
            <w:pPr>
              <w:spacing w:after="0"/>
              <w:rPr>
                <w:sz w:val="4"/>
                <w:szCs w:val="4"/>
                <w:color w:val="auto"/>
              </w:rPr>
            </w:pPr>
          </w:p>
        </w:tc>
        <w:tc>
          <w:tcPr>
            <w:tcW w:w="2520" w:type="dxa"/>
            <w:vAlign w:val="bottom"/>
            <w:tcBorders>
              <w:bottom w:val="single" w:sz="8" w:color="auto"/>
            </w:tcBorders>
          </w:tcPr>
          <w:p>
            <w:pPr>
              <w:spacing w:after="0"/>
              <w:rPr>
                <w:sz w:val="4"/>
                <w:szCs w:val="4"/>
                <w:color w:val="auto"/>
              </w:rPr>
            </w:pPr>
          </w:p>
        </w:tc>
        <w:tc>
          <w:tcPr>
            <w:tcW w:w="2400" w:type="dxa"/>
            <w:vAlign w:val="bottom"/>
          </w:tcPr>
          <w:p>
            <w:pPr>
              <w:spacing w:after="0"/>
              <w:rPr>
                <w:sz w:val="4"/>
                <w:szCs w:val="4"/>
                <w:color w:val="auto"/>
              </w:rPr>
            </w:pPr>
          </w:p>
        </w:tc>
      </w:tr>
    </w:tbl>
    <w:p>
      <w:pPr>
        <w:spacing w:after="0" w:line="180" w:lineRule="exact"/>
        <w:rPr>
          <w:sz w:val="24"/>
          <w:szCs w:val="24"/>
          <w:color w:val="auto"/>
        </w:rPr>
      </w:pPr>
    </w:p>
    <w:p>
      <w:pPr>
        <w:spacing w:after="0"/>
        <w:rPr>
          <w:sz w:val="20"/>
          <w:szCs w:val="20"/>
          <w:color w:val="auto"/>
        </w:rPr>
      </w:pPr>
      <w:r>
        <w:rPr>
          <w:rFonts w:ascii="Arial" w:cs="Arial" w:eastAsia="Arial" w:hAnsi="Arial"/>
          <w:sz w:val="12"/>
          <w:szCs w:val="12"/>
          <w:color w:val="auto"/>
        </w:rPr>
        <w:t>Check the appropriate box below if the Form 8-K filing is intended to simultaneously satisfy the filing obligation of the registrant under any of the following provisions:</w:t>
      </w:r>
    </w:p>
    <w:p>
      <w:pPr>
        <w:spacing w:after="0" w:line="33" w:lineRule="exact"/>
        <w:rPr>
          <w:sz w:val="24"/>
          <w:szCs w:val="24"/>
          <w:color w:val="auto"/>
        </w:rPr>
      </w:pPr>
    </w:p>
    <w:p>
      <w:pPr>
        <w:ind w:left="680" w:hanging="676"/>
        <w:spacing w:after="0"/>
        <w:tabs>
          <w:tab w:leader="none" w:pos="680" w:val="left"/>
        </w:tabs>
        <w:numPr>
          <w:ilvl w:val="0"/>
          <w:numId w:val="1"/>
        </w:numPr>
        <w:rPr>
          <w:rFonts w:ascii="MS PGothic" w:cs="MS PGothic" w:eastAsia="MS PGothic" w:hAnsi="MS PGothic"/>
          <w:sz w:val="14"/>
          <w:szCs w:val="14"/>
          <w:color w:val="auto"/>
        </w:rPr>
      </w:pPr>
      <w:r>
        <w:rPr>
          <w:rFonts w:ascii="Arial" w:cs="Arial" w:eastAsia="Arial" w:hAnsi="Arial"/>
          <w:sz w:val="12"/>
          <w:szCs w:val="12"/>
          <w:color w:val="auto"/>
        </w:rPr>
        <w:t>Written communications pursuant to Rule 425 under the Securities Act (17 CFR 230.425)</w:t>
      </w:r>
    </w:p>
    <w:p>
      <w:pPr>
        <w:spacing w:after="0" w:line="70" w:lineRule="exact"/>
        <w:rPr>
          <w:rFonts w:ascii="MS PGothic" w:cs="MS PGothic" w:eastAsia="MS PGothic" w:hAnsi="MS PGothic"/>
          <w:sz w:val="14"/>
          <w:szCs w:val="14"/>
          <w:color w:val="auto"/>
        </w:rPr>
      </w:pPr>
    </w:p>
    <w:p>
      <w:pPr>
        <w:ind w:left="680" w:hanging="676"/>
        <w:spacing w:after="0"/>
        <w:tabs>
          <w:tab w:leader="none" w:pos="680" w:val="left"/>
        </w:tabs>
        <w:numPr>
          <w:ilvl w:val="0"/>
          <w:numId w:val="1"/>
        </w:numPr>
        <w:rPr>
          <w:rFonts w:ascii="MS PGothic" w:cs="MS PGothic" w:eastAsia="MS PGothic" w:hAnsi="MS PGothic"/>
          <w:sz w:val="14"/>
          <w:szCs w:val="14"/>
          <w:color w:val="auto"/>
        </w:rPr>
      </w:pPr>
      <w:r>
        <w:rPr>
          <w:rFonts w:ascii="Arial" w:cs="Arial" w:eastAsia="Arial" w:hAnsi="Arial"/>
          <w:sz w:val="12"/>
          <w:szCs w:val="12"/>
          <w:color w:val="auto"/>
        </w:rPr>
        <w:t>Soliciting material pursuant to Rule 14a-12 under the Exchange Act (17 CFR 240.14a-12)</w:t>
      </w:r>
    </w:p>
    <w:p>
      <w:pPr>
        <w:spacing w:after="0" w:line="70" w:lineRule="exact"/>
        <w:rPr>
          <w:rFonts w:ascii="MS PGothic" w:cs="MS PGothic" w:eastAsia="MS PGothic" w:hAnsi="MS PGothic"/>
          <w:sz w:val="14"/>
          <w:szCs w:val="14"/>
          <w:color w:val="auto"/>
        </w:rPr>
      </w:pPr>
    </w:p>
    <w:p>
      <w:pPr>
        <w:ind w:left="680" w:hanging="676"/>
        <w:spacing w:after="0"/>
        <w:tabs>
          <w:tab w:leader="none" w:pos="680" w:val="left"/>
        </w:tabs>
        <w:numPr>
          <w:ilvl w:val="0"/>
          <w:numId w:val="1"/>
        </w:numPr>
        <w:rPr>
          <w:rFonts w:ascii="MS PGothic" w:cs="MS PGothic" w:eastAsia="MS PGothic" w:hAnsi="MS PGothic"/>
          <w:sz w:val="14"/>
          <w:szCs w:val="14"/>
          <w:color w:val="auto"/>
        </w:rPr>
      </w:pPr>
      <w:r>
        <w:rPr>
          <w:rFonts w:ascii="Arial" w:cs="Arial" w:eastAsia="Arial" w:hAnsi="Arial"/>
          <w:sz w:val="12"/>
          <w:szCs w:val="12"/>
          <w:color w:val="auto"/>
        </w:rPr>
        <w:t>Pre-commencement communications pursuant to Rule 14d-2(b) under the Exchange Act (17 CFR 240.14d-2(b))</w:t>
      </w:r>
    </w:p>
    <w:p>
      <w:pPr>
        <w:spacing w:after="0" w:line="70" w:lineRule="exact"/>
        <w:rPr>
          <w:rFonts w:ascii="MS PGothic" w:cs="MS PGothic" w:eastAsia="MS PGothic" w:hAnsi="MS PGothic"/>
          <w:sz w:val="14"/>
          <w:szCs w:val="14"/>
          <w:color w:val="auto"/>
        </w:rPr>
      </w:pPr>
    </w:p>
    <w:p>
      <w:pPr>
        <w:ind w:left="680" w:hanging="676"/>
        <w:spacing w:after="0"/>
        <w:tabs>
          <w:tab w:leader="none" w:pos="680" w:val="left"/>
        </w:tabs>
        <w:numPr>
          <w:ilvl w:val="0"/>
          <w:numId w:val="1"/>
        </w:numPr>
        <w:rPr>
          <w:rFonts w:ascii="MS PGothic" w:cs="MS PGothic" w:eastAsia="MS PGothic" w:hAnsi="MS PGothic"/>
          <w:sz w:val="14"/>
          <w:szCs w:val="14"/>
          <w:color w:val="auto"/>
        </w:rPr>
      </w:pPr>
      <w:r>
        <w:rPr>
          <w:rFonts w:ascii="Arial" w:cs="Arial" w:eastAsia="Arial" w:hAnsi="Arial"/>
          <w:sz w:val="12"/>
          <w:szCs w:val="12"/>
          <w:color w:val="auto"/>
        </w:rPr>
        <w:t>Pre-commencement communications pursuant to Rule 13e-4(c) under the Exchange Act (17 CFR 240.13e-4(c))</w:t>
      </w:r>
    </w:p>
    <w:p>
      <w:pPr>
        <w:spacing w:after="0" w:line="196" w:lineRule="exact"/>
        <w:rPr>
          <w:sz w:val="24"/>
          <w:szCs w:val="24"/>
          <w:color w:val="auto"/>
        </w:rPr>
      </w:pPr>
    </w:p>
    <w:p>
      <w:pPr>
        <w:spacing w:after="0"/>
        <w:rPr>
          <w:sz w:val="20"/>
          <w:szCs w:val="20"/>
          <w:color w:val="auto"/>
        </w:rPr>
      </w:pPr>
      <w:r>
        <w:rPr>
          <w:rFonts w:ascii="Arial" w:cs="Arial" w:eastAsia="Arial" w:hAnsi="Arial"/>
          <w:sz w:val="12"/>
          <w:szCs w:val="12"/>
          <w:color w:val="auto"/>
        </w:rPr>
        <w:t>Securities registered pursuant to Section 12(b) of the Act:</w:t>
      </w:r>
    </w:p>
    <w:p>
      <w:pPr>
        <w:spacing w:after="0" w:line="15" w:lineRule="exact"/>
        <w:rPr>
          <w:sz w:val="24"/>
          <w:szCs w:val="24"/>
          <w:color w:val="auto"/>
        </w:rPr>
      </w:pPr>
    </w:p>
    <w:tbl>
      <w:tblPr>
        <w:tblLayout w:type="fixed"/>
        <w:tblInd w:w="10" w:type="dxa"/>
        <w:tblCellMar>
          <w:top w:w="0" w:type="dxa"/>
          <w:left w:w="0" w:type="dxa"/>
          <w:bottom w:w="0" w:type="dxa"/>
          <w:right w:w="0" w:type="dxa"/>
        </w:tblCellMar>
      </w:tblPr>
      <w:tr>
        <w:trPr>
          <w:trHeight w:val="124"/>
        </w:trPr>
        <w:tc>
          <w:tcPr>
            <w:tcW w:w="614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Arial" w:cs="Arial" w:eastAsia="Arial" w:hAnsi="Arial"/>
                <w:sz w:val="12"/>
                <w:szCs w:val="12"/>
                <w:b w:val="1"/>
                <w:bCs w:val="1"/>
                <w:color w:val="auto"/>
                <w:w w:val="87"/>
              </w:rPr>
              <w:t>Title of each class</w:t>
            </w:r>
          </w:p>
        </w:tc>
        <w:tc>
          <w:tcPr>
            <w:tcW w:w="1660" w:type="dxa"/>
            <w:vAlign w:val="bottom"/>
            <w:tcBorders>
              <w:top w:val="single" w:sz="8" w:color="auto"/>
              <w:right w:val="single" w:sz="8" w:color="auto"/>
            </w:tcBorders>
          </w:tcPr>
          <w:p>
            <w:pPr>
              <w:jc w:val="center"/>
              <w:spacing w:after="0" w:line="124" w:lineRule="exact"/>
              <w:rPr>
                <w:sz w:val="20"/>
                <w:szCs w:val="20"/>
                <w:color w:val="auto"/>
              </w:rPr>
            </w:pPr>
            <w:r>
              <w:rPr>
                <w:rFonts w:ascii="Arial" w:cs="Arial" w:eastAsia="Arial" w:hAnsi="Arial"/>
                <w:sz w:val="12"/>
                <w:szCs w:val="12"/>
                <w:b w:val="1"/>
                <w:bCs w:val="1"/>
                <w:color w:val="auto"/>
                <w:w w:val="90"/>
              </w:rPr>
              <w:t>Trading</w:t>
            </w:r>
          </w:p>
        </w:tc>
        <w:tc>
          <w:tcPr>
            <w:tcW w:w="344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2"/>
                <w:szCs w:val="12"/>
                <w:b w:val="1"/>
                <w:bCs w:val="1"/>
                <w:color w:val="auto"/>
                <w:w w:val="87"/>
              </w:rPr>
              <w:t>Name of each exchange on which registered</w:t>
            </w:r>
          </w:p>
        </w:tc>
        <w:tc>
          <w:tcPr>
            <w:tcW w:w="0" w:type="dxa"/>
            <w:vAlign w:val="bottom"/>
          </w:tcPr>
          <w:p>
            <w:pPr>
              <w:spacing w:after="0"/>
              <w:rPr>
                <w:sz w:val="1"/>
                <w:szCs w:val="1"/>
                <w:color w:val="auto"/>
              </w:rPr>
            </w:pPr>
          </w:p>
        </w:tc>
      </w:tr>
      <w:tr>
        <w:trPr>
          <w:trHeight w:val="153"/>
        </w:trPr>
        <w:tc>
          <w:tcPr>
            <w:tcW w:w="6140" w:type="dxa"/>
            <w:vAlign w:val="bottom"/>
            <w:tcBorders>
              <w:left w:val="single" w:sz="8" w:color="auto"/>
              <w:bottom w:val="single" w:sz="8" w:color="auto"/>
              <w:right w:val="single" w:sz="8" w:color="auto"/>
            </w:tcBorders>
            <w:vMerge w:val="continue"/>
          </w:tcPr>
          <w:p>
            <w:pPr>
              <w:spacing w:after="0"/>
              <w:rPr>
                <w:sz w:val="13"/>
                <w:szCs w:val="13"/>
                <w:color w:val="auto"/>
              </w:rPr>
            </w:pPr>
          </w:p>
        </w:tc>
        <w:tc>
          <w:tcPr>
            <w:tcW w:w="1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w w:val="92"/>
              </w:rPr>
              <w:t>Symbol</w:t>
            </w:r>
          </w:p>
        </w:tc>
        <w:tc>
          <w:tcPr>
            <w:tcW w:w="3440" w:type="dxa"/>
            <w:vAlign w:val="bottom"/>
            <w:tcBorders>
              <w:bottom w:val="single" w:sz="8" w:color="auto"/>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61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0"/>
              </w:rPr>
              <w:t>Class A Nonvoting Common Stock, par value $0.01 per share</w:t>
            </w:r>
          </w:p>
        </w:tc>
        <w:tc>
          <w:tcPr>
            <w:tcW w:w="1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4"/>
              </w:rPr>
              <w:t>BRC</w:t>
            </w:r>
          </w:p>
        </w:tc>
        <w:tc>
          <w:tcPr>
            <w:tcW w:w="34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1"/>
              </w:rPr>
              <w:t>New York Stock Exchange</w:t>
            </w:r>
          </w:p>
        </w:tc>
        <w:tc>
          <w:tcPr>
            <w:tcW w:w="0" w:type="dxa"/>
            <w:vAlign w:val="bottom"/>
          </w:tcPr>
          <w:p>
            <w:pPr>
              <w:spacing w:after="0"/>
              <w:rPr>
                <w:sz w:val="1"/>
                <w:szCs w:val="1"/>
                <w:color w:val="auto"/>
              </w:rPr>
            </w:pPr>
          </w:p>
        </w:tc>
      </w:tr>
    </w:tbl>
    <w:p>
      <w:pPr>
        <w:spacing w:after="0" w:line="162" w:lineRule="exact"/>
        <w:rPr>
          <w:sz w:val="24"/>
          <w:szCs w:val="24"/>
          <w:color w:val="auto"/>
        </w:rPr>
      </w:pPr>
    </w:p>
    <w:p>
      <w:pPr>
        <w:ind w:right="400"/>
        <w:spacing w:after="0" w:line="227" w:lineRule="exact"/>
        <w:rPr>
          <w:sz w:val="20"/>
          <w:szCs w:val="20"/>
          <w:color w:val="auto"/>
        </w:rPr>
      </w:pPr>
      <w:r>
        <w:rPr>
          <w:rFonts w:ascii="Arial" w:cs="Arial" w:eastAsia="Arial" w:hAnsi="Arial"/>
          <w:sz w:val="12"/>
          <w:szCs w:val="12"/>
          <w:color w:val="auto"/>
        </w:rPr>
        <w:t xml:space="preserve">Indicate by check mark whether the registrant is an emerging growth company as defined in Rule 405 of the Securities Act of 1933 (17 CFR 230.405) or Rule 12b-2 or the Securities Exchange Act of 1934 (17 CFR 240.12b-2). Emerging growth company </w:t>
      </w:r>
      <w:r>
        <w:rPr>
          <w:rFonts w:ascii="MS PGothic" w:cs="MS PGothic" w:eastAsia="MS PGothic" w:hAnsi="MS PGothic"/>
          <w:sz w:val="14"/>
          <w:szCs w:val="14"/>
          <w:color w:val="auto"/>
        </w:rPr>
        <w:t>☐</w:t>
      </w:r>
    </w:p>
    <w:p>
      <w:pPr>
        <w:spacing w:after="0" w:line="78" w:lineRule="exact"/>
        <w:rPr>
          <w:sz w:val="24"/>
          <w:szCs w:val="24"/>
          <w:color w:val="auto"/>
        </w:rPr>
      </w:pPr>
    </w:p>
    <w:p>
      <w:pPr>
        <w:ind w:right="40"/>
        <w:spacing w:after="0" w:line="173" w:lineRule="exact"/>
        <w:rPr>
          <w:sz w:val="20"/>
          <w:szCs w:val="20"/>
          <w:color w:val="auto"/>
        </w:rPr>
      </w:pPr>
      <w:r>
        <w:rPr>
          <w:rFonts w:ascii="Arial" w:cs="Arial" w:eastAsia="Arial" w:hAnsi="Arial"/>
          <w:sz w:val="12"/>
          <w:szCs w:val="12"/>
          <w:color w:val="auto"/>
        </w:rPr>
        <w:t xml:space="preserve">If an emerging growth company, indicate by check mark if the registrant has elected not to use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345440</wp:posOffset>
            </wp:positionV>
            <wp:extent cx="7203440" cy="368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40"/>
          </w:cols>
          <w:pgMar w:left="300" w:top="742" w:right="359" w:bottom="1440" w:gutter="0" w:footer="0" w:header="0"/>
        </w:sectPr>
      </w:pPr>
    </w:p>
    <w:bookmarkStart w:id="1" w:name="page2"/>
    <w:bookmarkEnd w:id="1"/>
    <w:p>
      <w:pPr>
        <w:spacing w:after="0"/>
        <w:tabs>
          <w:tab w:leader="none" w:pos="980" w:val="left"/>
        </w:tabs>
        <w:rPr>
          <w:sz w:val="20"/>
          <w:szCs w:val="20"/>
          <w:color w:val="auto"/>
        </w:rPr>
      </w:pPr>
      <w:r>
        <w:rPr>
          <w:rFonts w:ascii="Arial" w:cs="Arial" w:eastAsia="Arial" w:hAnsi="Arial"/>
          <w:sz w:val="12"/>
          <w:szCs w:val="12"/>
          <w:color w:val="auto"/>
        </w:rPr>
        <w:t>Item 2.02</w:t>
      </w:r>
      <w:r>
        <w:rPr>
          <w:sz w:val="20"/>
          <w:szCs w:val="20"/>
          <w:color w:val="auto"/>
        </w:rPr>
        <w:tab/>
      </w:r>
      <w:r>
        <w:rPr>
          <w:rFonts w:ascii="Arial" w:cs="Arial" w:eastAsia="Arial" w:hAnsi="Arial"/>
          <w:sz w:val="11"/>
          <w:szCs w:val="11"/>
          <w:color w:val="auto"/>
        </w:rPr>
        <w:t>RESULTS OF OPERATIONS AND FINANCIAL CONDITION</w:t>
      </w:r>
    </w:p>
    <w:p>
      <w:pPr>
        <w:spacing w:after="0" w:line="231" w:lineRule="exact"/>
        <w:rPr>
          <w:sz w:val="20"/>
          <w:szCs w:val="20"/>
          <w:color w:val="auto"/>
        </w:rPr>
      </w:pPr>
    </w:p>
    <w:p>
      <w:pPr>
        <w:jc w:val="both"/>
        <w:ind w:firstLine="216"/>
        <w:spacing w:after="0" w:line="276" w:lineRule="auto"/>
        <w:rPr>
          <w:sz w:val="20"/>
          <w:szCs w:val="20"/>
          <w:color w:val="auto"/>
        </w:rPr>
      </w:pPr>
      <w:r>
        <w:rPr>
          <w:rFonts w:ascii="Arial" w:cs="Arial" w:eastAsia="Arial" w:hAnsi="Arial"/>
          <w:sz w:val="12"/>
          <w:szCs w:val="12"/>
          <w:color w:val="auto"/>
        </w:rPr>
        <w:t>On May 20, 2021, Brady Corporation (the “Company”) issued a press release announcing its fiscal 2021 third quarter financial results. A copy of the press release is being furnished to the Securities and Exchange Commission as Exhibit 99.1 attached hereto and is incorporated herein by reference.</w:t>
      </w:r>
    </w:p>
    <w:p>
      <w:pPr>
        <w:spacing w:after="0" w:line="106" w:lineRule="exact"/>
        <w:rPr>
          <w:sz w:val="20"/>
          <w:szCs w:val="20"/>
          <w:color w:val="auto"/>
        </w:rPr>
      </w:pPr>
    </w:p>
    <w:p>
      <w:pPr>
        <w:spacing w:after="0"/>
        <w:tabs>
          <w:tab w:leader="none" w:pos="980" w:val="left"/>
        </w:tabs>
        <w:rPr>
          <w:sz w:val="20"/>
          <w:szCs w:val="20"/>
          <w:color w:val="auto"/>
        </w:rPr>
      </w:pPr>
      <w:r>
        <w:rPr>
          <w:rFonts w:ascii="Arial" w:cs="Arial" w:eastAsia="Arial" w:hAnsi="Arial"/>
          <w:sz w:val="12"/>
          <w:szCs w:val="12"/>
          <w:color w:val="auto"/>
        </w:rPr>
        <w:t>Item 7.01</w:t>
      </w:r>
      <w:r>
        <w:rPr>
          <w:sz w:val="20"/>
          <w:szCs w:val="20"/>
          <w:color w:val="auto"/>
        </w:rPr>
        <w:tab/>
      </w:r>
      <w:r>
        <w:rPr>
          <w:rFonts w:ascii="Arial" w:cs="Arial" w:eastAsia="Arial" w:hAnsi="Arial"/>
          <w:sz w:val="11"/>
          <w:szCs w:val="11"/>
          <w:color w:val="auto"/>
        </w:rPr>
        <w:t>REGULATION FD DISCLOSURE</w:t>
      </w:r>
    </w:p>
    <w:p>
      <w:pPr>
        <w:spacing w:after="0" w:line="222" w:lineRule="exact"/>
        <w:rPr>
          <w:sz w:val="20"/>
          <w:szCs w:val="20"/>
          <w:color w:val="auto"/>
        </w:rPr>
      </w:pPr>
    </w:p>
    <w:p>
      <w:pPr>
        <w:jc w:val="both"/>
        <w:ind w:right="20" w:firstLine="216"/>
        <w:spacing w:after="0" w:line="276" w:lineRule="auto"/>
        <w:rPr>
          <w:sz w:val="20"/>
          <w:szCs w:val="20"/>
          <w:color w:val="auto"/>
        </w:rPr>
      </w:pPr>
      <w:r>
        <w:rPr>
          <w:rFonts w:ascii="Arial" w:cs="Arial" w:eastAsia="Arial" w:hAnsi="Arial"/>
          <w:sz w:val="12"/>
          <w:szCs w:val="12"/>
          <w:color w:val="auto"/>
        </w:rPr>
        <w:t>On May 20, 2021, the Company hosted a conference call related to its fiscal 2021 third quarter financial results. A copy of the slides referenced in the conference call, which is also posted on the Corporation’s website, is being furnished to the Securities and Exchange Commission as Exhibit 99.2 attached hereto and is incorporated herein by reference.</w:t>
      </w:r>
    </w:p>
    <w:p>
      <w:pPr>
        <w:spacing w:after="0" w:line="106" w:lineRule="exact"/>
        <w:rPr>
          <w:sz w:val="20"/>
          <w:szCs w:val="20"/>
          <w:color w:val="auto"/>
        </w:rPr>
      </w:pPr>
    </w:p>
    <w:p>
      <w:pPr>
        <w:spacing w:after="0"/>
        <w:tabs>
          <w:tab w:leader="none" w:pos="980" w:val="left"/>
        </w:tabs>
        <w:rPr>
          <w:sz w:val="20"/>
          <w:szCs w:val="20"/>
          <w:color w:val="auto"/>
        </w:rPr>
      </w:pPr>
      <w:r>
        <w:rPr>
          <w:rFonts w:ascii="Arial" w:cs="Arial" w:eastAsia="Arial" w:hAnsi="Arial"/>
          <w:sz w:val="12"/>
          <w:szCs w:val="12"/>
          <w:color w:val="auto"/>
        </w:rPr>
        <w:t>Item 8.01</w:t>
      </w:r>
      <w:r>
        <w:rPr>
          <w:sz w:val="20"/>
          <w:szCs w:val="20"/>
          <w:color w:val="auto"/>
        </w:rPr>
        <w:tab/>
      </w:r>
      <w:r>
        <w:rPr>
          <w:rFonts w:ascii="Arial" w:cs="Arial" w:eastAsia="Arial" w:hAnsi="Arial"/>
          <w:sz w:val="11"/>
          <w:szCs w:val="11"/>
          <w:color w:val="auto"/>
        </w:rPr>
        <w:t>OTHER EVENTS</w:t>
      </w:r>
    </w:p>
    <w:p>
      <w:pPr>
        <w:spacing w:after="0" w:line="231" w:lineRule="exact"/>
        <w:rPr>
          <w:sz w:val="20"/>
          <w:szCs w:val="20"/>
          <w:color w:val="auto"/>
        </w:rPr>
      </w:pPr>
    </w:p>
    <w:p>
      <w:pPr>
        <w:jc w:val="both"/>
        <w:ind w:right="20" w:firstLine="216"/>
        <w:spacing w:after="0" w:line="263" w:lineRule="auto"/>
        <w:rPr>
          <w:sz w:val="20"/>
          <w:szCs w:val="20"/>
          <w:color w:val="auto"/>
        </w:rPr>
      </w:pPr>
      <w:r>
        <w:rPr>
          <w:rFonts w:ascii="Arial" w:cs="Arial" w:eastAsia="Arial" w:hAnsi="Arial"/>
          <w:sz w:val="12"/>
          <w:szCs w:val="12"/>
          <w:color w:val="auto"/>
        </w:rPr>
        <w:t>On April 15, 2021, the Company agreed to launch an all-cash tender offer (the "Tender Offer") in Finland to acquire all of the outstanding, publicly-held shares of Nordic ID Oyj ("Nordic ID"), a Finnish corporation. The obligation of the Company to consummate the Tender Offer was subject to customary closing conditions, including the tender of more than 90% of the outstanding, publicly-held shares of Nordic ID within the offer period ("Offer Period"), the receipt of all required regulatory approvals and consents, and the absence of a material adverse change with respect to Nordic ID.</w:t>
      </w:r>
    </w:p>
    <w:p>
      <w:pPr>
        <w:spacing w:after="0" w:line="140" w:lineRule="exact"/>
        <w:rPr>
          <w:sz w:val="20"/>
          <w:szCs w:val="20"/>
          <w:color w:val="auto"/>
        </w:rPr>
      </w:pPr>
    </w:p>
    <w:p>
      <w:pPr>
        <w:jc w:val="both"/>
        <w:ind w:right="20" w:firstLine="216"/>
        <w:spacing w:after="0" w:line="259" w:lineRule="auto"/>
        <w:rPr>
          <w:sz w:val="20"/>
          <w:szCs w:val="20"/>
          <w:color w:val="auto"/>
        </w:rPr>
      </w:pPr>
      <w:r>
        <w:rPr>
          <w:rFonts w:ascii="Arial" w:cs="Arial" w:eastAsia="Arial" w:hAnsi="Arial"/>
          <w:sz w:val="12"/>
          <w:szCs w:val="12"/>
          <w:color w:val="auto"/>
        </w:rPr>
        <w:t>On May 19, 2021, the results of the Company’s Tender Offer were finalized, and the shares that were validly tendered represent 92.9% of all outstanding shares and votes in Nordic ID. Because more than 90% of the outstanding, publicly-held shares of Nordic ID were validly tendered and not validly withdrawn within the Offer Period and the other closing conditions were satisfied, the Company expects to consummate the Tender Offer on or about May 21, 2021. The total cash consideration offered for each Nordic ID Share validly tendered in the Tender Offer is EUR 3.30 per share, which equates to a total equity purchase of EUR 8.1 million (USD 9.9 million), plus the assumption of debt of approximately USD 3 million.</w:t>
      </w:r>
    </w:p>
    <w:p>
      <w:pPr>
        <w:spacing w:after="0" w:line="142" w:lineRule="exact"/>
        <w:rPr>
          <w:sz w:val="20"/>
          <w:szCs w:val="20"/>
          <w:color w:val="auto"/>
        </w:rPr>
      </w:pPr>
    </w:p>
    <w:p>
      <w:pPr>
        <w:jc w:val="both"/>
        <w:ind w:firstLine="216"/>
        <w:spacing w:after="0" w:line="263" w:lineRule="auto"/>
        <w:rPr>
          <w:sz w:val="20"/>
          <w:szCs w:val="20"/>
          <w:color w:val="auto"/>
        </w:rPr>
      </w:pPr>
      <w:r>
        <w:rPr>
          <w:rFonts w:ascii="Arial" w:cs="Arial" w:eastAsia="Arial" w:hAnsi="Arial"/>
          <w:sz w:val="12"/>
          <w:szCs w:val="12"/>
          <w:color w:val="auto"/>
        </w:rPr>
        <w:t>As the Company's holding in Nordic ID will exceed 90% of the total number of shares and votes in Nordic ID after the settlement of the shares validly tendered in the Tender Offer, the Company intends to initiate statutory redemption proceedings for the remaining shares in Nordic ID under the Finnish Companies Act. Following such statutory redemption proceedings, the Company will own all of the outstanding shares in Nordic ID, and it intends to cause Nordic ID to apply for delisting of its shares from the Nasdaq First North Growth Market Finland.</w:t>
      </w:r>
    </w:p>
    <w:p>
      <w:pPr>
        <w:spacing w:after="0" w:line="302" w:lineRule="exact"/>
        <w:rPr>
          <w:sz w:val="20"/>
          <w:szCs w:val="20"/>
          <w:color w:val="auto"/>
        </w:rPr>
      </w:pPr>
    </w:p>
    <w:p>
      <w:pPr>
        <w:spacing w:after="0"/>
        <w:rPr>
          <w:sz w:val="20"/>
          <w:szCs w:val="20"/>
          <w:color w:val="auto"/>
        </w:rPr>
      </w:pPr>
      <w:r>
        <w:rPr>
          <w:rFonts w:ascii="Arial" w:cs="Arial" w:eastAsia="Arial" w:hAnsi="Arial"/>
          <w:sz w:val="12"/>
          <w:szCs w:val="12"/>
          <w:color w:val="auto"/>
        </w:rPr>
        <w:t>FORWARD-LOOKING STATEMENTS</w:t>
      </w:r>
    </w:p>
    <w:p>
      <w:pPr>
        <w:spacing w:after="0" w:line="168"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In this report, statements that are not reported financial results or other historic information are “forward-looking statements.” These forward-looking statements relate to, among other things, the Company's future financial position, business strategy, targets, projected sales, costs, earnings, capital expenditures, debt levels and cash flows, and plans and objectives of management for future operations.</w:t>
      </w:r>
    </w:p>
    <w:p>
      <w:pPr>
        <w:spacing w:after="0" w:line="133" w:lineRule="exact"/>
        <w:rPr>
          <w:sz w:val="20"/>
          <w:szCs w:val="20"/>
          <w:color w:val="auto"/>
        </w:rPr>
      </w:pPr>
    </w:p>
    <w:p>
      <w:pPr>
        <w:jc w:val="both"/>
        <w:spacing w:after="0" w:line="279" w:lineRule="auto"/>
        <w:rPr>
          <w:sz w:val="20"/>
          <w:szCs w:val="20"/>
          <w:color w:val="auto"/>
        </w:rPr>
      </w:pPr>
      <w:r>
        <w:rPr>
          <w:rFonts w:ascii="Arial" w:cs="Arial" w:eastAsia="Arial" w:hAnsi="Arial"/>
          <w:sz w:val="11"/>
          <w:szCs w:val="11"/>
          <w:color w:val="auto"/>
        </w:rPr>
        <w:t>The use of words such as “may,” “will,” “expect,” “intend,” “estimate,” “anticipate,” “believe,” “should,” “project,” “continue” or “plan” or similar terminology are generally intended to identify forward-looking statements. These forward-looking statements by their nature address matters that are, to different degrees, uncertain and are subject to risks, assumptions, and other factors, some of which are beyond Brady’s control, that could cause actual results to differ materially from those expressed or implied by such forward-looking statements. For Brady, uncertainties arise from: Brady’s ability to consummate the tender offer and the other transactions contemplated by the agreement with Nordic ID, including the statutory redemption, on the timeframe disclosed or at all; adverse impacts of the novel coronavirus (“COVID-19”) pandemic or other pandemics; decreased demand for our products; our ability to compete effectively or to successfully execute our strategy; Brady’s ability to develop technologically advanced products that meet customer demands; raw material and other cost increases; difficulties in protecting our websites, networks, and systems against security breaches; extensive regulations by U.S. and non-U.S. governmental and self-regulatory entities; risks associated with the loss of key employees; divestitures and contingent liabilities from divestitures; Brady’s ability to properly identify, integrate, and grow acquired companies; litigation, including product liability claims; foreign currency fluctuations; potential write-offs of Brady’s goodwill and other intangible assets; changes in tax legislation and tax rates; differing interests of voting and non-voting shareholders; numerous other matters of national, regional and global scale, including major public health issues and those of a political, economic, business, competitive, and regulatory nature contained from time to time in Brady’s U.S. Securities and Exchange Commission filings, including, but not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347345</wp:posOffset>
            </wp:positionV>
            <wp:extent cx="7203440" cy="368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671" w:right="299" w:bottom="1440" w:gutter="0" w:footer="0" w:header="0"/>
        </w:sectPr>
      </w:pPr>
    </w:p>
    <w:bookmarkStart w:id="2" w:name="page3"/>
    <w:bookmarkEnd w:id="2"/>
    <w:p>
      <w:pPr>
        <w:spacing w:after="0"/>
        <w:rPr>
          <w:sz w:val="20"/>
          <w:szCs w:val="20"/>
          <w:color w:val="auto"/>
        </w:rPr>
      </w:pPr>
      <w:r>
        <w:rPr>
          <w:rFonts w:ascii="Arial" w:cs="Arial" w:eastAsia="Arial" w:hAnsi="Arial"/>
          <w:sz w:val="12"/>
          <w:szCs w:val="12"/>
          <w:color w:val="auto"/>
        </w:rPr>
        <w:t>limited to, those factors listed in the “Risk Factors” section within Item 1A of Part I of Brady’s Form 10-K for the year ended July 31, 2020 and subsequent Form 10-Q filings.</w:t>
      </w:r>
    </w:p>
    <w:p>
      <w:pPr>
        <w:spacing w:after="0" w:line="168" w:lineRule="exact"/>
        <w:rPr>
          <w:sz w:val="20"/>
          <w:szCs w:val="20"/>
          <w:color w:val="auto"/>
        </w:rPr>
      </w:pPr>
    </w:p>
    <w:p>
      <w:pPr>
        <w:spacing w:after="0"/>
        <w:rPr>
          <w:sz w:val="20"/>
          <w:szCs w:val="20"/>
          <w:color w:val="auto"/>
        </w:rPr>
      </w:pPr>
      <w:r>
        <w:rPr>
          <w:rFonts w:ascii="Arial" w:cs="Arial" w:eastAsia="Arial" w:hAnsi="Arial"/>
          <w:sz w:val="10"/>
          <w:szCs w:val="10"/>
          <w:color w:val="auto"/>
        </w:rPr>
        <w:t>These uncertainties may cause Brady's actual future results to be materially different than those expressed in its forward-looking statements. Brady does not undertake to update its forward-looking statements except as required by law.</w:t>
      </w:r>
    </w:p>
    <w:p>
      <w:pPr>
        <w:spacing w:after="0" w:line="164" w:lineRule="exact"/>
        <w:rPr>
          <w:sz w:val="20"/>
          <w:szCs w:val="20"/>
          <w:color w:val="auto"/>
        </w:rPr>
      </w:pPr>
    </w:p>
    <w:p>
      <w:pPr>
        <w:spacing w:after="0"/>
        <w:tabs>
          <w:tab w:leader="none" w:pos="960" w:val="left"/>
        </w:tabs>
        <w:rPr>
          <w:sz w:val="20"/>
          <w:szCs w:val="20"/>
          <w:color w:val="auto"/>
        </w:rPr>
      </w:pPr>
      <w:r>
        <w:rPr>
          <w:rFonts w:ascii="Arial" w:cs="Arial" w:eastAsia="Arial" w:hAnsi="Arial"/>
          <w:sz w:val="12"/>
          <w:szCs w:val="12"/>
          <w:color w:val="auto"/>
        </w:rPr>
        <w:t>Item 9.01</w:t>
      </w:r>
      <w:r>
        <w:rPr>
          <w:sz w:val="20"/>
          <w:szCs w:val="20"/>
          <w:color w:val="auto"/>
        </w:rPr>
        <w:tab/>
      </w:r>
      <w:r>
        <w:rPr>
          <w:rFonts w:ascii="Arial" w:cs="Arial" w:eastAsia="Arial" w:hAnsi="Arial"/>
          <w:sz w:val="11"/>
          <w:szCs w:val="11"/>
          <w:color w:val="auto"/>
        </w:rPr>
        <w:t>FINANCIAL STATEMENTS AND EXHIBITS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1180" w:type="dxa"/>
            <w:vAlign w:val="bottom"/>
          </w:tcPr>
          <w:p>
            <w:pPr>
              <w:spacing w:after="0"/>
              <w:rPr>
                <w:sz w:val="20"/>
                <w:szCs w:val="20"/>
                <w:color w:val="auto"/>
              </w:rPr>
            </w:pPr>
            <w:r>
              <w:rPr>
                <w:rFonts w:ascii="Arial" w:cs="Arial" w:eastAsia="Arial" w:hAnsi="Arial"/>
                <w:sz w:val="12"/>
                <w:szCs w:val="12"/>
                <w:color w:val="auto"/>
              </w:rPr>
              <w:t>(d) Exhibits</w:t>
            </w:r>
          </w:p>
        </w:tc>
        <w:tc>
          <w:tcPr>
            <w:tcW w:w="53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40" w:type="dxa"/>
            <w:vAlign w:val="bottom"/>
          </w:tcPr>
          <w:p>
            <w:pPr>
              <w:spacing w:after="0"/>
              <w:rPr>
                <w:sz w:val="13"/>
                <w:szCs w:val="13"/>
                <w:color w:val="auto"/>
              </w:rPr>
            </w:pPr>
          </w:p>
        </w:tc>
      </w:tr>
      <w:tr>
        <w:trPr>
          <w:trHeight w:val="279"/>
        </w:trPr>
        <w:tc>
          <w:tcPr>
            <w:tcW w:w="118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EXHIBIT NUMBER</w:t>
            </w:r>
          </w:p>
        </w:tc>
        <w:tc>
          <w:tcPr>
            <w:tcW w:w="10120" w:type="dxa"/>
            <w:vAlign w:val="bottom"/>
            <w:tcBorders>
              <w:bottom w:val="single" w:sz="8" w:color="auto"/>
            </w:tcBorders>
            <w:gridSpan w:val="3"/>
          </w:tcPr>
          <w:p>
            <w:pPr>
              <w:spacing w:after="0"/>
              <w:rPr>
                <w:sz w:val="20"/>
                <w:szCs w:val="20"/>
                <w:color w:val="auto"/>
              </w:rPr>
            </w:pPr>
            <w:r>
              <w:rPr>
                <w:rFonts w:ascii="Arial" w:cs="Arial" w:eastAsia="Arial" w:hAnsi="Arial"/>
                <w:sz w:val="12"/>
                <w:szCs w:val="12"/>
                <w:color w:val="auto"/>
              </w:rPr>
              <w:t>DESCRIPTION</w:t>
            </w:r>
          </w:p>
        </w:tc>
      </w:tr>
      <w:tr>
        <w:trPr>
          <w:trHeight w:val="169"/>
        </w:trPr>
        <w:tc>
          <w:tcPr>
            <w:tcW w:w="1180" w:type="dxa"/>
            <w:vAlign w:val="bottom"/>
          </w:tcPr>
          <w:p>
            <w:pPr>
              <w:spacing w:after="0"/>
              <w:rPr>
                <w:sz w:val="20"/>
                <w:szCs w:val="20"/>
                <w:color w:val="auto"/>
              </w:rPr>
            </w:pPr>
            <w:r>
              <w:rPr>
                <w:rFonts w:ascii="Arial" w:cs="Arial" w:eastAsia="Arial" w:hAnsi="Arial"/>
                <w:sz w:val="12"/>
                <w:szCs w:val="12"/>
                <w:color w:val="auto"/>
              </w:rPr>
              <w:t>99.1</w:t>
            </w:r>
          </w:p>
        </w:tc>
        <w:tc>
          <w:tcPr>
            <w:tcW w:w="5300" w:type="dxa"/>
            <w:vAlign w:val="bottom"/>
            <w:tcBorders>
              <w:bottom w:val="single" w:sz="8" w:color="0000FF"/>
            </w:tcBorders>
          </w:tcPr>
          <w:p>
            <w:pPr>
              <w:spacing w:after="0"/>
              <w:rPr>
                <w:rFonts w:ascii="Arial" w:cs="Arial" w:eastAsia="Arial" w:hAnsi="Arial"/>
                <w:sz w:val="12"/>
                <w:szCs w:val="12"/>
                <w:color w:val="0000FF"/>
                <w:w w:val="90"/>
              </w:rPr>
            </w:pPr>
            <w:hyperlink w:anchor="page4">
              <w:r>
                <w:rPr>
                  <w:rFonts w:ascii="Arial" w:cs="Arial" w:eastAsia="Arial" w:hAnsi="Arial"/>
                  <w:sz w:val="12"/>
                  <w:szCs w:val="12"/>
                  <w:color w:val="0000FF"/>
                  <w:w w:val="90"/>
                </w:rPr>
                <w:t xml:space="preserve">Press Release of Brady Corporation, dated </w:t>
              </w:r>
            </w:hyperlink>
            <w:r>
              <w:rPr>
                <w:rFonts w:ascii="Arial" w:cs="Arial" w:eastAsia="Arial" w:hAnsi="Arial"/>
                <w:sz w:val="12"/>
                <w:szCs w:val="12"/>
                <w:color w:val="0000FF"/>
                <w:w w:val="90"/>
              </w:rPr>
              <w:t xml:space="preserve">May 20, </w:t>
            </w:r>
            <w:hyperlink w:anchor="page4">
              <w:r>
                <w:rPr>
                  <w:rFonts w:ascii="Arial" w:cs="Arial" w:eastAsia="Arial" w:hAnsi="Arial"/>
                  <w:sz w:val="12"/>
                  <w:szCs w:val="12"/>
                  <w:color w:val="0000FF"/>
                  <w:w w:val="90"/>
                </w:rPr>
                <w:t xml:space="preserve">2021, relating to fiscal 2021 third quarter financial </w:t>
              </w:r>
            </w:hyperlink>
            <w:r>
              <w:rPr>
                <w:rFonts w:ascii="Arial" w:cs="Arial" w:eastAsia="Arial" w:hAnsi="Arial"/>
                <w:sz w:val="12"/>
                <w:szCs w:val="12"/>
                <w:color w:val="0000FF"/>
                <w:w w:val="90"/>
              </w:rPr>
              <w:t>results.</w:t>
            </w:r>
          </w:p>
        </w:tc>
        <w:tc>
          <w:tcPr>
            <w:tcW w:w="4820" w:type="dxa"/>
            <w:vAlign w:val="bottom"/>
            <w:gridSpan w:val="2"/>
          </w:tcPr>
          <w:p>
            <w:pPr>
              <w:spacing w:after="0"/>
              <w:rPr>
                <w:sz w:val="14"/>
                <w:szCs w:val="14"/>
                <w:color w:val="auto"/>
              </w:rPr>
            </w:pPr>
          </w:p>
        </w:tc>
      </w:tr>
      <w:tr>
        <w:trPr>
          <w:trHeight w:val="196"/>
        </w:trPr>
        <w:tc>
          <w:tcPr>
            <w:tcW w:w="1180" w:type="dxa"/>
            <w:vAlign w:val="bottom"/>
          </w:tcPr>
          <w:p>
            <w:pPr>
              <w:spacing w:after="0"/>
              <w:rPr>
                <w:sz w:val="20"/>
                <w:szCs w:val="20"/>
                <w:color w:val="auto"/>
              </w:rPr>
            </w:pPr>
            <w:r>
              <w:rPr>
                <w:rFonts w:ascii="Arial" w:cs="Arial" w:eastAsia="Arial" w:hAnsi="Arial"/>
                <w:sz w:val="12"/>
                <w:szCs w:val="12"/>
                <w:color w:val="auto"/>
              </w:rPr>
              <w:t>99.2</w:t>
            </w:r>
          </w:p>
        </w:tc>
        <w:tc>
          <w:tcPr>
            <w:tcW w:w="6080" w:type="dxa"/>
            <w:vAlign w:val="bottom"/>
            <w:tcBorders>
              <w:bottom w:val="single" w:sz="8" w:color="0000FF"/>
            </w:tcBorders>
            <w:gridSpan w:val="2"/>
          </w:tcPr>
          <w:p>
            <w:pPr>
              <w:spacing w:after="0"/>
              <w:rPr>
                <w:rFonts w:ascii="Arial" w:cs="Arial" w:eastAsia="Arial" w:hAnsi="Arial"/>
                <w:sz w:val="12"/>
                <w:szCs w:val="12"/>
                <w:color w:val="0000FF"/>
                <w:w w:val="91"/>
              </w:rPr>
            </w:pPr>
            <w:hyperlink w:anchor="page11">
              <w:r>
                <w:rPr>
                  <w:rFonts w:ascii="Arial" w:cs="Arial" w:eastAsia="Arial" w:hAnsi="Arial"/>
                  <w:sz w:val="12"/>
                  <w:szCs w:val="12"/>
                  <w:color w:val="0000FF"/>
                  <w:w w:val="91"/>
                </w:rPr>
                <w:t>Informational slides provided by Brady Corporation, dated May 20, 2021, relating to fiscal 2021 third quarter financial results.</w:t>
              </w:r>
            </w:hyperlink>
          </w:p>
        </w:tc>
        <w:tc>
          <w:tcPr>
            <w:tcW w:w="4040" w:type="dxa"/>
            <w:vAlign w:val="bottom"/>
          </w:tcPr>
          <w:p>
            <w:pPr>
              <w:spacing w:after="0"/>
              <w:rPr>
                <w:sz w:val="17"/>
                <w:szCs w:val="17"/>
                <w:color w:val="auto"/>
              </w:rPr>
            </w:pPr>
          </w:p>
        </w:tc>
      </w:tr>
      <w:tr>
        <w:trPr>
          <w:trHeight w:val="223"/>
        </w:trPr>
        <w:tc>
          <w:tcPr>
            <w:tcW w:w="1180" w:type="dxa"/>
            <w:vAlign w:val="bottom"/>
          </w:tcPr>
          <w:p>
            <w:pPr>
              <w:spacing w:after="0"/>
              <w:rPr>
                <w:sz w:val="20"/>
                <w:szCs w:val="20"/>
                <w:color w:val="auto"/>
              </w:rPr>
            </w:pPr>
            <w:r>
              <w:rPr>
                <w:rFonts w:ascii="Arial" w:cs="Arial" w:eastAsia="Arial" w:hAnsi="Arial"/>
                <w:sz w:val="12"/>
                <w:szCs w:val="12"/>
                <w:color w:val="auto"/>
              </w:rPr>
              <w:t>104</w:t>
            </w:r>
          </w:p>
        </w:tc>
        <w:tc>
          <w:tcPr>
            <w:tcW w:w="10120" w:type="dxa"/>
            <w:vAlign w:val="bottom"/>
            <w:gridSpan w:val="3"/>
          </w:tcPr>
          <w:p>
            <w:pPr>
              <w:spacing w:after="0"/>
              <w:rPr>
                <w:sz w:val="20"/>
                <w:szCs w:val="20"/>
                <w:color w:val="auto"/>
              </w:rPr>
            </w:pPr>
            <w:r>
              <w:rPr>
                <w:rFonts w:ascii="Arial" w:cs="Arial" w:eastAsia="Arial" w:hAnsi="Arial"/>
                <w:sz w:val="12"/>
                <w:szCs w:val="12"/>
                <w:color w:val="auto"/>
              </w:rPr>
              <w:t>Cover Page Interactive Data File (embedded within Inline XBRL document).</w:t>
            </w:r>
          </w:p>
        </w:tc>
      </w:tr>
    </w:tbl>
    <w:p>
      <w:pPr>
        <w:spacing w:after="0" w:line="37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SIGNATURE</w:t>
      </w:r>
    </w:p>
    <w:p>
      <w:pPr>
        <w:spacing w:after="0" w:line="177" w:lineRule="exact"/>
        <w:rPr>
          <w:sz w:val="20"/>
          <w:szCs w:val="20"/>
          <w:color w:val="auto"/>
        </w:rPr>
      </w:pPr>
    </w:p>
    <w:p>
      <w:pPr>
        <w:spacing w:after="0"/>
        <w:rPr>
          <w:sz w:val="20"/>
          <w:szCs w:val="20"/>
          <w:color w:val="auto"/>
        </w:rPr>
      </w:pPr>
      <w:r>
        <w:rPr>
          <w:rFonts w:ascii="Arial" w:cs="Arial" w:eastAsia="Arial" w:hAnsi="Arial"/>
          <w:sz w:val="12"/>
          <w:szCs w:val="12"/>
          <w:color w:val="auto"/>
        </w:rPr>
        <w:t>Pursuant to the requirements of the Securities Exchange Act of 1934, the Registrant has duly caused this report to be signed on its behalf by the undersigned hereunto duly authorized.</w:t>
      </w:r>
    </w:p>
    <w:p>
      <w:pPr>
        <w:spacing w:after="0" w:line="159" w:lineRule="exact"/>
        <w:rPr>
          <w:sz w:val="20"/>
          <w:szCs w:val="20"/>
          <w:color w:val="auto"/>
        </w:rPr>
      </w:pPr>
    </w:p>
    <w:p>
      <w:pPr>
        <w:ind w:left="5880"/>
        <w:spacing w:after="0"/>
        <w:rPr>
          <w:sz w:val="20"/>
          <w:szCs w:val="20"/>
          <w:color w:val="auto"/>
        </w:rPr>
      </w:pPr>
      <w:r>
        <w:rPr>
          <w:rFonts w:ascii="Arial" w:cs="Arial" w:eastAsia="Arial" w:hAnsi="Arial"/>
          <w:sz w:val="12"/>
          <w:szCs w:val="12"/>
          <w:color w:val="auto"/>
        </w:rPr>
        <w:t>BRADY CORPORATION</w:t>
      </w:r>
    </w:p>
    <w:p>
      <w:pPr>
        <w:spacing w:after="0" w:line="195" w:lineRule="exact"/>
        <w:rPr>
          <w:sz w:val="20"/>
          <w:szCs w:val="20"/>
          <w:color w:val="auto"/>
        </w:rPr>
      </w:pPr>
    </w:p>
    <w:p>
      <w:pPr>
        <w:spacing w:after="0"/>
        <w:rPr>
          <w:sz w:val="20"/>
          <w:szCs w:val="20"/>
          <w:color w:val="auto"/>
        </w:rPr>
      </w:pPr>
      <w:r>
        <w:rPr>
          <w:rFonts w:ascii="Arial" w:cs="Arial" w:eastAsia="Arial" w:hAnsi="Arial"/>
          <w:sz w:val="12"/>
          <w:szCs w:val="12"/>
          <w:color w:val="auto"/>
        </w:rPr>
        <w:t>Date: May 20, 2021</w:t>
      </w:r>
    </w:p>
    <w:p>
      <w:pPr>
        <w:spacing w:after="0" w:line="195" w:lineRule="exact"/>
        <w:rPr>
          <w:sz w:val="20"/>
          <w:szCs w:val="20"/>
          <w:color w:val="auto"/>
        </w:rPr>
      </w:pPr>
    </w:p>
    <w:p>
      <w:pPr>
        <w:ind w:left="5880"/>
        <w:spacing w:after="0"/>
        <w:rPr>
          <w:sz w:val="20"/>
          <w:szCs w:val="20"/>
          <w:color w:val="auto"/>
        </w:rPr>
      </w:pPr>
      <w:r>
        <w:rPr>
          <w:rFonts w:ascii="Arial" w:cs="Arial" w:eastAsia="Arial" w:hAnsi="Arial"/>
          <w:sz w:val="12"/>
          <w:szCs w:val="12"/>
          <w:color w:val="auto"/>
        </w:rPr>
        <w:t>/s/ AARON J. PEARCE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3721100</wp:posOffset>
            </wp:positionH>
            <wp:positionV relativeFrom="paragraph">
              <wp:posOffset>9525</wp:posOffset>
            </wp:positionV>
            <wp:extent cx="345186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51860" cy="5715"/>
                    </a:xfrm>
                    <a:prstGeom prst="rect">
                      <a:avLst/>
                    </a:prstGeom>
                    <a:noFill/>
                  </pic:spPr>
                </pic:pic>
              </a:graphicData>
            </a:graphic>
          </wp:anchor>
        </w:drawing>
      </w:r>
    </w:p>
    <w:p>
      <w:pPr>
        <w:spacing w:after="0" w:line="4" w:lineRule="exact"/>
        <w:rPr>
          <w:sz w:val="20"/>
          <w:szCs w:val="20"/>
          <w:color w:val="auto"/>
        </w:rPr>
      </w:pPr>
    </w:p>
    <w:p>
      <w:pPr>
        <w:ind w:left="5880"/>
        <w:spacing w:after="0"/>
        <w:rPr>
          <w:sz w:val="20"/>
          <w:szCs w:val="20"/>
          <w:color w:val="auto"/>
        </w:rPr>
      </w:pPr>
      <w:r>
        <w:rPr>
          <w:rFonts w:ascii="Arial" w:cs="Arial" w:eastAsia="Arial" w:hAnsi="Arial"/>
          <w:sz w:val="12"/>
          <w:szCs w:val="12"/>
          <w:color w:val="auto"/>
        </w:rPr>
        <w:t>Aaron J. Pearce</w:t>
      </w:r>
    </w:p>
    <w:p>
      <w:pPr>
        <w:spacing w:after="0" w:line="15" w:lineRule="exact"/>
        <w:rPr>
          <w:sz w:val="20"/>
          <w:szCs w:val="20"/>
          <w:color w:val="auto"/>
        </w:rPr>
      </w:pPr>
    </w:p>
    <w:p>
      <w:pPr>
        <w:ind w:left="5880"/>
        <w:spacing w:after="0"/>
        <w:rPr>
          <w:sz w:val="20"/>
          <w:szCs w:val="20"/>
          <w:color w:val="auto"/>
        </w:rPr>
      </w:pPr>
      <w:r>
        <w:rPr>
          <w:rFonts w:ascii="Arial" w:cs="Arial" w:eastAsia="Arial" w:hAnsi="Arial"/>
          <w:sz w:val="12"/>
          <w:szCs w:val="12"/>
          <w:color w:val="auto"/>
        </w:rPr>
        <w:t>Chief Financial Officer and Treasurer</w:t>
      </w:r>
    </w:p>
    <w:p>
      <w:pPr>
        <w:sectPr>
          <w:pgSz w:w="11900" w:h="16838" w:orient="portrait"/>
          <w:cols w:equalWidth="0" w:num="1">
            <w:col w:w="11300"/>
          </w:cols>
          <w:pgMar w:left="300" w:top="644" w:right="299" w:bottom="1440" w:gutter="0" w:footer="0" w:header="0"/>
        </w:sectPr>
      </w:pPr>
    </w:p>
    <w:bookmarkStart w:id="3" w:name="page4"/>
    <w:bookmarkEnd w:id="3"/>
    <w:p>
      <w:pPr>
        <w:jc w:val="right"/>
        <w:spacing w:after="0"/>
        <w:rPr>
          <w:sz w:val="20"/>
          <w:szCs w:val="20"/>
          <w:color w:val="auto"/>
        </w:rPr>
      </w:pPr>
      <w:r>
        <w:rPr>
          <w:rFonts w:ascii="Arial" w:cs="Arial" w:eastAsia="Arial" w:hAnsi="Arial"/>
          <w:sz w:val="13"/>
          <w:szCs w:val="13"/>
          <w:b w:val="1"/>
          <w:bCs w:val="1"/>
          <w:u w:val="single" w:color="auto"/>
          <w:color w:val="auto"/>
        </w:rPr>
        <w:t>EXHIBIT 99.1</w:t>
      </w:r>
    </w:p>
    <w:p>
      <w:pPr>
        <w:spacing w:after="0" w:line="332" w:lineRule="exact"/>
        <w:rPr>
          <w:sz w:val="20"/>
          <w:szCs w:val="20"/>
          <w:color w:val="auto"/>
        </w:rPr>
      </w:pPr>
    </w:p>
    <w:p>
      <w:pPr>
        <w:spacing w:after="0"/>
        <w:rPr>
          <w:sz w:val="20"/>
          <w:szCs w:val="20"/>
          <w:color w:val="auto"/>
        </w:rPr>
      </w:pPr>
      <w:r>
        <w:rPr>
          <w:rFonts w:ascii="Arial" w:cs="Arial" w:eastAsia="Arial" w:hAnsi="Arial"/>
          <w:sz w:val="13"/>
          <w:szCs w:val="13"/>
          <w:u w:val="single" w:color="auto"/>
          <w:color w:val="auto"/>
        </w:rPr>
        <w:t>For More Information:</w:t>
      </w:r>
    </w:p>
    <w:p>
      <w:pPr>
        <w:spacing w:after="0" w:line="14" w:lineRule="exact"/>
        <w:rPr>
          <w:sz w:val="20"/>
          <w:szCs w:val="20"/>
          <w:color w:val="auto"/>
        </w:rPr>
      </w:pPr>
    </w:p>
    <w:p>
      <w:pPr>
        <w:spacing w:after="0"/>
        <w:rPr>
          <w:sz w:val="20"/>
          <w:szCs w:val="20"/>
          <w:color w:val="auto"/>
        </w:rPr>
      </w:pPr>
      <w:r>
        <w:rPr>
          <w:rFonts w:ascii="Arial" w:cs="Arial" w:eastAsia="Arial" w:hAnsi="Arial"/>
          <w:sz w:val="13"/>
          <w:szCs w:val="13"/>
          <w:color w:val="auto"/>
        </w:rPr>
        <w:t>Investor contact: Ann Thornton 414-438-6887</w:t>
      </w:r>
    </w:p>
    <w:p>
      <w:pPr>
        <w:spacing w:after="0" w:line="4" w:lineRule="exact"/>
        <w:rPr>
          <w:sz w:val="20"/>
          <w:szCs w:val="20"/>
          <w:color w:val="auto"/>
        </w:rPr>
      </w:pPr>
    </w:p>
    <w:p>
      <w:pPr>
        <w:spacing w:after="0"/>
        <w:rPr>
          <w:sz w:val="20"/>
          <w:szCs w:val="20"/>
          <w:color w:val="auto"/>
        </w:rPr>
      </w:pPr>
      <w:r>
        <w:rPr>
          <w:rFonts w:ascii="Arial" w:cs="Arial" w:eastAsia="Arial" w:hAnsi="Arial"/>
          <w:sz w:val="13"/>
          <w:szCs w:val="13"/>
          <w:color w:val="auto"/>
        </w:rPr>
        <w:t>Media contact: Kate Venne 414-358-5176</w:t>
      </w:r>
    </w:p>
    <w:p>
      <w:pPr>
        <w:spacing w:after="0" w:line="314"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Brady Corporation Reports Fiscal 2021 Third Quarter Results and Increases its Fiscal 2021 EPS Guidance</w:t>
      </w:r>
    </w:p>
    <w:p>
      <w:pPr>
        <w:spacing w:after="0" w:line="197" w:lineRule="exact"/>
        <w:rPr>
          <w:sz w:val="20"/>
          <w:szCs w:val="20"/>
          <w:color w:val="auto"/>
        </w:rPr>
      </w:pPr>
    </w:p>
    <w:p>
      <w:pPr>
        <w:ind w:left="420" w:hanging="212"/>
        <w:spacing w:after="0"/>
        <w:tabs>
          <w:tab w:leader="none" w:pos="420" w:val="left"/>
        </w:tabs>
        <w:numPr>
          <w:ilvl w:val="0"/>
          <w:numId w:val="2"/>
        </w:numPr>
        <w:rPr>
          <w:rFonts w:ascii="Arial" w:cs="Arial" w:eastAsia="Arial" w:hAnsi="Arial"/>
          <w:sz w:val="14"/>
          <w:szCs w:val="14"/>
          <w:color w:val="auto"/>
        </w:rPr>
      </w:pPr>
      <w:r>
        <w:rPr>
          <w:rFonts w:ascii="Arial" w:cs="Arial" w:eastAsia="Arial" w:hAnsi="Arial"/>
          <w:sz w:val="13"/>
          <w:szCs w:val="13"/>
          <w:color w:val="auto"/>
        </w:rPr>
        <w:t>Pre-tax income more than doubled to $47.8 million in the third quarter of fiscal 2021 compared to $22.2 million in the same quarter of the prior year.</w:t>
      </w:r>
    </w:p>
    <w:p>
      <w:pPr>
        <w:spacing w:after="0" w:line="55" w:lineRule="exact"/>
        <w:rPr>
          <w:rFonts w:ascii="Arial" w:cs="Arial" w:eastAsia="Arial" w:hAnsi="Arial"/>
          <w:sz w:val="14"/>
          <w:szCs w:val="14"/>
          <w:color w:val="auto"/>
        </w:rPr>
      </w:pPr>
    </w:p>
    <w:p>
      <w:pPr>
        <w:ind w:left="420" w:hanging="212"/>
        <w:spacing w:after="0"/>
        <w:tabs>
          <w:tab w:leader="none" w:pos="420" w:val="left"/>
        </w:tabs>
        <w:numPr>
          <w:ilvl w:val="0"/>
          <w:numId w:val="2"/>
        </w:numPr>
        <w:rPr>
          <w:rFonts w:ascii="Arial" w:cs="Arial" w:eastAsia="Arial" w:hAnsi="Arial"/>
          <w:sz w:val="14"/>
          <w:szCs w:val="14"/>
          <w:color w:val="auto"/>
        </w:rPr>
      </w:pPr>
      <w:r>
        <w:rPr>
          <w:rFonts w:ascii="Arial" w:cs="Arial" w:eastAsia="Arial" w:hAnsi="Arial"/>
          <w:sz w:val="13"/>
          <w:szCs w:val="13"/>
          <w:color w:val="auto"/>
        </w:rPr>
        <w:t>Diluted EPS was $0.71 in the third quarter of fiscal 2021 compared to $0.26 in the same quarter of the prior year.</w:t>
      </w:r>
    </w:p>
    <w:p>
      <w:pPr>
        <w:spacing w:after="0" w:line="55" w:lineRule="exact"/>
        <w:rPr>
          <w:rFonts w:ascii="Arial" w:cs="Arial" w:eastAsia="Arial" w:hAnsi="Arial"/>
          <w:sz w:val="14"/>
          <w:szCs w:val="14"/>
          <w:color w:val="auto"/>
        </w:rPr>
      </w:pPr>
    </w:p>
    <w:p>
      <w:pPr>
        <w:ind w:left="420" w:hanging="212"/>
        <w:spacing w:after="0"/>
        <w:tabs>
          <w:tab w:leader="none" w:pos="420" w:val="left"/>
        </w:tabs>
        <w:numPr>
          <w:ilvl w:val="0"/>
          <w:numId w:val="2"/>
        </w:numPr>
        <w:rPr>
          <w:rFonts w:ascii="Arial" w:cs="Arial" w:eastAsia="Arial" w:hAnsi="Arial"/>
          <w:sz w:val="14"/>
          <w:szCs w:val="14"/>
          <w:color w:val="auto"/>
        </w:rPr>
      </w:pPr>
      <w:r>
        <w:rPr>
          <w:rFonts w:ascii="Arial" w:cs="Arial" w:eastAsia="Arial" w:hAnsi="Arial"/>
          <w:sz w:val="13"/>
          <w:szCs w:val="13"/>
          <w:color w:val="auto"/>
        </w:rPr>
        <w:t>Sales for the quarter increased 11.1 percent. Organic sales increased 6.5 percent and the impact of foreign currency translation increased sales by 4.6 percent.</w:t>
      </w:r>
    </w:p>
    <w:p>
      <w:pPr>
        <w:spacing w:after="0" w:line="55" w:lineRule="exact"/>
        <w:rPr>
          <w:rFonts w:ascii="Arial" w:cs="Arial" w:eastAsia="Arial" w:hAnsi="Arial"/>
          <w:sz w:val="14"/>
          <w:szCs w:val="14"/>
          <w:color w:val="auto"/>
        </w:rPr>
      </w:pPr>
    </w:p>
    <w:p>
      <w:pPr>
        <w:ind w:left="420" w:hanging="212"/>
        <w:spacing w:after="0"/>
        <w:tabs>
          <w:tab w:leader="none" w:pos="420" w:val="left"/>
        </w:tabs>
        <w:numPr>
          <w:ilvl w:val="0"/>
          <w:numId w:val="2"/>
        </w:numPr>
        <w:rPr>
          <w:rFonts w:ascii="Arial" w:cs="Arial" w:eastAsia="Arial" w:hAnsi="Arial"/>
          <w:sz w:val="14"/>
          <w:szCs w:val="14"/>
          <w:color w:val="auto"/>
        </w:rPr>
      </w:pPr>
      <w:r>
        <w:rPr>
          <w:rFonts w:ascii="Arial" w:cs="Arial" w:eastAsia="Arial" w:hAnsi="Arial"/>
          <w:sz w:val="13"/>
          <w:szCs w:val="13"/>
          <w:color w:val="auto"/>
        </w:rPr>
        <w:t>Net cash provided by operating activities was $56.0 million in the third quarter of fiscal 2021 compared to $42.8 million in the third quarter of the prior year.</w:t>
      </w:r>
    </w:p>
    <w:p>
      <w:pPr>
        <w:spacing w:after="0" w:line="55" w:lineRule="exact"/>
        <w:rPr>
          <w:rFonts w:ascii="Arial" w:cs="Arial" w:eastAsia="Arial" w:hAnsi="Arial"/>
          <w:sz w:val="14"/>
          <w:szCs w:val="14"/>
          <w:color w:val="auto"/>
        </w:rPr>
      </w:pPr>
    </w:p>
    <w:p>
      <w:pPr>
        <w:ind w:left="420" w:hanging="212"/>
        <w:spacing w:after="0"/>
        <w:tabs>
          <w:tab w:leader="none" w:pos="420" w:val="left"/>
        </w:tabs>
        <w:numPr>
          <w:ilvl w:val="0"/>
          <w:numId w:val="2"/>
        </w:numPr>
        <w:rPr>
          <w:rFonts w:ascii="Arial" w:cs="Arial" w:eastAsia="Arial" w:hAnsi="Arial"/>
          <w:sz w:val="14"/>
          <w:szCs w:val="14"/>
          <w:color w:val="auto"/>
        </w:rPr>
      </w:pPr>
      <w:r>
        <w:rPr>
          <w:rFonts w:ascii="Arial" w:cs="Arial" w:eastAsia="Arial" w:hAnsi="Arial"/>
          <w:sz w:val="13"/>
          <w:szCs w:val="13"/>
          <w:color w:val="auto"/>
        </w:rPr>
        <w:t>Diluted EPS guidance for the full year ending July 31, 2021 was increased to a range of $2.58 to $2.68 from the previous range of $2.48 to $2.58.</w:t>
      </w:r>
    </w:p>
    <w:p>
      <w:pPr>
        <w:spacing w:after="0" w:line="208" w:lineRule="exact"/>
        <w:rPr>
          <w:sz w:val="20"/>
          <w:szCs w:val="20"/>
          <w:color w:val="auto"/>
        </w:rPr>
      </w:pPr>
    </w:p>
    <w:p>
      <w:pPr>
        <w:jc w:val="both"/>
        <w:ind w:right="20"/>
        <w:spacing w:after="0" w:line="343" w:lineRule="auto"/>
        <w:rPr>
          <w:sz w:val="20"/>
          <w:szCs w:val="20"/>
          <w:color w:val="auto"/>
        </w:rPr>
      </w:pPr>
      <w:r>
        <w:rPr>
          <w:rFonts w:ascii="Arial" w:cs="Arial" w:eastAsia="Arial" w:hAnsi="Arial"/>
          <w:sz w:val="13"/>
          <w:szCs w:val="13"/>
          <w:color w:val="auto"/>
        </w:rPr>
        <w:t>MILWAUKEE (May 20, 2021) -- Brady Corporation (NYSE: BRC) (“Brady” or “Company”), a world leader in identification solutions, today reported its financial results for its fiscal 2021 third quarter ended April 30, 2021.</w:t>
      </w:r>
    </w:p>
    <w:p>
      <w:pPr>
        <w:spacing w:after="0" w:line="12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Quarter Ended April 30, 2021 Financial Results:</w:t>
      </w:r>
    </w:p>
    <w:p>
      <w:pPr>
        <w:spacing w:after="0" w:line="53" w:lineRule="exact"/>
        <w:rPr>
          <w:sz w:val="20"/>
          <w:szCs w:val="20"/>
          <w:color w:val="auto"/>
        </w:rPr>
      </w:pPr>
    </w:p>
    <w:p>
      <w:pPr>
        <w:jc w:val="both"/>
        <w:ind w:firstLine="432"/>
        <w:spacing w:after="0" w:line="322" w:lineRule="auto"/>
        <w:rPr>
          <w:sz w:val="20"/>
          <w:szCs w:val="20"/>
          <w:color w:val="auto"/>
        </w:rPr>
      </w:pPr>
      <w:r>
        <w:rPr>
          <w:rFonts w:ascii="Arial" w:cs="Arial" w:eastAsia="Arial" w:hAnsi="Arial"/>
          <w:sz w:val="13"/>
          <w:szCs w:val="13"/>
          <w:color w:val="auto"/>
        </w:rPr>
        <w:t>Income before income taxes and losses of unconsolidated affiliate increased 115.7 percent to $47.8 million for the quarter ended April 30, 2021, compared to $22.2 million in the same quarter last year. Income before income taxes for the prior year quarter ended April 30, 2020 was reduced by non-cash impairment charges of $13.8 million primarily related to the write down of certain of the tangible and intangible assets in the Company’s Workplace Safety segment.</w:t>
      </w:r>
    </w:p>
    <w:p>
      <w:pPr>
        <w:spacing w:after="0" w:line="1" w:lineRule="exact"/>
        <w:rPr>
          <w:sz w:val="20"/>
          <w:szCs w:val="20"/>
          <w:color w:val="auto"/>
        </w:rPr>
      </w:pPr>
    </w:p>
    <w:p>
      <w:pPr>
        <w:jc w:val="both"/>
        <w:ind w:firstLine="432"/>
        <w:spacing w:after="0" w:line="337" w:lineRule="auto"/>
        <w:rPr>
          <w:sz w:val="20"/>
          <w:szCs w:val="20"/>
          <w:color w:val="auto"/>
        </w:rPr>
      </w:pPr>
      <w:r>
        <w:rPr>
          <w:rFonts w:ascii="Arial" w:cs="Arial" w:eastAsia="Arial" w:hAnsi="Arial"/>
          <w:sz w:val="13"/>
          <w:szCs w:val="13"/>
          <w:color w:val="auto"/>
        </w:rPr>
        <w:t>Net income for the quarter ended April 30, 2021 increased 173.5 percent to $37.3 million compared to $13.6 million in the same quarter last year. Earnings per diluted Class A Nonvoting Common Share were $0.71 for the third quarter of fiscal 2021, compared to $0.26 in the same quarter last year. Diluted EPS for the prior year quarter ended April 30, 2020 was reduced by non-cash impairment charges of approximately $0.21 per share.</w:t>
      </w:r>
    </w:p>
    <w:p>
      <w:pPr>
        <w:jc w:val="both"/>
        <w:ind w:firstLine="432"/>
        <w:spacing w:after="0" w:line="391" w:lineRule="auto"/>
        <w:rPr>
          <w:sz w:val="20"/>
          <w:szCs w:val="20"/>
          <w:color w:val="auto"/>
        </w:rPr>
      </w:pPr>
      <w:r>
        <w:rPr>
          <w:rFonts w:ascii="Arial" w:cs="Arial" w:eastAsia="Arial" w:hAnsi="Arial"/>
          <w:sz w:val="12"/>
          <w:szCs w:val="12"/>
          <w:color w:val="auto"/>
        </w:rPr>
        <w:t>Sales for the quarter ended April 30, 2021 increased 11.1 percent, which consisted of an organic sales increase of 6.5 percent and an increase of 4.6 percent from foreign currency translation. Sales for the quarter ended April 30, 2021 were $295.5 million compared to $265.9 million in the same quarter last year. By segment, sales increased 12.9 percent in Identification Solutions and increased 6.4 percent in Workplace Safety, which consisted of an organic sales increase of 9.8 percent in Identification Solutions and an organic sales decline of 2.2 percent in Workplace Safety.</w:t>
      </w:r>
    </w:p>
    <w:p>
      <w:pPr>
        <w:sectPr>
          <w:pgSz w:w="11900" w:h="16838" w:orient="portrait"/>
          <w:cols w:equalWidth="0" w:num="1">
            <w:col w:w="11300"/>
          </w:cols>
          <w:pgMar w:left="300" w:top="638" w:right="299" w:bottom="1440" w:gutter="0" w:footer="0" w:header="0"/>
        </w:sectPr>
      </w:pPr>
    </w:p>
    <w:bookmarkStart w:id="4" w:name="page5"/>
    <w:bookmarkEnd w:id="4"/>
    <w:p>
      <w:pPr>
        <w:spacing w:after="0"/>
        <w:rPr>
          <w:sz w:val="20"/>
          <w:szCs w:val="20"/>
          <w:color w:val="auto"/>
        </w:rPr>
      </w:pPr>
      <w:r>
        <w:rPr>
          <w:rFonts w:ascii="Arial" w:cs="Arial" w:eastAsia="Arial" w:hAnsi="Arial"/>
          <w:sz w:val="13"/>
          <w:szCs w:val="13"/>
          <w:b w:val="1"/>
          <w:bCs w:val="1"/>
          <w:color w:val="auto"/>
        </w:rPr>
        <w:t>Nine-Month Period Ended April 30, 2021 Financial Results:</w:t>
      </w:r>
    </w:p>
    <w:p>
      <w:pPr>
        <w:spacing w:after="0" w:line="53" w:lineRule="exact"/>
        <w:rPr>
          <w:sz w:val="20"/>
          <w:szCs w:val="20"/>
          <w:color w:val="auto"/>
        </w:rPr>
      </w:pPr>
    </w:p>
    <w:p>
      <w:pPr>
        <w:jc w:val="both"/>
        <w:ind w:right="20" w:firstLine="432"/>
        <w:spacing w:after="0" w:line="339" w:lineRule="auto"/>
        <w:rPr>
          <w:sz w:val="20"/>
          <w:szCs w:val="20"/>
          <w:color w:val="auto"/>
        </w:rPr>
      </w:pPr>
      <w:r>
        <w:rPr>
          <w:rFonts w:ascii="Arial" w:cs="Arial" w:eastAsia="Arial" w:hAnsi="Arial"/>
          <w:sz w:val="13"/>
          <w:szCs w:val="13"/>
          <w:color w:val="auto"/>
        </w:rPr>
        <w:t>Income before income taxes and losses of unconsolidated affiliate increased 22.0 percent to $129.4 million for the nine-month period ended April 30, 2021, compared to $106.1 million for the nine-month period ended April 30, 2020. Income before income taxes for the prior year nine-month period ended April 30, 2020 was reduced by non-cash impairment charges of $13.8 million.</w:t>
      </w:r>
    </w:p>
    <w:p>
      <w:pPr>
        <w:spacing w:after="0" w:line="1" w:lineRule="exact"/>
        <w:rPr>
          <w:sz w:val="20"/>
          <w:szCs w:val="20"/>
          <w:color w:val="auto"/>
        </w:rPr>
      </w:pPr>
    </w:p>
    <w:p>
      <w:pPr>
        <w:jc w:val="both"/>
        <w:ind w:firstLine="432"/>
        <w:spacing w:after="0" w:line="337" w:lineRule="auto"/>
        <w:rPr>
          <w:sz w:val="20"/>
          <w:szCs w:val="20"/>
          <w:color w:val="auto"/>
        </w:rPr>
      </w:pPr>
      <w:r>
        <w:rPr>
          <w:rFonts w:ascii="Arial" w:cs="Arial" w:eastAsia="Arial" w:hAnsi="Arial"/>
          <w:sz w:val="13"/>
          <w:szCs w:val="13"/>
          <w:color w:val="auto"/>
        </w:rPr>
        <w:t>Net income for the nine-month period ended April 30, 2021 increased 20.0 percent to $101.6 million compared to $84.7 million for the same period last year. Earnings per diluted Class A Nonvoting Common Share were $1.94 for the nine-month period ended April 30, 2021, compared to $1.58 for the same period last year. Net income and earnings per diluted Class A Nonvoting Common Share for the prior year nine-month period ended April 30, 2020 were reduced by non-cash impairment charges of $13.8 million.</w:t>
      </w:r>
    </w:p>
    <w:p>
      <w:pPr>
        <w:jc w:val="both"/>
        <w:ind w:firstLine="432"/>
        <w:spacing w:after="0" w:line="391" w:lineRule="auto"/>
        <w:rPr>
          <w:sz w:val="20"/>
          <w:szCs w:val="20"/>
          <w:color w:val="auto"/>
        </w:rPr>
      </w:pPr>
      <w:r>
        <w:rPr>
          <w:rFonts w:ascii="Arial" w:cs="Arial" w:eastAsia="Arial" w:hAnsi="Arial"/>
          <w:sz w:val="12"/>
          <w:szCs w:val="12"/>
          <w:color w:val="auto"/>
        </w:rPr>
        <w:t>Sales for the nine-month period ended April 30, 2021 increased 1.1 percent, which consisted of an organic sales decline of 1.7 percent and an increase of 2.8 percent from foreign currency translation. Sales for the nine months ended April 30, 2021 were $838.6 million compared to $829.6 million in the same period last year. By segment, sales declined 0.5 percent in Identification Solutions and grew 5.6 percent in Workplace Safety, which consisted of an organic sales decline of 2.1 percent in Identification Solutions and an organic sales decline of 0.5 percent in Workplace Safety.</w:t>
      </w:r>
    </w:p>
    <w:p>
      <w:pPr>
        <w:spacing w:after="0" w:line="11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Commentary:</w:t>
      </w:r>
    </w:p>
    <w:p>
      <w:pPr>
        <w:spacing w:after="0" w:line="80" w:lineRule="exact"/>
        <w:rPr>
          <w:sz w:val="20"/>
          <w:szCs w:val="20"/>
          <w:color w:val="auto"/>
        </w:rPr>
      </w:pPr>
    </w:p>
    <w:p>
      <w:pPr>
        <w:jc w:val="both"/>
        <w:ind w:firstLine="432"/>
        <w:spacing w:after="0" w:line="340" w:lineRule="auto"/>
        <w:rPr>
          <w:sz w:val="20"/>
          <w:szCs w:val="20"/>
          <w:color w:val="auto"/>
        </w:rPr>
      </w:pPr>
      <w:r>
        <w:rPr>
          <w:rFonts w:ascii="Arial" w:cs="Arial" w:eastAsia="Arial" w:hAnsi="Arial"/>
          <w:sz w:val="13"/>
          <w:szCs w:val="13"/>
          <w:color w:val="auto"/>
        </w:rPr>
        <w:t>“Throughout the pandemic, we continued to invest in sales and marketing as well as research and development. These investments, coupled with improved market conditions, helped us to return to organic sales growth this quarter,” said Brady’s President and Chief Executive Officer, J. Michael Nauman. “Our outlook is positive. We expect accelerated organic sales growth in our fourth quarter and into the future. Last month, we launched an all-cash tender offer in Finland to acquire all of the outstanding shares of Nordic ID Oyj. The acquisition of Nordic ID allows Brady to diversify and expand our presence in RFID into attractive new markets with faster long-term organic growth rates as we strengthen our product portfolio and service offerings. Brady is in a strong financial position and we are using this strong financial position to set ourselves up for strong and sustainable growth as we move past this pandemic.”</w:t>
      </w:r>
    </w:p>
    <w:p>
      <w:pPr>
        <w:spacing w:after="0" w:line="3" w:lineRule="exact"/>
        <w:rPr>
          <w:sz w:val="20"/>
          <w:szCs w:val="20"/>
          <w:color w:val="auto"/>
        </w:rPr>
      </w:pPr>
    </w:p>
    <w:p>
      <w:pPr>
        <w:jc w:val="both"/>
        <w:ind w:firstLine="432"/>
        <w:spacing w:after="0" w:line="349" w:lineRule="auto"/>
        <w:rPr>
          <w:sz w:val="20"/>
          <w:szCs w:val="20"/>
          <w:color w:val="auto"/>
        </w:rPr>
      </w:pPr>
      <w:r>
        <w:rPr>
          <w:rFonts w:ascii="Arial" w:cs="Arial" w:eastAsia="Arial" w:hAnsi="Arial"/>
          <w:sz w:val="13"/>
          <w:szCs w:val="13"/>
          <w:color w:val="auto"/>
        </w:rPr>
        <w:t>“This quarter, we generated diluted EPS of $0.71, which is an all-time quarterly record for Brady,” said Brady’s Chief Financial Officer, Aaron Pearce. “Brady continues to generate strong cash flow and has a very strong balance sheet. As of April 30, 2021, we had $321.8 million of cash on hand and no outstanding debt. We generated $56.0 million of cash flow from operating activities this quarter, which was an increase of 30.9 percent compared to last year’s third quarter. Although the economy is still challenged in certain geographies, we do expect the general trend of improving economic conditions to continue over the next several quarters and we believe that Brady is well positioned to prosper in this environment through both organic sales growth and growth through acquisitions. Brady’s strong balance sheet and cash generation position us well for future financial success.”</w:t>
      </w:r>
    </w:p>
    <w:p>
      <w:pPr>
        <w:spacing w:after="0" w:line="12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Fiscal 2021 Guidance:</w:t>
      </w:r>
    </w:p>
    <w:p>
      <w:pPr>
        <w:spacing w:after="0" w:line="62" w:lineRule="exact"/>
        <w:rPr>
          <w:sz w:val="20"/>
          <w:szCs w:val="20"/>
          <w:color w:val="auto"/>
        </w:rPr>
      </w:pPr>
    </w:p>
    <w:p>
      <w:pPr>
        <w:jc w:val="both"/>
        <w:ind w:firstLine="432"/>
        <w:spacing w:after="0" w:line="345" w:lineRule="auto"/>
        <w:rPr>
          <w:sz w:val="20"/>
          <w:szCs w:val="20"/>
          <w:color w:val="auto"/>
        </w:rPr>
      </w:pPr>
      <w:r>
        <w:rPr>
          <w:rFonts w:ascii="Arial" w:cs="Arial" w:eastAsia="Arial" w:hAnsi="Arial"/>
          <w:sz w:val="13"/>
          <w:szCs w:val="13"/>
          <w:color w:val="auto"/>
        </w:rPr>
        <w:t>The Company is increasing its full year fiscal 2021 earnings per diluted Class A Nonvoting Common Share guidance from its previous range of $2.48 to $2.58 to a range of $2.58 to $2.68. This equates to diluted earnings per share in the range of $0.64 to $0.74 in the fourth quarter of the fiscal year ending July 31, 2021, which would represent an approximate increase of 20 percent to 40 percent over the fourth quarter of fiscal 2020. The Company</w:t>
      </w:r>
    </w:p>
    <w:p>
      <w:pPr>
        <w:sectPr>
          <w:pgSz w:w="11900" w:h="16838" w:orient="portrait"/>
          <w:cols w:equalWidth="0" w:num="1">
            <w:col w:w="11300"/>
          </w:cols>
          <w:pgMar w:left="300" w:top="665" w:right="299" w:bottom="1440" w:gutter="0" w:footer="0" w:header="0"/>
        </w:sectPr>
      </w:pPr>
    </w:p>
    <w:bookmarkStart w:id="5" w:name="page6"/>
    <w:bookmarkEnd w:id="5"/>
    <w:p>
      <w:pPr>
        <w:jc w:val="both"/>
        <w:ind w:right="20"/>
        <w:spacing w:after="0" w:line="358" w:lineRule="auto"/>
        <w:rPr>
          <w:sz w:val="20"/>
          <w:szCs w:val="20"/>
          <w:color w:val="auto"/>
        </w:rPr>
      </w:pPr>
      <w:r>
        <w:rPr>
          <w:rFonts w:ascii="Arial" w:cs="Arial" w:eastAsia="Arial" w:hAnsi="Arial"/>
          <w:sz w:val="13"/>
          <w:szCs w:val="13"/>
          <w:color w:val="auto"/>
        </w:rPr>
        <w:t>also expects organic sales growth to be in the low-teen percentages in the fourth quarter of fiscal 2021 when compared to the fourth quarter of the prior year. This guidance is based on foreign currency exchange rates as of April 30, 2021 and assumes a continued economic recovery.</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3"/>
          <w:szCs w:val="13"/>
          <w:color w:val="auto"/>
        </w:rPr>
        <w:t xml:space="preserve">A webcast regarding Brady’s fiscal 2021 third quarter financial results will be available at </w:t>
      </w:r>
      <w:r>
        <w:rPr>
          <w:rFonts w:ascii="Arial" w:cs="Arial" w:eastAsia="Arial" w:hAnsi="Arial"/>
          <w:sz w:val="13"/>
          <w:szCs w:val="13"/>
          <w:u w:val="single" w:color="auto"/>
          <w:color w:val="0000FF"/>
        </w:rPr>
        <w:t>www.bradycorp.com/investors</w:t>
      </w:r>
      <w:r>
        <w:rPr>
          <w:rFonts w:ascii="Arial" w:cs="Arial" w:eastAsia="Arial" w:hAnsi="Arial"/>
          <w:sz w:val="13"/>
          <w:szCs w:val="13"/>
          <w:color w:val="auto"/>
        </w:rPr>
        <w:t xml:space="preserve"> beginning at 9:30 a.m. central time today.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3281045</wp:posOffset>
            </wp:positionH>
            <wp:positionV relativeFrom="paragraph">
              <wp:posOffset>-7620</wp:posOffset>
            </wp:positionV>
            <wp:extent cx="20955"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0955" cy="5715"/>
                    </a:xfrm>
                    <a:prstGeom prst="rect">
                      <a:avLst/>
                    </a:prstGeom>
                    <a:noFill/>
                  </pic:spPr>
                </pic:pic>
              </a:graphicData>
            </a:graphic>
          </wp:anchor>
        </w:drawing>
      </w:r>
    </w:p>
    <w:p>
      <w:pPr>
        <w:spacing w:after="0" w:line="200" w:lineRule="exact"/>
        <w:rPr>
          <w:sz w:val="20"/>
          <w:szCs w:val="20"/>
          <w:color w:val="auto"/>
        </w:rPr>
      </w:pPr>
    </w:p>
    <w:p>
      <w:pPr>
        <w:jc w:val="both"/>
        <w:ind w:firstLine="432"/>
        <w:spacing w:after="0" w:line="349" w:lineRule="auto"/>
        <w:rPr>
          <w:sz w:val="20"/>
          <w:szCs w:val="20"/>
          <w:color w:val="auto"/>
        </w:rPr>
      </w:pPr>
      <w:r>
        <w:rPr>
          <w:rFonts w:ascii="Arial" w:cs="Arial" w:eastAsia="Arial" w:hAnsi="Arial"/>
          <w:sz w:val="13"/>
          <w:szCs w:val="13"/>
          <w:color w:val="auto"/>
        </w:rPr>
        <w:t xml:space="preserve">Brady Corporation is an international manufacturer and marketer of complete solutions that identify and protect people, products and places. Brady’s products help customers increase safety, security, productivity and performance and include high-performance labels, signs, safety devices, printing systems and software. Founded in 1914, the Company has a diverse customer base in electronics, telecommunications, manufacturing, electrical, construction, medical, aerospace and a variety of other industries. Brady is headquartered in Milwaukee, Wisconsin and as of July 31, 2020, employed approximately 5,400 people in its worldwide businesses. Brady’s fiscal 2020 sales were approximately $1.08 billion. Brady stock trades on the New York Stock Exchange under the symbol BRC. More information is available on the Internet at </w:t>
      </w:r>
      <w:r>
        <w:rPr>
          <w:rFonts w:ascii="Arial" w:cs="Arial" w:eastAsia="Arial" w:hAnsi="Arial"/>
          <w:sz w:val="13"/>
          <w:szCs w:val="13"/>
          <w:u w:val="single" w:color="auto"/>
          <w:color w:val="0000FF"/>
        </w:rPr>
        <w:t>www.bradyid.com</w:t>
      </w:r>
      <w:r>
        <w:rPr>
          <w:rFonts w:ascii="Arial" w:cs="Arial" w:eastAsia="Arial" w:hAnsi="Arial"/>
          <w:sz w:val="13"/>
          <w:szCs w:val="13"/>
          <w:color w:val="auto"/>
        </w:rPr>
        <w:t>.</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w:t>
      </w:r>
    </w:p>
    <w:p>
      <w:pPr>
        <w:spacing w:after="0" w:line="194" w:lineRule="exact"/>
        <w:rPr>
          <w:sz w:val="20"/>
          <w:szCs w:val="20"/>
          <w:color w:val="auto"/>
        </w:rPr>
      </w:pPr>
    </w:p>
    <w:p>
      <w:pPr>
        <w:jc w:val="both"/>
        <w:spacing w:after="0" w:line="245" w:lineRule="auto"/>
        <w:rPr>
          <w:sz w:val="20"/>
          <w:szCs w:val="20"/>
          <w:color w:val="auto"/>
        </w:rPr>
      </w:pPr>
      <w:r>
        <w:rPr>
          <w:rFonts w:ascii="Arial" w:cs="Arial" w:eastAsia="Arial" w:hAnsi="Arial"/>
          <w:sz w:val="12"/>
          <w:szCs w:val="12"/>
          <w:color w:val="auto"/>
        </w:rPr>
        <w:t>In this news release, statements that are not reported financial results or other historic information are “forward-looking statements.” These forward-looking statements relate to, among other things, the Company's future financial position, business strategy, targets, projected sales, costs, earnings, capital expenditures, debt levels and cash flows, and plans and objectives of management for future operations.</w:t>
      </w:r>
    </w:p>
    <w:p>
      <w:pPr>
        <w:spacing w:after="0" w:line="159" w:lineRule="exact"/>
        <w:rPr>
          <w:sz w:val="20"/>
          <w:szCs w:val="20"/>
          <w:color w:val="auto"/>
        </w:rPr>
      </w:pPr>
    </w:p>
    <w:p>
      <w:pPr>
        <w:jc w:val="both"/>
        <w:spacing w:after="0" w:line="264" w:lineRule="auto"/>
        <w:rPr>
          <w:sz w:val="20"/>
          <w:szCs w:val="20"/>
          <w:color w:val="auto"/>
        </w:rPr>
      </w:pPr>
      <w:r>
        <w:rPr>
          <w:rFonts w:ascii="Arial" w:cs="Arial" w:eastAsia="Arial" w:hAnsi="Arial"/>
          <w:sz w:val="11"/>
          <w:szCs w:val="11"/>
          <w:color w:val="auto"/>
        </w:rPr>
        <w:t>The use of words such as “may,” “will,” “expect,” “intend,” “estimate,” “anticipate,” “believe,” “should,” “project,” “continue” or “plan” or similar terminology are generally intended to identify forward-looking statements. These forward-looking statements by their nature address matters that are, to different degrees, uncertain and are subject to risks, assumptions, and other factors, some of which are beyond Brady’s control, that could cause actual results to</w:t>
      </w:r>
    </w:p>
    <w:p>
      <w:pPr>
        <w:spacing w:after="0" w:line="1" w:lineRule="exact"/>
        <w:rPr>
          <w:sz w:val="20"/>
          <w:szCs w:val="20"/>
          <w:color w:val="auto"/>
        </w:rPr>
      </w:pPr>
    </w:p>
    <w:p>
      <w:pPr>
        <w:jc w:val="both"/>
        <w:spacing w:after="0" w:line="247" w:lineRule="auto"/>
        <w:rPr>
          <w:sz w:val="20"/>
          <w:szCs w:val="20"/>
          <w:color w:val="auto"/>
        </w:rPr>
      </w:pPr>
      <w:r>
        <w:rPr>
          <w:rFonts w:ascii="Arial" w:cs="Arial" w:eastAsia="Arial" w:hAnsi="Arial"/>
          <w:sz w:val="11"/>
          <w:szCs w:val="11"/>
          <w:color w:val="auto"/>
        </w:rPr>
        <w:t>differ materially from those expressed or implied by such forward-looking statements. For Brady, uncertainties arise from: adverse impacts of the novel coronavirus (“COVID-19”) pandemic or other pandemics; decreased demand for our products; our ability to compete effectively or to successfully execute our strategy; Brady’s ability to develop technologically advanced products that meet customer demands; raw material and other cost increases; difficulties in protecting our websites, networks, and systems against security breaches; extensive regulations by U.S. and non-U.S. governmental and self-regulatory entities; risks associated with the loss of key employees; divestitures and contingent liabilities from divestitures; Brady’s ability to properly identify, integrate, and grow acquired companies; litigation, including product liability claims; foreign currency fluctuations; potential write-offs of Brady’s goodwill and other intangible assets; changes in tax legislation and tax rates; differing interests of voting and non-voting shareholders; numerous other matters of national, regional and global scale, including major public health issues and those of a political, economic, business, competitive, and regulatory nature contained from time to time in Brady’s U.S. Securities and Exchange Commission filings, including, but not limited to, those factors listed in the “Risk Factors” section within Item 1A of Part I of Brady’s Form 10-K for the year ended July 31, 2020 and subsequent Form 10-Q filings.</w:t>
      </w:r>
    </w:p>
    <w:p>
      <w:pPr>
        <w:spacing w:after="0" w:line="133" w:lineRule="exact"/>
        <w:rPr>
          <w:sz w:val="20"/>
          <w:szCs w:val="20"/>
          <w:color w:val="auto"/>
        </w:rPr>
      </w:pPr>
    </w:p>
    <w:p>
      <w:pPr>
        <w:spacing w:after="0"/>
        <w:rPr>
          <w:sz w:val="20"/>
          <w:szCs w:val="20"/>
          <w:color w:val="auto"/>
        </w:rPr>
      </w:pPr>
      <w:r>
        <w:rPr>
          <w:rFonts w:ascii="Arial" w:cs="Arial" w:eastAsia="Arial" w:hAnsi="Arial"/>
          <w:sz w:val="10"/>
          <w:szCs w:val="10"/>
          <w:color w:val="auto"/>
        </w:rPr>
        <w:t>These uncertainties may cause Brady's actual future results to be materially different than those expressed in its forward-looking statements. Brady does not undertake to update its forward-looking statements except as required by law.</w:t>
      </w:r>
    </w:p>
    <w:p>
      <w:pPr>
        <w:sectPr>
          <w:pgSz w:w="11900" w:h="16838" w:orient="portrait"/>
          <w:cols w:equalWidth="0" w:num="1">
            <w:col w:w="11300"/>
          </w:cols>
          <w:pgMar w:left="300" w:top="678" w:right="299" w:bottom="1440" w:gutter="0" w:footer="0" w:header="0"/>
        </w:sectPr>
      </w:pPr>
    </w:p>
    <w:bookmarkStart w:id="6" w:name="page7"/>
    <w:bookmarkEnd w:id="6"/>
    <w:p>
      <w:pPr>
        <w:spacing w:after="0"/>
        <w:rPr>
          <w:sz w:val="20"/>
          <w:szCs w:val="20"/>
          <w:color w:val="auto"/>
        </w:rPr>
      </w:pPr>
      <w:r>
        <w:rPr>
          <w:rFonts w:ascii="Arial" w:cs="Arial" w:eastAsia="Arial" w:hAnsi="Arial"/>
          <w:sz w:val="11"/>
          <w:szCs w:val="11"/>
          <w:b w:val="1"/>
          <w:bCs w:val="1"/>
          <w:color w:val="auto"/>
        </w:rPr>
        <w:t>BRADY CORPORATION AND SUBSIDIARIES</w:t>
      </w:r>
    </w:p>
    <w:p>
      <w:pPr>
        <w:spacing w:after="0" w:line="11"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CONSOLIDATED STATEMENTS OF INCOME</w:t>
      </w:r>
    </w:p>
    <w:p>
      <w:pPr>
        <w:spacing w:after="0"/>
        <w:rPr>
          <w:sz w:val="20"/>
          <w:szCs w:val="20"/>
          <w:color w:val="auto"/>
        </w:rPr>
      </w:pPr>
      <w:r>
        <w:rPr>
          <w:rFonts w:ascii="Arial" w:cs="Arial" w:eastAsia="Arial" w:hAnsi="Arial"/>
          <w:sz w:val="11"/>
          <w:szCs w:val="11"/>
          <w:b w:val="1"/>
          <w:bCs w:val="1"/>
          <w:color w:val="auto"/>
        </w:rPr>
        <w:t>(Unaudited; Dollars in thousands, except per share data)</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5580" w:type="dxa"/>
            <w:vAlign w:val="bottom"/>
          </w:tcPr>
          <w:p>
            <w:pPr>
              <w:spacing w:after="0"/>
              <w:rPr>
                <w:sz w:val="12"/>
                <w:szCs w:val="12"/>
                <w:color w:val="auto"/>
              </w:rPr>
            </w:pPr>
          </w:p>
        </w:tc>
        <w:tc>
          <w:tcPr>
            <w:tcW w:w="2340" w:type="dxa"/>
            <w:vAlign w:val="bottom"/>
            <w:tcBorders>
              <w:bottom w:val="single" w:sz="8" w:color="auto"/>
            </w:tcBorders>
            <w:gridSpan w:val="4"/>
          </w:tcPr>
          <w:p>
            <w:pPr>
              <w:jc w:val="right"/>
              <w:ind w:right="231"/>
              <w:spacing w:after="0"/>
              <w:rPr>
                <w:sz w:val="20"/>
                <w:szCs w:val="20"/>
                <w:color w:val="auto"/>
              </w:rPr>
            </w:pPr>
            <w:r>
              <w:rPr>
                <w:rFonts w:ascii="Arial" w:cs="Arial" w:eastAsia="Arial" w:hAnsi="Arial"/>
                <w:sz w:val="11"/>
                <w:szCs w:val="11"/>
                <w:color w:val="auto"/>
              </w:rPr>
              <w:t>Three months ended April 30,</w:t>
            </w:r>
          </w:p>
        </w:tc>
        <w:tc>
          <w:tcPr>
            <w:tcW w:w="48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2500" w:type="dxa"/>
            <w:vAlign w:val="bottom"/>
            <w:tcBorders>
              <w:bottom w:val="single" w:sz="8" w:color="auto"/>
            </w:tcBorders>
            <w:gridSpan w:val="4"/>
          </w:tcPr>
          <w:p>
            <w:pPr>
              <w:jc w:val="right"/>
              <w:ind w:right="726"/>
              <w:spacing w:after="0"/>
              <w:rPr>
                <w:sz w:val="20"/>
                <w:szCs w:val="20"/>
                <w:color w:val="auto"/>
              </w:rPr>
            </w:pPr>
            <w:r>
              <w:rPr>
                <w:rFonts w:ascii="Arial" w:cs="Arial" w:eastAsia="Arial" w:hAnsi="Arial"/>
                <w:sz w:val="11"/>
                <w:szCs w:val="11"/>
                <w:color w:val="auto"/>
              </w:rPr>
              <w:t>Nine months ended April 30,</w:t>
            </w:r>
          </w:p>
        </w:tc>
      </w:tr>
      <w:tr>
        <w:trPr>
          <w:trHeight w:val="133"/>
        </w:trPr>
        <w:tc>
          <w:tcPr>
            <w:tcW w:w="5580" w:type="dxa"/>
            <w:vAlign w:val="bottom"/>
            <w:tcBorders>
              <w:bottom w:val="single" w:sz="8" w:color="CCEEFF"/>
            </w:tcBorders>
          </w:tcPr>
          <w:p>
            <w:pPr>
              <w:spacing w:after="0"/>
              <w:rPr>
                <w:sz w:val="11"/>
                <w:szCs w:val="11"/>
                <w:color w:val="auto"/>
              </w:rPr>
            </w:pPr>
          </w:p>
        </w:tc>
        <w:tc>
          <w:tcPr>
            <w:tcW w:w="88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color w:val="auto"/>
              </w:rPr>
              <w:t>2021</w:t>
            </w:r>
          </w:p>
        </w:tc>
        <w:tc>
          <w:tcPr>
            <w:tcW w:w="48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880" w:type="dxa"/>
            <w:vAlign w:val="bottom"/>
            <w:tcBorders>
              <w:bottom w:val="single" w:sz="8" w:color="auto"/>
            </w:tcBorders>
          </w:tcPr>
          <w:p>
            <w:pPr>
              <w:jc w:val="right"/>
              <w:ind w:right="51"/>
              <w:spacing w:after="0"/>
              <w:rPr>
                <w:sz w:val="20"/>
                <w:szCs w:val="20"/>
                <w:color w:val="auto"/>
              </w:rPr>
            </w:pPr>
            <w:r>
              <w:rPr>
                <w:rFonts w:ascii="Arial" w:cs="Arial" w:eastAsia="Arial" w:hAnsi="Arial"/>
                <w:sz w:val="11"/>
                <w:szCs w:val="11"/>
                <w:color w:val="auto"/>
              </w:rPr>
              <w:t>2020</w:t>
            </w:r>
          </w:p>
        </w:tc>
        <w:tc>
          <w:tcPr>
            <w:tcW w:w="48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ind w:right="506"/>
              <w:spacing w:after="0"/>
              <w:rPr>
                <w:sz w:val="20"/>
                <w:szCs w:val="20"/>
                <w:color w:val="auto"/>
              </w:rPr>
            </w:pPr>
            <w:r>
              <w:rPr>
                <w:rFonts w:ascii="Arial" w:cs="Arial" w:eastAsia="Arial" w:hAnsi="Arial"/>
                <w:sz w:val="11"/>
                <w:szCs w:val="11"/>
                <w:color w:val="auto"/>
              </w:rPr>
              <w:t>2021</w:t>
            </w:r>
          </w:p>
        </w:tc>
        <w:tc>
          <w:tcPr>
            <w:tcW w:w="100" w:type="dxa"/>
            <w:vAlign w:val="bottom"/>
            <w:tcBorders>
              <w:bottom w:val="single" w:sz="8" w:color="CCEEFF"/>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ind w:right="526"/>
              <w:spacing w:after="0"/>
              <w:rPr>
                <w:sz w:val="20"/>
                <w:szCs w:val="20"/>
                <w:color w:val="auto"/>
              </w:rPr>
            </w:pPr>
            <w:r>
              <w:rPr>
                <w:rFonts w:ascii="Arial" w:cs="Arial" w:eastAsia="Arial" w:hAnsi="Arial"/>
                <w:sz w:val="11"/>
                <w:szCs w:val="11"/>
                <w:color w:val="auto"/>
              </w:rPr>
              <w:t>2020</w:t>
            </w:r>
          </w:p>
        </w:tc>
      </w:tr>
      <w:tr>
        <w:trPr>
          <w:trHeight w:val="135"/>
        </w:trPr>
        <w:tc>
          <w:tcPr>
            <w:tcW w:w="5580" w:type="dxa"/>
            <w:vAlign w:val="bottom"/>
            <w:shd w:val="clear" w:color="auto" w:fill="CCEEFF"/>
          </w:tcPr>
          <w:p>
            <w:pPr>
              <w:spacing w:after="0"/>
              <w:rPr>
                <w:sz w:val="20"/>
                <w:szCs w:val="20"/>
                <w:color w:val="auto"/>
              </w:rPr>
            </w:pPr>
            <w:r>
              <w:rPr>
                <w:rFonts w:ascii="Arial" w:cs="Arial" w:eastAsia="Arial" w:hAnsi="Arial"/>
                <w:sz w:val="11"/>
                <w:szCs w:val="11"/>
                <w:color w:val="auto"/>
              </w:rPr>
              <w:t>Net sales</w:t>
            </w:r>
          </w:p>
        </w:tc>
        <w:tc>
          <w:tcPr>
            <w:tcW w:w="880" w:type="dxa"/>
            <w:vAlign w:val="bottom"/>
            <w:shd w:val="clear" w:color="auto" w:fill="CCEEFF"/>
          </w:tcPr>
          <w:p>
            <w:pPr>
              <w:jc w:val="right"/>
              <w:ind w:right="746"/>
              <w:spacing w:after="0"/>
              <w:rPr>
                <w:sz w:val="20"/>
                <w:szCs w:val="20"/>
                <w:color w:val="auto"/>
              </w:rPr>
            </w:pPr>
            <w:r>
              <w:rPr>
                <w:rFonts w:ascii="Arial" w:cs="Arial" w:eastAsia="Arial" w:hAnsi="Arial"/>
                <w:sz w:val="11"/>
                <w:szCs w:val="11"/>
                <w:color w:val="auto"/>
                <w:w w:val="97"/>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295,503</w:t>
            </w: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jc w:val="right"/>
              <w:ind w:right="771"/>
              <w:spacing w:after="0"/>
              <w:rPr>
                <w:sz w:val="20"/>
                <w:szCs w:val="20"/>
                <w:color w:val="auto"/>
              </w:rPr>
            </w:pPr>
            <w:r>
              <w:rPr>
                <w:rFonts w:ascii="Arial" w:cs="Arial" w:eastAsia="Arial" w:hAnsi="Arial"/>
                <w:sz w:val="10"/>
                <w:szCs w:val="10"/>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265,943</w:t>
            </w: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jc w:val="right"/>
              <w:ind w:right="186"/>
              <w:spacing w:after="0"/>
              <w:rPr>
                <w:sz w:val="20"/>
                <w:szCs w:val="20"/>
                <w:color w:val="auto"/>
              </w:rPr>
            </w:pPr>
            <w:r>
              <w:rPr>
                <w:rFonts w:ascii="Arial" w:cs="Arial" w:eastAsia="Arial" w:hAnsi="Arial"/>
                <w:sz w:val="11"/>
                <w:szCs w:val="11"/>
                <w:color w:val="auto"/>
                <w:w w:val="97"/>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838,568</w:t>
            </w: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jc w:val="right"/>
              <w:ind w:right="211"/>
              <w:spacing w:after="0"/>
              <w:rPr>
                <w:sz w:val="20"/>
                <w:szCs w:val="20"/>
                <w:color w:val="auto"/>
              </w:rPr>
            </w:pPr>
            <w:r>
              <w:rPr>
                <w:rFonts w:ascii="Arial" w:cs="Arial" w:eastAsia="Arial" w:hAnsi="Arial"/>
                <w:sz w:val="10"/>
                <w:szCs w:val="10"/>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829,555</w:t>
            </w:r>
          </w:p>
        </w:tc>
      </w:tr>
      <w:tr>
        <w:trPr>
          <w:trHeight w:val="142"/>
        </w:trPr>
        <w:tc>
          <w:tcPr>
            <w:tcW w:w="5580" w:type="dxa"/>
            <w:vAlign w:val="bottom"/>
            <w:tcBorders>
              <w:bottom w:val="single" w:sz="8" w:color="CCEEFF"/>
            </w:tcBorders>
          </w:tcPr>
          <w:p>
            <w:pPr>
              <w:spacing w:after="0"/>
              <w:rPr>
                <w:sz w:val="20"/>
                <w:szCs w:val="20"/>
                <w:color w:val="auto"/>
              </w:rPr>
            </w:pPr>
            <w:r>
              <w:rPr>
                <w:rFonts w:ascii="Arial" w:cs="Arial" w:eastAsia="Arial" w:hAnsi="Arial"/>
                <w:sz w:val="11"/>
                <w:szCs w:val="11"/>
                <w:color w:val="auto"/>
              </w:rPr>
              <w:t>Cost of goods sold</w:t>
            </w:r>
          </w:p>
        </w:tc>
        <w:tc>
          <w:tcPr>
            <w:tcW w:w="8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146,656</w:t>
            </w:r>
          </w:p>
        </w:tc>
        <w:tc>
          <w:tcPr>
            <w:tcW w:w="100" w:type="dxa"/>
            <w:vAlign w:val="bottom"/>
            <w:tcBorders>
              <w:bottom w:val="single" w:sz="8" w:color="CCEEFF"/>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136,416</w:t>
            </w:r>
          </w:p>
        </w:tc>
        <w:tc>
          <w:tcPr>
            <w:tcW w:w="8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424,771</w:t>
            </w:r>
          </w:p>
        </w:tc>
        <w:tc>
          <w:tcPr>
            <w:tcW w:w="10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419,496</w:t>
            </w:r>
          </w:p>
        </w:tc>
      </w:tr>
      <w:tr>
        <w:trPr>
          <w:trHeight w:val="135"/>
        </w:trPr>
        <w:tc>
          <w:tcPr>
            <w:tcW w:w="5580" w:type="dxa"/>
            <w:vAlign w:val="bottom"/>
            <w:shd w:val="clear" w:color="auto" w:fill="CCEEFF"/>
          </w:tcPr>
          <w:p>
            <w:pPr>
              <w:ind w:left="140"/>
              <w:spacing w:after="0"/>
              <w:rPr>
                <w:sz w:val="20"/>
                <w:szCs w:val="20"/>
                <w:color w:val="auto"/>
              </w:rPr>
            </w:pPr>
            <w:r>
              <w:rPr>
                <w:rFonts w:ascii="Arial" w:cs="Arial" w:eastAsia="Arial" w:hAnsi="Arial"/>
                <w:sz w:val="11"/>
                <w:szCs w:val="11"/>
                <w:color w:val="auto"/>
              </w:rPr>
              <w:t>Gross margin</w:t>
            </w:r>
          </w:p>
        </w:tc>
        <w:tc>
          <w:tcPr>
            <w:tcW w:w="8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148,847</w:t>
            </w: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129,527</w:t>
            </w: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413,797</w:t>
            </w: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410,059</w:t>
            </w:r>
          </w:p>
        </w:tc>
      </w:tr>
      <w:tr>
        <w:trPr>
          <w:trHeight w:val="142"/>
        </w:trPr>
        <w:tc>
          <w:tcPr>
            <w:tcW w:w="5580" w:type="dxa"/>
            <w:vAlign w:val="bottom"/>
          </w:tcPr>
          <w:p>
            <w:pPr>
              <w:spacing w:after="0"/>
              <w:rPr>
                <w:sz w:val="20"/>
                <w:szCs w:val="20"/>
                <w:color w:val="auto"/>
              </w:rPr>
            </w:pPr>
            <w:r>
              <w:rPr>
                <w:rFonts w:ascii="Arial" w:cs="Arial" w:eastAsia="Arial" w:hAnsi="Arial"/>
                <w:sz w:val="11"/>
                <w:szCs w:val="11"/>
                <w:color w:val="auto"/>
              </w:rPr>
              <w:t>Operating expenses:</w:t>
            </w:r>
          </w:p>
        </w:tc>
        <w:tc>
          <w:tcPr>
            <w:tcW w:w="8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r>
      <w:tr>
        <w:trPr>
          <w:trHeight w:val="146"/>
        </w:trPr>
        <w:tc>
          <w:tcPr>
            <w:tcW w:w="5580" w:type="dxa"/>
            <w:vAlign w:val="bottom"/>
            <w:shd w:val="clear" w:color="auto" w:fill="CCEEFF"/>
          </w:tcPr>
          <w:p>
            <w:pPr>
              <w:ind w:left="140"/>
              <w:spacing w:after="0"/>
              <w:rPr>
                <w:sz w:val="20"/>
                <w:szCs w:val="20"/>
                <w:color w:val="auto"/>
              </w:rPr>
            </w:pPr>
            <w:r>
              <w:rPr>
                <w:rFonts w:ascii="Arial" w:cs="Arial" w:eastAsia="Arial" w:hAnsi="Arial"/>
                <w:sz w:val="11"/>
                <w:szCs w:val="11"/>
                <w:color w:val="auto"/>
              </w:rPr>
              <w:t>Research and development</w:t>
            </w: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11,305</w:t>
            </w: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9,814</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31,384</w:t>
            </w: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31,298</w:t>
            </w:r>
          </w:p>
        </w:tc>
      </w:tr>
      <w:tr>
        <w:trPr>
          <w:trHeight w:val="142"/>
        </w:trPr>
        <w:tc>
          <w:tcPr>
            <w:tcW w:w="5580" w:type="dxa"/>
            <w:vAlign w:val="bottom"/>
          </w:tcPr>
          <w:p>
            <w:pPr>
              <w:ind w:left="140"/>
              <w:spacing w:after="0"/>
              <w:rPr>
                <w:sz w:val="20"/>
                <w:szCs w:val="20"/>
                <w:color w:val="auto"/>
              </w:rPr>
            </w:pPr>
            <w:r>
              <w:rPr>
                <w:rFonts w:ascii="Arial" w:cs="Arial" w:eastAsia="Arial" w:hAnsi="Arial"/>
                <w:sz w:val="11"/>
                <w:szCs w:val="11"/>
                <w:color w:val="auto"/>
              </w:rPr>
              <w:t>Selling, general and administrative</w:t>
            </w:r>
          </w:p>
        </w:tc>
        <w:tc>
          <w:tcPr>
            <w:tcW w:w="8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90,817</w:t>
            </w: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83,223</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256,088</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260,136</w:t>
            </w:r>
          </w:p>
        </w:tc>
      </w:tr>
      <w:tr>
        <w:trPr>
          <w:trHeight w:val="146"/>
        </w:trPr>
        <w:tc>
          <w:tcPr>
            <w:tcW w:w="5580" w:type="dxa"/>
            <w:vAlign w:val="bottom"/>
            <w:shd w:val="clear" w:color="auto" w:fill="CCEEFF"/>
          </w:tcPr>
          <w:p>
            <w:pPr>
              <w:ind w:left="140"/>
              <w:spacing w:after="0"/>
              <w:rPr>
                <w:sz w:val="20"/>
                <w:szCs w:val="20"/>
                <w:color w:val="auto"/>
              </w:rPr>
            </w:pPr>
            <w:r>
              <w:rPr>
                <w:rFonts w:ascii="Arial" w:cs="Arial" w:eastAsia="Arial" w:hAnsi="Arial"/>
                <w:sz w:val="11"/>
                <w:szCs w:val="11"/>
                <w:color w:val="auto"/>
              </w:rPr>
              <w:t>Impairment charges</w:t>
            </w:r>
          </w:p>
        </w:tc>
        <w:tc>
          <w:tcPr>
            <w:tcW w:w="8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13,821</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13,821</w:t>
            </w:r>
          </w:p>
        </w:tc>
      </w:tr>
      <w:tr>
        <w:trPr>
          <w:trHeight w:val="131"/>
        </w:trPr>
        <w:tc>
          <w:tcPr>
            <w:tcW w:w="5580" w:type="dxa"/>
            <w:vAlign w:val="bottom"/>
          </w:tcPr>
          <w:p>
            <w:pPr>
              <w:spacing w:after="0"/>
              <w:rPr>
                <w:sz w:val="20"/>
                <w:szCs w:val="20"/>
                <w:color w:val="auto"/>
              </w:rPr>
            </w:pPr>
            <w:r>
              <w:rPr>
                <w:rFonts w:ascii="Arial" w:cs="Arial" w:eastAsia="Arial" w:hAnsi="Arial"/>
                <w:sz w:val="11"/>
                <w:szCs w:val="11"/>
                <w:color w:val="auto"/>
              </w:rPr>
              <w:t>Total operating expenses</w:t>
            </w:r>
          </w:p>
        </w:tc>
        <w:tc>
          <w:tcPr>
            <w:tcW w:w="88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102,122</w:t>
            </w:r>
          </w:p>
        </w:tc>
        <w:tc>
          <w:tcPr>
            <w:tcW w:w="100" w:type="dxa"/>
            <w:vAlign w:val="bottom"/>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106,858</w:t>
            </w:r>
          </w:p>
        </w:tc>
        <w:tc>
          <w:tcPr>
            <w:tcW w:w="80" w:type="dxa"/>
            <w:vAlign w:val="bottom"/>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287,472</w:t>
            </w:r>
          </w:p>
        </w:tc>
        <w:tc>
          <w:tcPr>
            <w:tcW w:w="100" w:type="dxa"/>
            <w:vAlign w:val="bottom"/>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305,255</w:t>
            </w:r>
          </w:p>
        </w:tc>
      </w:tr>
      <w:tr>
        <w:trPr>
          <w:trHeight w:val="146"/>
        </w:trPr>
        <w:tc>
          <w:tcPr>
            <w:tcW w:w="55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r>
      <w:tr>
        <w:trPr>
          <w:trHeight w:val="142"/>
        </w:trPr>
        <w:tc>
          <w:tcPr>
            <w:tcW w:w="5580" w:type="dxa"/>
            <w:vAlign w:val="bottom"/>
          </w:tcPr>
          <w:p>
            <w:pPr>
              <w:spacing w:after="0"/>
              <w:rPr>
                <w:sz w:val="20"/>
                <w:szCs w:val="20"/>
                <w:color w:val="auto"/>
              </w:rPr>
            </w:pPr>
            <w:r>
              <w:rPr>
                <w:rFonts w:ascii="Arial" w:cs="Arial" w:eastAsia="Arial" w:hAnsi="Arial"/>
                <w:sz w:val="11"/>
                <w:szCs w:val="11"/>
                <w:color w:val="auto"/>
              </w:rPr>
              <w:t>Operating income</w:t>
            </w:r>
          </w:p>
        </w:tc>
        <w:tc>
          <w:tcPr>
            <w:tcW w:w="8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46,725</w:t>
            </w: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22,669</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126,325</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104,804</w:t>
            </w:r>
          </w:p>
        </w:tc>
      </w:tr>
      <w:tr>
        <w:trPr>
          <w:trHeight w:val="146"/>
        </w:trPr>
        <w:tc>
          <w:tcPr>
            <w:tcW w:w="55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r>
      <w:tr>
        <w:trPr>
          <w:trHeight w:val="142"/>
        </w:trPr>
        <w:tc>
          <w:tcPr>
            <w:tcW w:w="5580" w:type="dxa"/>
            <w:vAlign w:val="bottom"/>
          </w:tcPr>
          <w:p>
            <w:pPr>
              <w:spacing w:after="0"/>
              <w:rPr>
                <w:sz w:val="20"/>
                <w:szCs w:val="20"/>
                <w:color w:val="auto"/>
              </w:rPr>
            </w:pPr>
            <w:r>
              <w:rPr>
                <w:rFonts w:ascii="Arial" w:cs="Arial" w:eastAsia="Arial" w:hAnsi="Arial"/>
                <w:sz w:val="11"/>
                <w:szCs w:val="11"/>
                <w:color w:val="auto"/>
              </w:rPr>
              <w:t>Other income (expense):</w:t>
            </w:r>
          </w:p>
        </w:tc>
        <w:tc>
          <w:tcPr>
            <w:tcW w:w="8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r>
      <w:tr>
        <w:trPr>
          <w:trHeight w:val="146"/>
        </w:trPr>
        <w:tc>
          <w:tcPr>
            <w:tcW w:w="5580" w:type="dxa"/>
            <w:vAlign w:val="bottom"/>
            <w:shd w:val="clear" w:color="auto" w:fill="CCEEFF"/>
          </w:tcPr>
          <w:p>
            <w:pPr>
              <w:ind w:left="140"/>
              <w:spacing w:after="0"/>
              <w:rPr>
                <w:sz w:val="20"/>
                <w:szCs w:val="20"/>
                <w:color w:val="auto"/>
              </w:rPr>
            </w:pPr>
            <w:r>
              <w:rPr>
                <w:rFonts w:ascii="Arial" w:cs="Arial" w:eastAsia="Arial" w:hAnsi="Arial"/>
                <w:sz w:val="11"/>
                <w:szCs w:val="11"/>
                <w:color w:val="auto"/>
              </w:rPr>
              <w:t>Investment and other income</w:t>
            </w: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1,181</w:t>
            </w: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112</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3,372</w:t>
            </w: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3,252</w:t>
            </w:r>
          </w:p>
        </w:tc>
      </w:tr>
      <w:tr>
        <w:trPr>
          <w:trHeight w:val="142"/>
        </w:trPr>
        <w:tc>
          <w:tcPr>
            <w:tcW w:w="5580" w:type="dxa"/>
            <w:vAlign w:val="bottom"/>
            <w:tcBorders>
              <w:bottom w:val="single" w:sz="8" w:color="CCEEFF"/>
            </w:tcBorders>
          </w:tcPr>
          <w:p>
            <w:pPr>
              <w:ind w:left="140"/>
              <w:spacing w:after="0"/>
              <w:rPr>
                <w:sz w:val="20"/>
                <w:szCs w:val="20"/>
                <w:color w:val="auto"/>
              </w:rPr>
            </w:pPr>
            <w:r>
              <w:rPr>
                <w:rFonts w:ascii="Arial" w:cs="Arial" w:eastAsia="Arial" w:hAnsi="Arial"/>
                <w:sz w:val="11"/>
                <w:szCs w:val="11"/>
                <w:color w:val="auto"/>
              </w:rPr>
              <w:t>Interest expense</w:t>
            </w:r>
          </w:p>
        </w:tc>
        <w:tc>
          <w:tcPr>
            <w:tcW w:w="8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(131)</w:t>
            </w:r>
          </w:p>
        </w:tc>
        <w:tc>
          <w:tcPr>
            <w:tcW w:w="100" w:type="dxa"/>
            <w:vAlign w:val="bottom"/>
            <w:tcBorders>
              <w:bottom w:val="single" w:sz="8" w:color="CCEEFF"/>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(628)</w:t>
            </w:r>
          </w:p>
        </w:tc>
        <w:tc>
          <w:tcPr>
            <w:tcW w:w="8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(288)</w:t>
            </w:r>
          </w:p>
        </w:tc>
        <w:tc>
          <w:tcPr>
            <w:tcW w:w="10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(1,976)</w:t>
            </w:r>
          </w:p>
        </w:tc>
      </w:tr>
      <w:tr>
        <w:trPr>
          <w:trHeight w:val="126"/>
        </w:trPr>
        <w:tc>
          <w:tcPr>
            <w:tcW w:w="558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r>
      <w:tr>
        <w:trPr>
          <w:trHeight w:val="142"/>
        </w:trPr>
        <w:tc>
          <w:tcPr>
            <w:tcW w:w="5580" w:type="dxa"/>
            <w:vAlign w:val="bottom"/>
          </w:tcPr>
          <w:p>
            <w:pPr>
              <w:spacing w:after="0"/>
              <w:rPr>
                <w:sz w:val="20"/>
                <w:szCs w:val="20"/>
                <w:color w:val="auto"/>
              </w:rPr>
            </w:pPr>
            <w:r>
              <w:rPr>
                <w:rFonts w:ascii="Arial" w:cs="Arial" w:eastAsia="Arial" w:hAnsi="Arial"/>
                <w:sz w:val="11"/>
                <w:szCs w:val="11"/>
                <w:color w:val="auto"/>
              </w:rPr>
              <w:t>Income before income taxes and losses of unconsolidated affiliate</w:t>
            </w:r>
          </w:p>
        </w:tc>
        <w:tc>
          <w:tcPr>
            <w:tcW w:w="8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47,775</w:t>
            </w: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22,153</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129,409</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106,080</w:t>
            </w:r>
          </w:p>
        </w:tc>
      </w:tr>
      <w:tr>
        <w:trPr>
          <w:trHeight w:val="146"/>
        </w:trPr>
        <w:tc>
          <w:tcPr>
            <w:tcW w:w="55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r>
      <w:tr>
        <w:trPr>
          <w:trHeight w:val="142"/>
        </w:trPr>
        <w:tc>
          <w:tcPr>
            <w:tcW w:w="5580" w:type="dxa"/>
            <w:vAlign w:val="bottom"/>
            <w:tcBorders>
              <w:bottom w:val="single" w:sz="8" w:color="CCEEFF"/>
            </w:tcBorders>
          </w:tcPr>
          <w:p>
            <w:pPr>
              <w:spacing w:after="0"/>
              <w:rPr>
                <w:sz w:val="20"/>
                <w:szCs w:val="20"/>
                <w:color w:val="auto"/>
              </w:rPr>
            </w:pPr>
            <w:r>
              <w:rPr>
                <w:rFonts w:ascii="Arial" w:cs="Arial" w:eastAsia="Arial" w:hAnsi="Arial"/>
                <w:sz w:val="11"/>
                <w:szCs w:val="11"/>
                <w:color w:val="auto"/>
              </w:rPr>
              <w:t>Income tax expense</w:t>
            </w:r>
          </w:p>
        </w:tc>
        <w:tc>
          <w:tcPr>
            <w:tcW w:w="8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10,229</w:t>
            </w:r>
          </w:p>
        </w:tc>
        <w:tc>
          <w:tcPr>
            <w:tcW w:w="100" w:type="dxa"/>
            <w:vAlign w:val="bottom"/>
            <w:tcBorders>
              <w:bottom w:val="single" w:sz="8" w:color="CCEEFF"/>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8,520</w:t>
            </w:r>
          </w:p>
        </w:tc>
        <w:tc>
          <w:tcPr>
            <w:tcW w:w="8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27,017</w:t>
            </w:r>
          </w:p>
        </w:tc>
        <w:tc>
          <w:tcPr>
            <w:tcW w:w="10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21,396</w:t>
            </w:r>
          </w:p>
        </w:tc>
      </w:tr>
      <w:tr>
        <w:trPr>
          <w:trHeight w:val="126"/>
        </w:trPr>
        <w:tc>
          <w:tcPr>
            <w:tcW w:w="558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r>
      <w:tr>
        <w:trPr>
          <w:trHeight w:val="142"/>
        </w:trPr>
        <w:tc>
          <w:tcPr>
            <w:tcW w:w="5580" w:type="dxa"/>
            <w:vAlign w:val="bottom"/>
          </w:tcPr>
          <w:p>
            <w:pPr>
              <w:spacing w:after="0"/>
              <w:rPr>
                <w:sz w:val="20"/>
                <w:szCs w:val="20"/>
                <w:color w:val="auto"/>
              </w:rPr>
            </w:pPr>
            <w:r>
              <w:rPr>
                <w:rFonts w:ascii="Arial" w:cs="Arial" w:eastAsia="Arial" w:hAnsi="Arial"/>
                <w:sz w:val="11"/>
                <w:szCs w:val="11"/>
                <w:color w:val="auto"/>
              </w:rPr>
              <w:t>Income before losses of unconsolidated affiliate</w:t>
            </w:r>
          </w:p>
        </w:tc>
        <w:tc>
          <w:tcPr>
            <w:tcW w:w="8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37,546</w:t>
            </w: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13,633</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102,392</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84,684</w:t>
            </w:r>
          </w:p>
        </w:tc>
      </w:tr>
      <w:tr>
        <w:trPr>
          <w:trHeight w:val="144"/>
        </w:trPr>
        <w:tc>
          <w:tcPr>
            <w:tcW w:w="5580" w:type="dxa"/>
            <w:vAlign w:val="bottom"/>
            <w:shd w:val="clear" w:color="auto" w:fill="CCEEFF"/>
          </w:tcPr>
          <w:p>
            <w:pPr>
              <w:spacing w:after="0"/>
              <w:rPr>
                <w:sz w:val="20"/>
                <w:szCs w:val="20"/>
                <w:color w:val="auto"/>
              </w:rPr>
            </w:pPr>
            <w:r>
              <w:rPr>
                <w:rFonts w:ascii="Arial" w:cs="Arial" w:eastAsia="Arial" w:hAnsi="Arial"/>
                <w:sz w:val="11"/>
                <w:szCs w:val="11"/>
                <w:color w:val="auto"/>
              </w:rPr>
              <w:t>Equity in losses of unconsolidated affiliate</w:t>
            </w: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(255)</w:t>
            </w: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(760)</w:t>
            </w: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r>
      <w:tr>
        <w:trPr>
          <w:trHeight w:val="126"/>
        </w:trPr>
        <w:tc>
          <w:tcPr>
            <w:tcW w:w="5580" w:type="dxa"/>
            <w:vAlign w:val="bottom"/>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spacing w:after="0"/>
              <w:rPr>
                <w:sz w:val="10"/>
                <w:szCs w:val="10"/>
                <w:color w:val="auto"/>
              </w:rPr>
            </w:pPr>
          </w:p>
        </w:tc>
      </w:tr>
      <w:tr>
        <w:trPr>
          <w:trHeight w:val="160"/>
        </w:trPr>
        <w:tc>
          <w:tcPr>
            <w:tcW w:w="5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1"/>
                <w:szCs w:val="11"/>
                <w:color w:val="auto"/>
              </w:rPr>
              <w:t>Net income</w:t>
            </w:r>
          </w:p>
        </w:tc>
        <w:tc>
          <w:tcPr>
            <w:tcW w:w="880" w:type="dxa"/>
            <w:vAlign w:val="bottom"/>
            <w:tcBorders>
              <w:bottom w:val="single" w:sz="8" w:color="auto"/>
            </w:tcBorders>
            <w:shd w:val="clear" w:color="auto" w:fill="CCEEFF"/>
          </w:tcPr>
          <w:p>
            <w:pPr>
              <w:jc w:val="right"/>
              <w:ind w:right="746"/>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37,291</w:t>
            </w:r>
          </w:p>
        </w:tc>
        <w:tc>
          <w:tcPr>
            <w:tcW w:w="100" w:type="dxa"/>
            <w:vAlign w:val="bottom"/>
            <w:tcBorders>
              <w:bottom w:val="single" w:sz="8" w:color="CCEEFF"/>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ind w:right="771"/>
              <w:spacing w:after="0"/>
              <w:rPr>
                <w:sz w:val="20"/>
                <w:szCs w:val="20"/>
                <w:color w:val="auto"/>
              </w:rPr>
            </w:pPr>
            <w:r>
              <w:rPr>
                <w:rFonts w:ascii="Arial" w:cs="Arial" w:eastAsia="Arial" w:hAnsi="Arial"/>
                <w:sz w:val="10"/>
                <w:szCs w:val="10"/>
                <w:color w:val="auto"/>
                <w:w w:val="71"/>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13,633</w:t>
            </w:r>
          </w:p>
        </w:tc>
        <w:tc>
          <w:tcPr>
            <w:tcW w:w="8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jc w:val="right"/>
              <w:ind w:right="186"/>
              <w:spacing w:after="0"/>
              <w:rPr>
                <w:sz w:val="20"/>
                <w:szCs w:val="20"/>
                <w:color w:val="auto"/>
              </w:rPr>
            </w:pPr>
            <w:r>
              <w:rPr>
                <w:rFonts w:ascii="Arial" w:cs="Arial" w:eastAsia="Arial" w:hAnsi="Arial"/>
                <w:sz w:val="11"/>
                <w:szCs w:val="11"/>
                <w:color w:val="auto"/>
                <w:w w:val="97"/>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101,632</w:t>
            </w:r>
          </w:p>
        </w:tc>
        <w:tc>
          <w:tcPr>
            <w:tcW w:w="10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jc w:val="right"/>
              <w:ind w:right="211"/>
              <w:spacing w:after="0"/>
              <w:rPr>
                <w:sz w:val="20"/>
                <w:szCs w:val="20"/>
                <w:color w:val="auto"/>
              </w:rPr>
            </w:pPr>
            <w:r>
              <w:rPr>
                <w:rFonts w:ascii="Arial" w:cs="Arial" w:eastAsia="Arial" w:hAnsi="Arial"/>
                <w:sz w:val="10"/>
                <w:szCs w:val="10"/>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84,684</w:t>
            </w:r>
          </w:p>
        </w:tc>
      </w:tr>
      <w:tr>
        <w:trPr>
          <w:trHeight w:val="126"/>
        </w:trPr>
        <w:tc>
          <w:tcPr>
            <w:tcW w:w="55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40" w:type="dxa"/>
            <w:vAlign w:val="bottom"/>
          </w:tcPr>
          <w:p>
            <w:pPr>
              <w:spacing w:after="0"/>
              <w:rPr>
                <w:sz w:val="10"/>
                <w:szCs w:val="10"/>
                <w:color w:val="auto"/>
              </w:rPr>
            </w:pPr>
          </w:p>
        </w:tc>
      </w:tr>
      <w:tr>
        <w:trPr>
          <w:trHeight w:val="144"/>
        </w:trPr>
        <w:tc>
          <w:tcPr>
            <w:tcW w:w="5580" w:type="dxa"/>
            <w:vAlign w:val="bottom"/>
            <w:shd w:val="clear" w:color="auto" w:fill="CCEEFF"/>
          </w:tcPr>
          <w:p>
            <w:pPr>
              <w:spacing w:after="0"/>
              <w:rPr>
                <w:sz w:val="20"/>
                <w:szCs w:val="20"/>
                <w:color w:val="auto"/>
              </w:rPr>
            </w:pPr>
            <w:r>
              <w:rPr>
                <w:rFonts w:ascii="Arial" w:cs="Arial" w:eastAsia="Arial" w:hAnsi="Arial"/>
                <w:sz w:val="11"/>
                <w:szCs w:val="11"/>
                <w:color w:val="auto"/>
              </w:rPr>
              <w:t>Net income per Class A Nonvoting Common Share:</w:t>
            </w: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r>
      <w:tr>
        <w:trPr>
          <w:trHeight w:val="142"/>
        </w:trPr>
        <w:tc>
          <w:tcPr>
            <w:tcW w:w="5580" w:type="dxa"/>
            <w:vAlign w:val="bottom"/>
          </w:tcPr>
          <w:p>
            <w:pPr>
              <w:ind w:left="140"/>
              <w:spacing w:after="0"/>
              <w:rPr>
                <w:sz w:val="20"/>
                <w:szCs w:val="20"/>
                <w:color w:val="auto"/>
              </w:rPr>
            </w:pPr>
            <w:r>
              <w:rPr>
                <w:rFonts w:ascii="Arial" w:cs="Arial" w:eastAsia="Arial" w:hAnsi="Arial"/>
                <w:sz w:val="11"/>
                <w:szCs w:val="11"/>
                <w:color w:val="auto"/>
              </w:rPr>
              <w:t>Basic</w:t>
            </w:r>
          </w:p>
        </w:tc>
        <w:tc>
          <w:tcPr>
            <w:tcW w:w="880" w:type="dxa"/>
            <w:vAlign w:val="bottom"/>
          </w:tcPr>
          <w:p>
            <w:pPr>
              <w:jc w:val="right"/>
              <w:ind w:right="746"/>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spacing w:after="0"/>
              <w:rPr>
                <w:sz w:val="20"/>
                <w:szCs w:val="20"/>
                <w:color w:val="auto"/>
              </w:rPr>
            </w:pPr>
            <w:r>
              <w:rPr>
                <w:rFonts w:ascii="Arial" w:cs="Arial" w:eastAsia="Arial" w:hAnsi="Arial"/>
                <w:sz w:val="11"/>
                <w:szCs w:val="11"/>
                <w:color w:val="auto"/>
              </w:rPr>
              <w:t>0.72</w:t>
            </w:r>
          </w:p>
        </w:tc>
        <w:tc>
          <w:tcPr>
            <w:tcW w:w="100" w:type="dxa"/>
            <w:vAlign w:val="bottom"/>
          </w:tcPr>
          <w:p>
            <w:pPr>
              <w:spacing w:after="0"/>
              <w:rPr>
                <w:sz w:val="12"/>
                <w:szCs w:val="12"/>
                <w:color w:val="auto"/>
              </w:rPr>
            </w:pPr>
          </w:p>
        </w:tc>
        <w:tc>
          <w:tcPr>
            <w:tcW w:w="880" w:type="dxa"/>
            <w:vAlign w:val="bottom"/>
          </w:tcPr>
          <w:p>
            <w:pPr>
              <w:jc w:val="right"/>
              <w:ind w:right="771"/>
              <w:spacing w:after="0"/>
              <w:rPr>
                <w:sz w:val="20"/>
                <w:szCs w:val="20"/>
                <w:color w:val="auto"/>
              </w:rPr>
            </w:pPr>
            <w:r>
              <w:rPr>
                <w:rFonts w:ascii="Arial" w:cs="Arial" w:eastAsia="Arial" w:hAnsi="Arial"/>
                <w:sz w:val="10"/>
                <w:szCs w:val="10"/>
                <w:color w:val="auto"/>
                <w:w w:val="71"/>
              </w:rPr>
              <w:t>$</w:t>
            </w:r>
          </w:p>
        </w:tc>
        <w:tc>
          <w:tcPr>
            <w:tcW w:w="480" w:type="dxa"/>
            <w:vAlign w:val="bottom"/>
          </w:tcPr>
          <w:p>
            <w:pPr>
              <w:jc w:val="right"/>
              <w:spacing w:after="0"/>
              <w:rPr>
                <w:sz w:val="20"/>
                <w:szCs w:val="20"/>
                <w:color w:val="auto"/>
              </w:rPr>
            </w:pPr>
            <w:r>
              <w:rPr>
                <w:rFonts w:ascii="Arial" w:cs="Arial" w:eastAsia="Arial" w:hAnsi="Arial"/>
                <w:sz w:val="11"/>
                <w:szCs w:val="11"/>
                <w:color w:val="auto"/>
              </w:rPr>
              <w:t>0.26</w:t>
            </w:r>
          </w:p>
        </w:tc>
        <w:tc>
          <w:tcPr>
            <w:tcW w:w="80" w:type="dxa"/>
            <w:vAlign w:val="bottom"/>
          </w:tcPr>
          <w:p>
            <w:pPr>
              <w:spacing w:after="0"/>
              <w:rPr>
                <w:sz w:val="12"/>
                <w:szCs w:val="12"/>
                <w:color w:val="auto"/>
              </w:rPr>
            </w:pPr>
          </w:p>
        </w:tc>
        <w:tc>
          <w:tcPr>
            <w:tcW w:w="320" w:type="dxa"/>
            <w:vAlign w:val="bottom"/>
          </w:tcPr>
          <w:p>
            <w:pPr>
              <w:jc w:val="right"/>
              <w:ind w:right="186"/>
              <w:spacing w:after="0"/>
              <w:rPr>
                <w:sz w:val="20"/>
                <w:szCs w:val="20"/>
                <w:color w:val="auto"/>
              </w:rPr>
            </w:pPr>
            <w:r>
              <w:rPr>
                <w:rFonts w:ascii="Arial" w:cs="Arial" w:eastAsia="Arial" w:hAnsi="Arial"/>
                <w:sz w:val="11"/>
                <w:szCs w:val="11"/>
                <w:color w:val="auto"/>
                <w:w w:val="97"/>
              </w:rPr>
              <w:t>$</w:t>
            </w:r>
          </w:p>
        </w:tc>
        <w:tc>
          <w:tcPr>
            <w:tcW w:w="1040" w:type="dxa"/>
            <w:vAlign w:val="bottom"/>
          </w:tcPr>
          <w:p>
            <w:pPr>
              <w:jc w:val="right"/>
              <w:spacing w:after="0"/>
              <w:rPr>
                <w:sz w:val="20"/>
                <w:szCs w:val="20"/>
                <w:color w:val="auto"/>
              </w:rPr>
            </w:pPr>
            <w:r>
              <w:rPr>
                <w:rFonts w:ascii="Arial" w:cs="Arial" w:eastAsia="Arial" w:hAnsi="Arial"/>
                <w:sz w:val="11"/>
                <w:szCs w:val="11"/>
                <w:color w:val="auto"/>
              </w:rPr>
              <w:t>1.95</w:t>
            </w:r>
          </w:p>
        </w:tc>
        <w:tc>
          <w:tcPr>
            <w:tcW w:w="100" w:type="dxa"/>
            <w:vAlign w:val="bottom"/>
          </w:tcPr>
          <w:p>
            <w:pPr>
              <w:spacing w:after="0"/>
              <w:rPr>
                <w:sz w:val="12"/>
                <w:szCs w:val="12"/>
                <w:color w:val="auto"/>
              </w:rPr>
            </w:pPr>
          </w:p>
        </w:tc>
        <w:tc>
          <w:tcPr>
            <w:tcW w:w="320" w:type="dxa"/>
            <w:vAlign w:val="bottom"/>
          </w:tcPr>
          <w:p>
            <w:pPr>
              <w:jc w:val="right"/>
              <w:ind w:right="211"/>
              <w:spacing w:after="0"/>
              <w:rPr>
                <w:sz w:val="20"/>
                <w:szCs w:val="20"/>
                <w:color w:val="auto"/>
              </w:rPr>
            </w:pPr>
            <w:r>
              <w:rPr>
                <w:rFonts w:ascii="Arial" w:cs="Arial" w:eastAsia="Arial" w:hAnsi="Arial"/>
                <w:sz w:val="10"/>
                <w:szCs w:val="10"/>
                <w:color w:val="auto"/>
                <w:w w:val="71"/>
              </w:rPr>
              <w:t>$</w:t>
            </w:r>
          </w:p>
        </w:tc>
        <w:tc>
          <w:tcPr>
            <w:tcW w:w="1040" w:type="dxa"/>
            <w:vAlign w:val="bottom"/>
          </w:tcPr>
          <w:p>
            <w:pPr>
              <w:jc w:val="right"/>
              <w:spacing w:after="0"/>
              <w:rPr>
                <w:sz w:val="20"/>
                <w:szCs w:val="20"/>
                <w:color w:val="auto"/>
              </w:rPr>
            </w:pPr>
            <w:r>
              <w:rPr>
                <w:rFonts w:ascii="Arial" w:cs="Arial" w:eastAsia="Arial" w:hAnsi="Arial"/>
                <w:sz w:val="11"/>
                <w:szCs w:val="11"/>
                <w:color w:val="auto"/>
              </w:rPr>
              <w:t>1.60</w:t>
            </w:r>
          </w:p>
        </w:tc>
      </w:tr>
      <w:tr>
        <w:trPr>
          <w:trHeight w:val="146"/>
        </w:trPr>
        <w:tc>
          <w:tcPr>
            <w:tcW w:w="5580" w:type="dxa"/>
            <w:vAlign w:val="bottom"/>
            <w:shd w:val="clear" w:color="auto" w:fill="CCEEFF"/>
          </w:tcPr>
          <w:p>
            <w:pPr>
              <w:ind w:left="140"/>
              <w:spacing w:after="0"/>
              <w:rPr>
                <w:sz w:val="20"/>
                <w:szCs w:val="20"/>
                <w:color w:val="auto"/>
              </w:rPr>
            </w:pPr>
            <w:r>
              <w:rPr>
                <w:rFonts w:ascii="Arial" w:cs="Arial" w:eastAsia="Arial" w:hAnsi="Arial"/>
                <w:sz w:val="11"/>
                <w:szCs w:val="11"/>
                <w:color w:val="auto"/>
              </w:rPr>
              <w:t>Diluted</w:t>
            </w:r>
          </w:p>
        </w:tc>
        <w:tc>
          <w:tcPr>
            <w:tcW w:w="880" w:type="dxa"/>
            <w:vAlign w:val="bottom"/>
            <w:shd w:val="clear" w:color="auto" w:fill="CCEEFF"/>
          </w:tcPr>
          <w:p>
            <w:pPr>
              <w:jc w:val="right"/>
              <w:ind w:right="746"/>
              <w:spacing w:after="0"/>
              <w:rPr>
                <w:sz w:val="20"/>
                <w:szCs w:val="20"/>
                <w:color w:val="auto"/>
              </w:rPr>
            </w:pPr>
            <w:r>
              <w:rPr>
                <w:rFonts w:ascii="Arial" w:cs="Arial" w:eastAsia="Arial" w:hAnsi="Arial"/>
                <w:sz w:val="11"/>
                <w:szCs w:val="11"/>
                <w:color w:val="auto"/>
                <w:w w:val="97"/>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0.71</w:t>
            </w: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771"/>
              <w:spacing w:after="0"/>
              <w:rPr>
                <w:sz w:val="20"/>
                <w:szCs w:val="20"/>
                <w:color w:val="auto"/>
              </w:rPr>
            </w:pPr>
            <w:r>
              <w:rPr>
                <w:rFonts w:ascii="Arial" w:cs="Arial" w:eastAsia="Arial" w:hAnsi="Arial"/>
                <w:sz w:val="10"/>
                <w:szCs w:val="10"/>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0.26</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jc w:val="right"/>
              <w:ind w:right="186"/>
              <w:spacing w:after="0"/>
              <w:rPr>
                <w:sz w:val="20"/>
                <w:szCs w:val="20"/>
                <w:color w:val="auto"/>
              </w:rPr>
            </w:pPr>
            <w:r>
              <w:rPr>
                <w:rFonts w:ascii="Arial" w:cs="Arial" w:eastAsia="Arial" w:hAnsi="Arial"/>
                <w:sz w:val="11"/>
                <w:szCs w:val="11"/>
                <w:color w:val="auto"/>
                <w:w w:val="97"/>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1.94</w:t>
            </w: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jc w:val="right"/>
              <w:ind w:right="211"/>
              <w:spacing w:after="0"/>
              <w:rPr>
                <w:sz w:val="20"/>
                <w:szCs w:val="20"/>
                <w:color w:val="auto"/>
              </w:rPr>
            </w:pPr>
            <w:r>
              <w:rPr>
                <w:rFonts w:ascii="Arial" w:cs="Arial" w:eastAsia="Arial" w:hAnsi="Arial"/>
                <w:sz w:val="10"/>
                <w:szCs w:val="10"/>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1.58</w:t>
            </w:r>
          </w:p>
        </w:tc>
      </w:tr>
      <w:tr>
        <w:trPr>
          <w:trHeight w:val="142"/>
        </w:trPr>
        <w:tc>
          <w:tcPr>
            <w:tcW w:w="5580" w:type="dxa"/>
            <w:vAlign w:val="bottom"/>
          </w:tcPr>
          <w:p>
            <w:pPr>
              <w:ind w:left="140"/>
              <w:spacing w:after="0"/>
              <w:rPr>
                <w:sz w:val="20"/>
                <w:szCs w:val="20"/>
                <w:color w:val="auto"/>
              </w:rPr>
            </w:pPr>
            <w:r>
              <w:rPr>
                <w:rFonts w:ascii="Arial" w:cs="Arial" w:eastAsia="Arial" w:hAnsi="Arial"/>
                <w:sz w:val="11"/>
                <w:szCs w:val="11"/>
                <w:color w:val="auto"/>
              </w:rPr>
              <w:t>Dividends</w:t>
            </w:r>
          </w:p>
        </w:tc>
        <w:tc>
          <w:tcPr>
            <w:tcW w:w="880" w:type="dxa"/>
            <w:vAlign w:val="bottom"/>
          </w:tcPr>
          <w:p>
            <w:pPr>
              <w:jc w:val="right"/>
              <w:ind w:right="746"/>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spacing w:after="0"/>
              <w:rPr>
                <w:sz w:val="20"/>
                <w:szCs w:val="20"/>
                <w:color w:val="auto"/>
              </w:rPr>
            </w:pPr>
            <w:r>
              <w:rPr>
                <w:rFonts w:ascii="Arial" w:cs="Arial" w:eastAsia="Arial" w:hAnsi="Arial"/>
                <w:sz w:val="11"/>
                <w:szCs w:val="11"/>
                <w:color w:val="auto"/>
              </w:rPr>
              <w:t>0.22</w:t>
            </w:r>
          </w:p>
        </w:tc>
        <w:tc>
          <w:tcPr>
            <w:tcW w:w="100" w:type="dxa"/>
            <w:vAlign w:val="bottom"/>
          </w:tcPr>
          <w:p>
            <w:pPr>
              <w:spacing w:after="0"/>
              <w:rPr>
                <w:sz w:val="12"/>
                <w:szCs w:val="12"/>
                <w:color w:val="auto"/>
              </w:rPr>
            </w:pPr>
          </w:p>
        </w:tc>
        <w:tc>
          <w:tcPr>
            <w:tcW w:w="880" w:type="dxa"/>
            <w:vAlign w:val="bottom"/>
          </w:tcPr>
          <w:p>
            <w:pPr>
              <w:jc w:val="right"/>
              <w:ind w:right="771"/>
              <w:spacing w:after="0"/>
              <w:rPr>
                <w:sz w:val="20"/>
                <w:szCs w:val="20"/>
                <w:color w:val="auto"/>
              </w:rPr>
            </w:pPr>
            <w:r>
              <w:rPr>
                <w:rFonts w:ascii="Arial" w:cs="Arial" w:eastAsia="Arial" w:hAnsi="Arial"/>
                <w:sz w:val="10"/>
                <w:szCs w:val="10"/>
                <w:color w:val="auto"/>
                <w:w w:val="71"/>
              </w:rPr>
              <w:t>$</w:t>
            </w:r>
          </w:p>
        </w:tc>
        <w:tc>
          <w:tcPr>
            <w:tcW w:w="480" w:type="dxa"/>
            <w:vAlign w:val="bottom"/>
          </w:tcPr>
          <w:p>
            <w:pPr>
              <w:jc w:val="right"/>
              <w:spacing w:after="0"/>
              <w:rPr>
                <w:sz w:val="20"/>
                <w:szCs w:val="20"/>
                <w:color w:val="auto"/>
              </w:rPr>
            </w:pPr>
            <w:r>
              <w:rPr>
                <w:rFonts w:ascii="Arial" w:cs="Arial" w:eastAsia="Arial" w:hAnsi="Arial"/>
                <w:sz w:val="11"/>
                <w:szCs w:val="11"/>
                <w:color w:val="auto"/>
              </w:rPr>
              <w:t>0.22</w:t>
            </w:r>
          </w:p>
        </w:tc>
        <w:tc>
          <w:tcPr>
            <w:tcW w:w="80" w:type="dxa"/>
            <w:vAlign w:val="bottom"/>
          </w:tcPr>
          <w:p>
            <w:pPr>
              <w:spacing w:after="0"/>
              <w:rPr>
                <w:sz w:val="12"/>
                <w:szCs w:val="12"/>
                <w:color w:val="auto"/>
              </w:rPr>
            </w:pPr>
          </w:p>
        </w:tc>
        <w:tc>
          <w:tcPr>
            <w:tcW w:w="320" w:type="dxa"/>
            <w:vAlign w:val="bottom"/>
          </w:tcPr>
          <w:p>
            <w:pPr>
              <w:jc w:val="right"/>
              <w:ind w:right="186"/>
              <w:spacing w:after="0"/>
              <w:rPr>
                <w:sz w:val="20"/>
                <w:szCs w:val="20"/>
                <w:color w:val="auto"/>
              </w:rPr>
            </w:pPr>
            <w:r>
              <w:rPr>
                <w:rFonts w:ascii="Arial" w:cs="Arial" w:eastAsia="Arial" w:hAnsi="Arial"/>
                <w:sz w:val="11"/>
                <w:szCs w:val="11"/>
                <w:color w:val="auto"/>
                <w:w w:val="97"/>
              </w:rPr>
              <w:t>$</w:t>
            </w:r>
          </w:p>
        </w:tc>
        <w:tc>
          <w:tcPr>
            <w:tcW w:w="1040" w:type="dxa"/>
            <w:vAlign w:val="bottom"/>
          </w:tcPr>
          <w:p>
            <w:pPr>
              <w:jc w:val="right"/>
              <w:spacing w:after="0"/>
              <w:rPr>
                <w:sz w:val="20"/>
                <w:szCs w:val="20"/>
                <w:color w:val="auto"/>
              </w:rPr>
            </w:pPr>
            <w:r>
              <w:rPr>
                <w:rFonts w:ascii="Arial" w:cs="Arial" w:eastAsia="Arial" w:hAnsi="Arial"/>
                <w:sz w:val="11"/>
                <w:szCs w:val="11"/>
                <w:color w:val="auto"/>
              </w:rPr>
              <w:t>0.66</w:t>
            </w:r>
          </w:p>
        </w:tc>
        <w:tc>
          <w:tcPr>
            <w:tcW w:w="100" w:type="dxa"/>
            <w:vAlign w:val="bottom"/>
          </w:tcPr>
          <w:p>
            <w:pPr>
              <w:spacing w:after="0"/>
              <w:rPr>
                <w:sz w:val="12"/>
                <w:szCs w:val="12"/>
                <w:color w:val="auto"/>
              </w:rPr>
            </w:pPr>
          </w:p>
        </w:tc>
        <w:tc>
          <w:tcPr>
            <w:tcW w:w="320" w:type="dxa"/>
            <w:vAlign w:val="bottom"/>
          </w:tcPr>
          <w:p>
            <w:pPr>
              <w:jc w:val="right"/>
              <w:ind w:right="211"/>
              <w:spacing w:after="0"/>
              <w:rPr>
                <w:sz w:val="20"/>
                <w:szCs w:val="20"/>
                <w:color w:val="auto"/>
              </w:rPr>
            </w:pPr>
            <w:r>
              <w:rPr>
                <w:rFonts w:ascii="Arial" w:cs="Arial" w:eastAsia="Arial" w:hAnsi="Arial"/>
                <w:sz w:val="10"/>
                <w:szCs w:val="10"/>
                <w:color w:val="auto"/>
                <w:w w:val="71"/>
              </w:rPr>
              <w:t>$</w:t>
            </w:r>
          </w:p>
        </w:tc>
        <w:tc>
          <w:tcPr>
            <w:tcW w:w="1040" w:type="dxa"/>
            <w:vAlign w:val="bottom"/>
          </w:tcPr>
          <w:p>
            <w:pPr>
              <w:jc w:val="right"/>
              <w:spacing w:after="0"/>
              <w:rPr>
                <w:sz w:val="20"/>
                <w:szCs w:val="20"/>
                <w:color w:val="auto"/>
              </w:rPr>
            </w:pPr>
            <w:r>
              <w:rPr>
                <w:rFonts w:ascii="Arial" w:cs="Arial" w:eastAsia="Arial" w:hAnsi="Arial"/>
                <w:sz w:val="11"/>
                <w:szCs w:val="11"/>
                <w:color w:val="auto"/>
              </w:rPr>
              <w:t>0.65</w:t>
            </w:r>
          </w:p>
        </w:tc>
      </w:tr>
      <w:tr>
        <w:trPr>
          <w:trHeight w:val="146"/>
        </w:trPr>
        <w:tc>
          <w:tcPr>
            <w:tcW w:w="55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r>
      <w:tr>
        <w:trPr>
          <w:trHeight w:val="142"/>
        </w:trPr>
        <w:tc>
          <w:tcPr>
            <w:tcW w:w="5580" w:type="dxa"/>
            <w:vAlign w:val="bottom"/>
          </w:tcPr>
          <w:p>
            <w:pPr>
              <w:spacing w:after="0"/>
              <w:rPr>
                <w:sz w:val="20"/>
                <w:szCs w:val="20"/>
                <w:color w:val="auto"/>
              </w:rPr>
            </w:pPr>
            <w:r>
              <w:rPr>
                <w:rFonts w:ascii="Arial" w:cs="Arial" w:eastAsia="Arial" w:hAnsi="Arial"/>
                <w:sz w:val="11"/>
                <w:szCs w:val="11"/>
                <w:color w:val="auto"/>
              </w:rPr>
              <w:t>Net income per Class B Voting Common Share:</w:t>
            </w:r>
          </w:p>
        </w:tc>
        <w:tc>
          <w:tcPr>
            <w:tcW w:w="8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r>
      <w:tr>
        <w:trPr>
          <w:trHeight w:val="146"/>
        </w:trPr>
        <w:tc>
          <w:tcPr>
            <w:tcW w:w="5580" w:type="dxa"/>
            <w:vAlign w:val="bottom"/>
            <w:shd w:val="clear" w:color="auto" w:fill="CCEEFF"/>
          </w:tcPr>
          <w:p>
            <w:pPr>
              <w:ind w:left="140"/>
              <w:spacing w:after="0"/>
              <w:rPr>
                <w:sz w:val="20"/>
                <w:szCs w:val="20"/>
                <w:color w:val="auto"/>
              </w:rPr>
            </w:pPr>
            <w:r>
              <w:rPr>
                <w:rFonts w:ascii="Arial" w:cs="Arial" w:eastAsia="Arial" w:hAnsi="Arial"/>
                <w:sz w:val="11"/>
                <w:szCs w:val="11"/>
                <w:color w:val="auto"/>
              </w:rPr>
              <w:t>Basic</w:t>
            </w:r>
          </w:p>
        </w:tc>
        <w:tc>
          <w:tcPr>
            <w:tcW w:w="880" w:type="dxa"/>
            <w:vAlign w:val="bottom"/>
            <w:shd w:val="clear" w:color="auto" w:fill="CCEEFF"/>
          </w:tcPr>
          <w:p>
            <w:pPr>
              <w:jc w:val="right"/>
              <w:ind w:right="746"/>
              <w:spacing w:after="0"/>
              <w:rPr>
                <w:sz w:val="20"/>
                <w:szCs w:val="20"/>
                <w:color w:val="auto"/>
              </w:rPr>
            </w:pPr>
            <w:r>
              <w:rPr>
                <w:rFonts w:ascii="Arial" w:cs="Arial" w:eastAsia="Arial" w:hAnsi="Arial"/>
                <w:sz w:val="11"/>
                <w:szCs w:val="11"/>
                <w:color w:val="auto"/>
                <w:w w:val="97"/>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0.72</w:t>
            </w: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771"/>
              <w:spacing w:after="0"/>
              <w:rPr>
                <w:sz w:val="20"/>
                <w:szCs w:val="20"/>
                <w:color w:val="auto"/>
              </w:rPr>
            </w:pPr>
            <w:r>
              <w:rPr>
                <w:rFonts w:ascii="Arial" w:cs="Arial" w:eastAsia="Arial" w:hAnsi="Arial"/>
                <w:sz w:val="10"/>
                <w:szCs w:val="10"/>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0.26</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jc w:val="right"/>
              <w:ind w:right="186"/>
              <w:spacing w:after="0"/>
              <w:rPr>
                <w:sz w:val="20"/>
                <w:szCs w:val="20"/>
                <w:color w:val="auto"/>
              </w:rPr>
            </w:pPr>
            <w:r>
              <w:rPr>
                <w:rFonts w:ascii="Arial" w:cs="Arial" w:eastAsia="Arial" w:hAnsi="Arial"/>
                <w:sz w:val="11"/>
                <w:szCs w:val="11"/>
                <w:color w:val="auto"/>
                <w:w w:val="97"/>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1.94</w:t>
            </w: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jc w:val="right"/>
              <w:ind w:right="211"/>
              <w:spacing w:after="0"/>
              <w:rPr>
                <w:sz w:val="20"/>
                <w:szCs w:val="20"/>
                <w:color w:val="auto"/>
              </w:rPr>
            </w:pPr>
            <w:r>
              <w:rPr>
                <w:rFonts w:ascii="Arial" w:cs="Arial" w:eastAsia="Arial" w:hAnsi="Arial"/>
                <w:sz w:val="10"/>
                <w:szCs w:val="10"/>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1.58</w:t>
            </w:r>
          </w:p>
        </w:tc>
      </w:tr>
      <w:tr>
        <w:trPr>
          <w:trHeight w:val="142"/>
        </w:trPr>
        <w:tc>
          <w:tcPr>
            <w:tcW w:w="5580" w:type="dxa"/>
            <w:vAlign w:val="bottom"/>
          </w:tcPr>
          <w:p>
            <w:pPr>
              <w:ind w:left="140"/>
              <w:spacing w:after="0"/>
              <w:rPr>
                <w:sz w:val="20"/>
                <w:szCs w:val="20"/>
                <w:color w:val="auto"/>
              </w:rPr>
            </w:pPr>
            <w:r>
              <w:rPr>
                <w:rFonts w:ascii="Arial" w:cs="Arial" w:eastAsia="Arial" w:hAnsi="Arial"/>
                <w:sz w:val="11"/>
                <w:szCs w:val="11"/>
                <w:color w:val="auto"/>
              </w:rPr>
              <w:t>Diluted</w:t>
            </w:r>
          </w:p>
        </w:tc>
        <w:tc>
          <w:tcPr>
            <w:tcW w:w="880" w:type="dxa"/>
            <w:vAlign w:val="bottom"/>
          </w:tcPr>
          <w:p>
            <w:pPr>
              <w:jc w:val="right"/>
              <w:ind w:right="746"/>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spacing w:after="0"/>
              <w:rPr>
                <w:sz w:val="20"/>
                <w:szCs w:val="20"/>
                <w:color w:val="auto"/>
              </w:rPr>
            </w:pPr>
            <w:r>
              <w:rPr>
                <w:rFonts w:ascii="Arial" w:cs="Arial" w:eastAsia="Arial" w:hAnsi="Arial"/>
                <w:sz w:val="11"/>
                <w:szCs w:val="11"/>
                <w:color w:val="auto"/>
              </w:rPr>
              <w:t>0.71</w:t>
            </w:r>
          </w:p>
        </w:tc>
        <w:tc>
          <w:tcPr>
            <w:tcW w:w="100" w:type="dxa"/>
            <w:vAlign w:val="bottom"/>
          </w:tcPr>
          <w:p>
            <w:pPr>
              <w:spacing w:after="0"/>
              <w:rPr>
                <w:sz w:val="12"/>
                <w:szCs w:val="12"/>
                <w:color w:val="auto"/>
              </w:rPr>
            </w:pPr>
          </w:p>
        </w:tc>
        <w:tc>
          <w:tcPr>
            <w:tcW w:w="880" w:type="dxa"/>
            <w:vAlign w:val="bottom"/>
          </w:tcPr>
          <w:p>
            <w:pPr>
              <w:jc w:val="right"/>
              <w:ind w:right="771"/>
              <w:spacing w:after="0"/>
              <w:rPr>
                <w:sz w:val="20"/>
                <w:szCs w:val="20"/>
                <w:color w:val="auto"/>
              </w:rPr>
            </w:pPr>
            <w:r>
              <w:rPr>
                <w:rFonts w:ascii="Arial" w:cs="Arial" w:eastAsia="Arial" w:hAnsi="Arial"/>
                <w:sz w:val="10"/>
                <w:szCs w:val="10"/>
                <w:color w:val="auto"/>
                <w:w w:val="71"/>
              </w:rPr>
              <w:t>$</w:t>
            </w:r>
          </w:p>
        </w:tc>
        <w:tc>
          <w:tcPr>
            <w:tcW w:w="480" w:type="dxa"/>
            <w:vAlign w:val="bottom"/>
          </w:tcPr>
          <w:p>
            <w:pPr>
              <w:jc w:val="right"/>
              <w:spacing w:after="0"/>
              <w:rPr>
                <w:sz w:val="20"/>
                <w:szCs w:val="20"/>
                <w:color w:val="auto"/>
              </w:rPr>
            </w:pPr>
            <w:r>
              <w:rPr>
                <w:rFonts w:ascii="Arial" w:cs="Arial" w:eastAsia="Arial" w:hAnsi="Arial"/>
                <w:sz w:val="11"/>
                <w:szCs w:val="11"/>
                <w:color w:val="auto"/>
              </w:rPr>
              <w:t>0.26</w:t>
            </w:r>
          </w:p>
        </w:tc>
        <w:tc>
          <w:tcPr>
            <w:tcW w:w="80" w:type="dxa"/>
            <w:vAlign w:val="bottom"/>
          </w:tcPr>
          <w:p>
            <w:pPr>
              <w:spacing w:after="0"/>
              <w:rPr>
                <w:sz w:val="12"/>
                <w:szCs w:val="12"/>
                <w:color w:val="auto"/>
              </w:rPr>
            </w:pPr>
          </w:p>
        </w:tc>
        <w:tc>
          <w:tcPr>
            <w:tcW w:w="320" w:type="dxa"/>
            <w:vAlign w:val="bottom"/>
          </w:tcPr>
          <w:p>
            <w:pPr>
              <w:jc w:val="right"/>
              <w:ind w:right="186"/>
              <w:spacing w:after="0"/>
              <w:rPr>
                <w:sz w:val="20"/>
                <w:szCs w:val="20"/>
                <w:color w:val="auto"/>
              </w:rPr>
            </w:pPr>
            <w:r>
              <w:rPr>
                <w:rFonts w:ascii="Arial" w:cs="Arial" w:eastAsia="Arial" w:hAnsi="Arial"/>
                <w:sz w:val="11"/>
                <w:szCs w:val="11"/>
                <w:color w:val="auto"/>
                <w:w w:val="97"/>
              </w:rPr>
              <w:t>$</w:t>
            </w:r>
          </w:p>
        </w:tc>
        <w:tc>
          <w:tcPr>
            <w:tcW w:w="1040" w:type="dxa"/>
            <w:vAlign w:val="bottom"/>
          </w:tcPr>
          <w:p>
            <w:pPr>
              <w:jc w:val="right"/>
              <w:spacing w:after="0"/>
              <w:rPr>
                <w:sz w:val="20"/>
                <w:szCs w:val="20"/>
                <w:color w:val="auto"/>
              </w:rPr>
            </w:pPr>
            <w:r>
              <w:rPr>
                <w:rFonts w:ascii="Arial" w:cs="Arial" w:eastAsia="Arial" w:hAnsi="Arial"/>
                <w:sz w:val="11"/>
                <w:szCs w:val="11"/>
                <w:color w:val="auto"/>
              </w:rPr>
              <w:t>1.93</w:t>
            </w:r>
          </w:p>
        </w:tc>
        <w:tc>
          <w:tcPr>
            <w:tcW w:w="100" w:type="dxa"/>
            <w:vAlign w:val="bottom"/>
          </w:tcPr>
          <w:p>
            <w:pPr>
              <w:spacing w:after="0"/>
              <w:rPr>
                <w:sz w:val="12"/>
                <w:szCs w:val="12"/>
                <w:color w:val="auto"/>
              </w:rPr>
            </w:pPr>
          </w:p>
        </w:tc>
        <w:tc>
          <w:tcPr>
            <w:tcW w:w="320" w:type="dxa"/>
            <w:vAlign w:val="bottom"/>
          </w:tcPr>
          <w:p>
            <w:pPr>
              <w:jc w:val="right"/>
              <w:ind w:right="211"/>
              <w:spacing w:after="0"/>
              <w:rPr>
                <w:sz w:val="20"/>
                <w:szCs w:val="20"/>
                <w:color w:val="auto"/>
              </w:rPr>
            </w:pPr>
            <w:r>
              <w:rPr>
                <w:rFonts w:ascii="Arial" w:cs="Arial" w:eastAsia="Arial" w:hAnsi="Arial"/>
                <w:sz w:val="10"/>
                <w:szCs w:val="10"/>
                <w:color w:val="auto"/>
                <w:w w:val="71"/>
              </w:rPr>
              <w:t>$</w:t>
            </w:r>
          </w:p>
        </w:tc>
        <w:tc>
          <w:tcPr>
            <w:tcW w:w="1040" w:type="dxa"/>
            <w:vAlign w:val="bottom"/>
          </w:tcPr>
          <w:p>
            <w:pPr>
              <w:jc w:val="right"/>
              <w:spacing w:after="0"/>
              <w:rPr>
                <w:sz w:val="20"/>
                <w:szCs w:val="20"/>
                <w:color w:val="auto"/>
              </w:rPr>
            </w:pPr>
            <w:r>
              <w:rPr>
                <w:rFonts w:ascii="Arial" w:cs="Arial" w:eastAsia="Arial" w:hAnsi="Arial"/>
                <w:sz w:val="11"/>
                <w:szCs w:val="11"/>
                <w:color w:val="auto"/>
              </w:rPr>
              <w:t>1.57</w:t>
            </w:r>
          </w:p>
        </w:tc>
      </w:tr>
      <w:tr>
        <w:trPr>
          <w:trHeight w:val="146"/>
        </w:trPr>
        <w:tc>
          <w:tcPr>
            <w:tcW w:w="5580" w:type="dxa"/>
            <w:vAlign w:val="bottom"/>
            <w:shd w:val="clear" w:color="auto" w:fill="CCEEFF"/>
          </w:tcPr>
          <w:p>
            <w:pPr>
              <w:ind w:left="140"/>
              <w:spacing w:after="0"/>
              <w:rPr>
                <w:sz w:val="20"/>
                <w:szCs w:val="20"/>
                <w:color w:val="auto"/>
              </w:rPr>
            </w:pPr>
            <w:r>
              <w:rPr>
                <w:rFonts w:ascii="Arial" w:cs="Arial" w:eastAsia="Arial" w:hAnsi="Arial"/>
                <w:sz w:val="11"/>
                <w:szCs w:val="11"/>
                <w:color w:val="auto"/>
              </w:rPr>
              <w:t>Dividends</w:t>
            </w:r>
          </w:p>
        </w:tc>
        <w:tc>
          <w:tcPr>
            <w:tcW w:w="880" w:type="dxa"/>
            <w:vAlign w:val="bottom"/>
            <w:shd w:val="clear" w:color="auto" w:fill="CCEEFF"/>
          </w:tcPr>
          <w:p>
            <w:pPr>
              <w:jc w:val="right"/>
              <w:ind w:right="746"/>
              <w:spacing w:after="0"/>
              <w:rPr>
                <w:sz w:val="20"/>
                <w:szCs w:val="20"/>
                <w:color w:val="auto"/>
              </w:rPr>
            </w:pPr>
            <w:r>
              <w:rPr>
                <w:rFonts w:ascii="Arial" w:cs="Arial" w:eastAsia="Arial" w:hAnsi="Arial"/>
                <w:sz w:val="11"/>
                <w:szCs w:val="11"/>
                <w:color w:val="auto"/>
                <w:w w:val="97"/>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0.22</w:t>
            </w: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771"/>
              <w:spacing w:after="0"/>
              <w:rPr>
                <w:sz w:val="20"/>
                <w:szCs w:val="20"/>
                <w:color w:val="auto"/>
              </w:rPr>
            </w:pPr>
            <w:r>
              <w:rPr>
                <w:rFonts w:ascii="Arial" w:cs="Arial" w:eastAsia="Arial" w:hAnsi="Arial"/>
                <w:sz w:val="10"/>
                <w:szCs w:val="10"/>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0.22</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jc w:val="right"/>
              <w:ind w:right="186"/>
              <w:spacing w:after="0"/>
              <w:rPr>
                <w:sz w:val="20"/>
                <w:szCs w:val="20"/>
                <w:color w:val="auto"/>
              </w:rPr>
            </w:pPr>
            <w:r>
              <w:rPr>
                <w:rFonts w:ascii="Arial" w:cs="Arial" w:eastAsia="Arial" w:hAnsi="Arial"/>
                <w:sz w:val="11"/>
                <w:szCs w:val="11"/>
                <w:color w:val="auto"/>
                <w:w w:val="97"/>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0.64</w:t>
            </w: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jc w:val="right"/>
              <w:ind w:right="211"/>
              <w:spacing w:after="0"/>
              <w:rPr>
                <w:sz w:val="20"/>
                <w:szCs w:val="20"/>
                <w:color w:val="auto"/>
              </w:rPr>
            </w:pPr>
            <w:r>
              <w:rPr>
                <w:rFonts w:ascii="Arial" w:cs="Arial" w:eastAsia="Arial" w:hAnsi="Arial"/>
                <w:sz w:val="10"/>
                <w:szCs w:val="10"/>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0.64</w:t>
            </w:r>
          </w:p>
        </w:tc>
      </w:tr>
      <w:tr>
        <w:trPr>
          <w:trHeight w:val="144"/>
        </w:trPr>
        <w:tc>
          <w:tcPr>
            <w:tcW w:w="55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r>
      <w:tr>
        <w:trPr>
          <w:trHeight w:val="144"/>
        </w:trPr>
        <w:tc>
          <w:tcPr>
            <w:tcW w:w="5580" w:type="dxa"/>
            <w:vAlign w:val="bottom"/>
            <w:shd w:val="clear" w:color="auto" w:fill="CCEEFF"/>
          </w:tcPr>
          <w:p>
            <w:pPr>
              <w:spacing w:after="0"/>
              <w:rPr>
                <w:sz w:val="20"/>
                <w:szCs w:val="20"/>
                <w:color w:val="auto"/>
              </w:rPr>
            </w:pPr>
            <w:r>
              <w:rPr>
                <w:rFonts w:ascii="Arial" w:cs="Arial" w:eastAsia="Arial" w:hAnsi="Arial"/>
                <w:sz w:val="11"/>
                <w:szCs w:val="11"/>
                <w:color w:val="auto"/>
              </w:rPr>
              <w:t>Weighted average common shares outstanding:</w:t>
            </w: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r>
      <w:tr>
        <w:trPr>
          <w:trHeight w:val="142"/>
        </w:trPr>
        <w:tc>
          <w:tcPr>
            <w:tcW w:w="5580" w:type="dxa"/>
            <w:vAlign w:val="bottom"/>
          </w:tcPr>
          <w:p>
            <w:pPr>
              <w:ind w:left="140"/>
              <w:spacing w:after="0"/>
              <w:rPr>
                <w:sz w:val="20"/>
                <w:szCs w:val="20"/>
                <w:color w:val="auto"/>
              </w:rPr>
            </w:pPr>
            <w:r>
              <w:rPr>
                <w:rFonts w:ascii="Arial" w:cs="Arial" w:eastAsia="Arial" w:hAnsi="Arial"/>
                <w:sz w:val="11"/>
                <w:szCs w:val="11"/>
                <w:color w:val="auto"/>
              </w:rPr>
              <w:t>Basic</w:t>
            </w:r>
          </w:p>
        </w:tc>
        <w:tc>
          <w:tcPr>
            <w:tcW w:w="8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52,050</w:t>
            </w: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52,607</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52,030</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53,023</w:t>
            </w:r>
          </w:p>
        </w:tc>
      </w:tr>
      <w:tr>
        <w:trPr>
          <w:trHeight w:val="146"/>
        </w:trPr>
        <w:tc>
          <w:tcPr>
            <w:tcW w:w="5580" w:type="dxa"/>
            <w:vAlign w:val="bottom"/>
            <w:shd w:val="clear" w:color="auto" w:fill="CCEEFF"/>
          </w:tcPr>
          <w:p>
            <w:pPr>
              <w:ind w:left="140"/>
              <w:spacing w:after="0"/>
              <w:rPr>
                <w:sz w:val="20"/>
                <w:szCs w:val="20"/>
                <w:color w:val="auto"/>
              </w:rPr>
            </w:pPr>
            <w:r>
              <w:rPr>
                <w:rFonts w:ascii="Arial" w:cs="Arial" w:eastAsia="Arial" w:hAnsi="Arial"/>
                <w:sz w:val="11"/>
                <w:szCs w:val="11"/>
                <w:color w:val="auto"/>
              </w:rPr>
              <w:t>Diluted</w:t>
            </w: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52,449</w:t>
            </w: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52,972</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52,341</w:t>
            </w: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53,512</w:t>
            </w:r>
          </w:p>
        </w:tc>
      </w:tr>
    </w:tbl>
    <w:p>
      <w:pPr>
        <w:sectPr>
          <w:pgSz w:w="11900" w:h="16838" w:orient="portrait"/>
          <w:cols w:equalWidth="0" w:num="1">
            <w:col w:w="11300"/>
          </w:cols>
          <w:pgMar w:left="300" w:top="562" w:right="299" w:bottom="1440" w:gutter="0" w:footer="0" w:header="0"/>
        </w:sectPr>
      </w:pPr>
    </w:p>
    <w:bookmarkStart w:id="7" w:name="page8"/>
    <w:bookmarkEnd w:id="7"/>
    <w:p>
      <w:pPr>
        <w:spacing w:after="0"/>
        <w:rPr>
          <w:sz w:val="20"/>
          <w:szCs w:val="20"/>
          <w:color w:val="auto"/>
        </w:rPr>
      </w:pPr>
      <w:r>
        <w:rPr>
          <w:rFonts w:ascii="Arial" w:cs="Arial" w:eastAsia="Arial" w:hAnsi="Arial"/>
          <w:sz w:val="11"/>
          <w:szCs w:val="11"/>
          <w:b w:val="1"/>
          <w:bCs w:val="1"/>
          <w:color w:val="auto"/>
        </w:rPr>
        <w:t>BRADY CORPORATION AND SUBSIDIARIES</w:t>
      </w:r>
    </w:p>
    <w:p>
      <w:pPr>
        <w:spacing w:after="0" w:line="11"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CONSOLIDATED BALANCE SHEETS</w:t>
      </w:r>
    </w:p>
    <w:p>
      <w:pPr>
        <w:spacing w:after="0"/>
        <w:rPr>
          <w:sz w:val="20"/>
          <w:szCs w:val="20"/>
          <w:color w:val="auto"/>
        </w:rPr>
      </w:pPr>
      <w:r>
        <w:rPr>
          <w:rFonts w:ascii="Arial" w:cs="Arial" w:eastAsia="Arial" w:hAnsi="Arial"/>
          <w:sz w:val="11"/>
          <w:szCs w:val="11"/>
          <w:b w:val="1"/>
          <w:bCs w:val="1"/>
          <w:color w:val="auto"/>
        </w:rPr>
        <w:t>(Dollars in thousands)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0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center"/>
              <w:ind w:right="146"/>
              <w:spacing w:after="0"/>
              <w:rPr>
                <w:sz w:val="20"/>
                <w:szCs w:val="20"/>
                <w:color w:val="auto"/>
              </w:rPr>
            </w:pPr>
            <w:r>
              <w:rPr>
                <w:rFonts w:ascii="Arial" w:cs="Arial" w:eastAsia="Arial" w:hAnsi="Arial"/>
                <w:sz w:val="11"/>
                <w:szCs w:val="11"/>
                <w:color w:val="auto"/>
                <w:w w:val="91"/>
              </w:rPr>
              <w:t>April 30, 2021</w:t>
            </w:r>
          </w:p>
        </w:tc>
        <w:tc>
          <w:tcPr>
            <w:tcW w:w="1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346"/>
              <w:spacing w:after="0"/>
              <w:rPr>
                <w:sz w:val="20"/>
                <w:szCs w:val="20"/>
                <w:color w:val="auto"/>
              </w:rPr>
            </w:pPr>
            <w:r>
              <w:rPr>
                <w:rFonts w:ascii="Arial" w:cs="Arial" w:eastAsia="Arial" w:hAnsi="Arial"/>
                <w:sz w:val="11"/>
                <w:szCs w:val="11"/>
                <w:color w:val="auto"/>
              </w:rPr>
              <w:t>July 31, 2020</w:t>
            </w:r>
          </w:p>
        </w:tc>
      </w:tr>
      <w:tr>
        <w:trPr>
          <w:trHeight w:val="133"/>
        </w:trPr>
        <w:tc>
          <w:tcPr>
            <w:tcW w:w="30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1"/>
                <w:szCs w:val="11"/>
                <w:color w:val="auto"/>
                <w:w w:val="90"/>
              </w:rPr>
              <w:t>(Unaudited)</w:t>
            </w:r>
          </w:p>
        </w:tc>
        <w:tc>
          <w:tcPr>
            <w:tcW w:w="220" w:type="dxa"/>
            <w:vAlign w:val="bottom"/>
          </w:tcPr>
          <w:p>
            <w:pPr>
              <w:spacing w:after="0"/>
              <w:rPr>
                <w:sz w:val="11"/>
                <w:szCs w:val="11"/>
                <w:color w:val="auto"/>
              </w:rPr>
            </w:pPr>
          </w:p>
        </w:tc>
        <w:tc>
          <w:tcPr>
            <w:tcW w:w="1140" w:type="dxa"/>
            <w:vAlign w:val="bottom"/>
          </w:tcPr>
          <w:p>
            <w:pPr>
              <w:spacing w:after="0"/>
              <w:rPr>
                <w:sz w:val="11"/>
                <w:szCs w:val="11"/>
                <w:color w:val="auto"/>
              </w:rPr>
            </w:pPr>
          </w:p>
        </w:tc>
      </w:tr>
      <w:tr>
        <w:trPr>
          <w:trHeight w:val="126"/>
        </w:trPr>
        <w:tc>
          <w:tcPr>
            <w:tcW w:w="306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4440" w:type="dxa"/>
            <w:vAlign w:val="bottom"/>
            <w:gridSpan w:val="3"/>
            <w:shd w:val="clear" w:color="auto" w:fill="CCEEFF"/>
          </w:tcPr>
          <w:p>
            <w:pPr>
              <w:jc w:val="center"/>
              <w:ind w:right="4040"/>
              <w:spacing w:after="0" w:line="119" w:lineRule="exact"/>
              <w:rPr>
                <w:sz w:val="20"/>
                <w:szCs w:val="20"/>
                <w:color w:val="auto"/>
              </w:rPr>
            </w:pPr>
            <w:r>
              <w:rPr>
                <w:rFonts w:ascii="Arial" w:cs="Arial" w:eastAsia="Arial" w:hAnsi="Arial"/>
                <w:sz w:val="11"/>
                <w:szCs w:val="11"/>
                <w:b w:val="1"/>
                <w:bCs w:val="1"/>
                <w:color w:val="auto"/>
                <w:w w:val="90"/>
              </w:rPr>
              <w:t>ASSETS</w:t>
            </w:r>
          </w:p>
        </w:tc>
        <w:tc>
          <w:tcPr>
            <w:tcW w:w="22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r>
      <w:tr>
        <w:trPr>
          <w:trHeight w:val="142"/>
        </w:trPr>
        <w:tc>
          <w:tcPr>
            <w:tcW w:w="4040" w:type="dxa"/>
            <w:vAlign w:val="bottom"/>
            <w:tcBorders>
              <w:top w:val="single" w:sz="8" w:color="CCEEFF"/>
            </w:tcBorders>
            <w:gridSpan w:val="2"/>
          </w:tcPr>
          <w:p>
            <w:pPr>
              <w:spacing w:after="0"/>
              <w:rPr>
                <w:sz w:val="20"/>
                <w:szCs w:val="20"/>
                <w:color w:val="auto"/>
              </w:rPr>
            </w:pPr>
            <w:r>
              <w:rPr>
                <w:rFonts w:ascii="Arial" w:cs="Arial" w:eastAsia="Arial" w:hAnsi="Arial"/>
                <w:sz w:val="11"/>
                <w:szCs w:val="11"/>
                <w:color w:val="auto"/>
              </w:rPr>
              <w:t>Current assets:</w:t>
            </w:r>
          </w:p>
        </w:tc>
        <w:tc>
          <w:tcPr>
            <w:tcW w:w="400" w:type="dxa"/>
            <w:vAlign w:val="bottom"/>
            <w:tcBorders>
              <w:top w:val="single" w:sz="8" w:color="auto"/>
            </w:tcBorders>
          </w:tcPr>
          <w:p>
            <w:pPr>
              <w:spacing w:after="0"/>
              <w:rPr>
                <w:sz w:val="12"/>
                <w:szCs w:val="12"/>
                <w:color w:val="auto"/>
              </w:rPr>
            </w:pPr>
          </w:p>
        </w:tc>
        <w:tc>
          <w:tcPr>
            <w:tcW w:w="4040" w:type="dxa"/>
            <w:vAlign w:val="bottom"/>
            <w:tcBorders>
              <w:top w:val="single" w:sz="8" w:color="CCEEFF"/>
            </w:tcBorders>
            <w:gridSpan w:val="2"/>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114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1140" w:type="dxa"/>
            <w:vAlign w:val="bottom"/>
            <w:tcBorders>
              <w:top w:val="single" w:sz="8" w:color="CCEEFF"/>
            </w:tcBorders>
          </w:tcPr>
          <w:p>
            <w:pPr>
              <w:spacing w:after="0"/>
              <w:rPr>
                <w:sz w:val="12"/>
                <w:szCs w:val="12"/>
                <w:color w:val="auto"/>
              </w:rPr>
            </w:pPr>
          </w:p>
        </w:tc>
      </w:tr>
      <w:tr>
        <w:trPr>
          <w:trHeight w:val="146"/>
        </w:trPr>
        <w:tc>
          <w:tcPr>
            <w:tcW w:w="8480" w:type="dxa"/>
            <w:vAlign w:val="bottom"/>
            <w:gridSpan w:val="5"/>
            <w:shd w:val="clear" w:color="auto" w:fill="CCEEFF"/>
          </w:tcPr>
          <w:p>
            <w:pPr>
              <w:ind w:left="220"/>
              <w:spacing w:after="0"/>
              <w:rPr>
                <w:sz w:val="20"/>
                <w:szCs w:val="20"/>
                <w:color w:val="auto"/>
              </w:rPr>
            </w:pPr>
            <w:r>
              <w:rPr>
                <w:rFonts w:ascii="Arial" w:cs="Arial" w:eastAsia="Arial" w:hAnsi="Arial"/>
                <w:sz w:val="11"/>
                <w:szCs w:val="11"/>
                <w:color w:val="auto"/>
              </w:rPr>
              <w:t>Cash and cash equivalents</w:t>
            </w:r>
          </w:p>
        </w:tc>
        <w:tc>
          <w:tcPr>
            <w:tcW w:w="22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w w:val="97"/>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321,801</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217,643</w:t>
            </w:r>
          </w:p>
        </w:tc>
      </w:tr>
      <w:tr>
        <w:trPr>
          <w:trHeight w:val="142"/>
        </w:trPr>
        <w:tc>
          <w:tcPr>
            <w:tcW w:w="8480" w:type="dxa"/>
            <w:vAlign w:val="bottom"/>
            <w:gridSpan w:val="5"/>
          </w:tcPr>
          <w:p>
            <w:pPr>
              <w:ind w:left="220"/>
              <w:spacing w:after="0"/>
              <w:rPr>
                <w:sz w:val="20"/>
                <w:szCs w:val="20"/>
                <w:color w:val="auto"/>
              </w:rPr>
            </w:pPr>
            <w:r>
              <w:rPr>
                <w:rFonts w:ascii="Arial" w:cs="Arial" w:eastAsia="Arial" w:hAnsi="Arial"/>
                <w:sz w:val="11"/>
                <w:szCs w:val="11"/>
                <w:color w:val="auto"/>
              </w:rPr>
              <w:t>Accounts receivable, net of allowance for credit losses of $7,551 and $7,157, respectively</w:t>
            </w:r>
          </w:p>
        </w:tc>
        <w:tc>
          <w:tcPr>
            <w:tcW w:w="22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163,381</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146,181</w:t>
            </w:r>
          </w:p>
        </w:tc>
      </w:tr>
      <w:tr>
        <w:trPr>
          <w:trHeight w:val="146"/>
        </w:trPr>
        <w:tc>
          <w:tcPr>
            <w:tcW w:w="8480" w:type="dxa"/>
            <w:vAlign w:val="bottom"/>
            <w:gridSpan w:val="5"/>
            <w:shd w:val="clear" w:color="auto" w:fill="CCEEFF"/>
          </w:tcPr>
          <w:p>
            <w:pPr>
              <w:ind w:left="220"/>
              <w:spacing w:after="0"/>
              <w:rPr>
                <w:sz w:val="20"/>
                <w:szCs w:val="20"/>
                <w:color w:val="auto"/>
              </w:rPr>
            </w:pPr>
            <w:r>
              <w:rPr>
                <w:rFonts w:ascii="Arial" w:cs="Arial" w:eastAsia="Arial" w:hAnsi="Arial"/>
                <w:sz w:val="11"/>
                <w:szCs w:val="11"/>
                <w:color w:val="auto"/>
              </w:rPr>
              <w:t>Inventories</w:t>
            </w: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122,847</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135,662</w:t>
            </w:r>
          </w:p>
        </w:tc>
      </w:tr>
      <w:tr>
        <w:trPr>
          <w:trHeight w:val="142"/>
        </w:trPr>
        <w:tc>
          <w:tcPr>
            <w:tcW w:w="8480" w:type="dxa"/>
            <w:vAlign w:val="bottom"/>
            <w:tcBorders>
              <w:bottom w:val="single" w:sz="8" w:color="CCEEFF"/>
            </w:tcBorders>
            <w:gridSpan w:val="5"/>
          </w:tcPr>
          <w:p>
            <w:pPr>
              <w:ind w:left="220"/>
              <w:spacing w:after="0"/>
              <w:rPr>
                <w:sz w:val="20"/>
                <w:szCs w:val="20"/>
                <w:color w:val="auto"/>
              </w:rPr>
            </w:pPr>
            <w:r>
              <w:rPr>
                <w:rFonts w:ascii="Arial" w:cs="Arial" w:eastAsia="Arial" w:hAnsi="Arial"/>
                <w:sz w:val="11"/>
                <w:szCs w:val="11"/>
                <w:color w:val="auto"/>
              </w:rPr>
              <w:t>Prepaid expenses and other current assets</w:t>
            </w:r>
          </w:p>
        </w:tc>
        <w:tc>
          <w:tcPr>
            <w:tcW w:w="22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13,032</w:t>
            </w:r>
          </w:p>
        </w:tc>
        <w:tc>
          <w:tcPr>
            <w:tcW w:w="10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9,962</w:t>
            </w:r>
          </w:p>
        </w:tc>
      </w:tr>
      <w:tr>
        <w:trPr>
          <w:trHeight w:val="135"/>
        </w:trPr>
        <w:tc>
          <w:tcPr>
            <w:tcW w:w="8480" w:type="dxa"/>
            <w:vAlign w:val="bottom"/>
            <w:gridSpan w:val="5"/>
            <w:shd w:val="clear" w:color="auto" w:fill="CCEEFF"/>
          </w:tcPr>
          <w:p>
            <w:pPr>
              <w:ind w:left="360"/>
              <w:spacing w:after="0"/>
              <w:rPr>
                <w:sz w:val="20"/>
                <w:szCs w:val="20"/>
                <w:color w:val="auto"/>
              </w:rPr>
            </w:pPr>
            <w:r>
              <w:rPr>
                <w:rFonts w:ascii="Arial" w:cs="Arial" w:eastAsia="Arial" w:hAnsi="Arial"/>
                <w:sz w:val="11"/>
                <w:szCs w:val="11"/>
                <w:color w:val="auto"/>
              </w:rPr>
              <w:t>Total current assets</w:t>
            </w:r>
          </w:p>
        </w:tc>
        <w:tc>
          <w:tcPr>
            <w:tcW w:w="220" w:type="dxa"/>
            <w:vAlign w:val="bottom"/>
            <w:shd w:val="clear" w:color="auto" w:fill="CCEEFF"/>
          </w:tcPr>
          <w:p>
            <w:pPr>
              <w:spacing w:after="0"/>
              <w:rPr>
                <w:sz w:val="11"/>
                <w:szCs w:val="1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621,061</w:t>
            </w: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509,448</w:t>
            </w:r>
          </w:p>
        </w:tc>
      </w:tr>
      <w:tr>
        <w:trPr>
          <w:trHeight w:val="142"/>
        </w:trPr>
        <w:tc>
          <w:tcPr>
            <w:tcW w:w="8480" w:type="dxa"/>
            <w:vAlign w:val="bottom"/>
            <w:gridSpan w:val="5"/>
          </w:tcPr>
          <w:p>
            <w:pPr>
              <w:spacing w:after="0"/>
              <w:rPr>
                <w:sz w:val="20"/>
                <w:szCs w:val="20"/>
                <w:color w:val="auto"/>
              </w:rPr>
            </w:pPr>
            <w:r>
              <w:rPr>
                <w:rFonts w:ascii="Arial" w:cs="Arial" w:eastAsia="Arial" w:hAnsi="Arial"/>
                <w:sz w:val="11"/>
                <w:szCs w:val="11"/>
                <w:color w:val="auto"/>
              </w:rPr>
              <w:t>Property, plant and equipment—net</w:t>
            </w:r>
          </w:p>
        </w:tc>
        <w:tc>
          <w:tcPr>
            <w:tcW w:w="22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121,126</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115,068</w:t>
            </w:r>
          </w:p>
        </w:tc>
      </w:tr>
      <w:tr>
        <w:trPr>
          <w:trHeight w:val="146"/>
        </w:trPr>
        <w:tc>
          <w:tcPr>
            <w:tcW w:w="8480" w:type="dxa"/>
            <w:vAlign w:val="bottom"/>
            <w:gridSpan w:val="5"/>
            <w:shd w:val="clear" w:color="auto" w:fill="CCEEFF"/>
          </w:tcPr>
          <w:p>
            <w:pPr>
              <w:spacing w:after="0"/>
              <w:rPr>
                <w:sz w:val="20"/>
                <w:szCs w:val="20"/>
                <w:color w:val="auto"/>
              </w:rPr>
            </w:pPr>
            <w:r>
              <w:rPr>
                <w:rFonts w:ascii="Arial" w:cs="Arial" w:eastAsia="Arial" w:hAnsi="Arial"/>
                <w:sz w:val="11"/>
                <w:szCs w:val="11"/>
                <w:color w:val="auto"/>
              </w:rPr>
              <w:t>Goodwill</w:t>
            </w: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422,091</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416,034</w:t>
            </w:r>
          </w:p>
        </w:tc>
      </w:tr>
      <w:tr>
        <w:trPr>
          <w:trHeight w:val="142"/>
        </w:trPr>
        <w:tc>
          <w:tcPr>
            <w:tcW w:w="8480" w:type="dxa"/>
            <w:vAlign w:val="bottom"/>
            <w:gridSpan w:val="5"/>
          </w:tcPr>
          <w:p>
            <w:pPr>
              <w:spacing w:after="0"/>
              <w:rPr>
                <w:sz w:val="20"/>
                <w:szCs w:val="20"/>
                <w:color w:val="auto"/>
              </w:rPr>
            </w:pPr>
            <w:r>
              <w:rPr>
                <w:rFonts w:ascii="Arial" w:cs="Arial" w:eastAsia="Arial" w:hAnsi="Arial"/>
                <w:sz w:val="11"/>
                <w:szCs w:val="11"/>
                <w:color w:val="auto"/>
              </w:rPr>
              <w:t>Other intangible assets</w:t>
            </w:r>
          </w:p>
        </w:tc>
        <w:tc>
          <w:tcPr>
            <w:tcW w:w="22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18,528</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22,334</w:t>
            </w:r>
          </w:p>
        </w:tc>
      </w:tr>
      <w:tr>
        <w:trPr>
          <w:trHeight w:val="146"/>
        </w:trPr>
        <w:tc>
          <w:tcPr>
            <w:tcW w:w="8480" w:type="dxa"/>
            <w:vAlign w:val="bottom"/>
            <w:gridSpan w:val="5"/>
            <w:shd w:val="clear" w:color="auto" w:fill="CCEEFF"/>
          </w:tcPr>
          <w:p>
            <w:pPr>
              <w:spacing w:after="0"/>
              <w:rPr>
                <w:sz w:val="20"/>
                <w:szCs w:val="20"/>
                <w:color w:val="auto"/>
              </w:rPr>
            </w:pPr>
            <w:r>
              <w:rPr>
                <w:rFonts w:ascii="Arial" w:cs="Arial" w:eastAsia="Arial" w:hAnsi="Arial"/>
                <w:sz w:val="11"/>
                <w:szCs w:val="11"/>
                <w:color w:val="auto"/>
              </w:rPr>
              <w:t>Deferred income taxes</w:t>
            </w: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8,334</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8,845</w:t>
            </w:r>
          </w:p>
        </w:tc>
      </w:tr>
      <w:tr>
        <w:trPr>
          <w:trHeight w:val="142"/>
        </w:trPr>
        <w:tc>
          <w:tcPr>
            <w:tcW w:w="8480" w:type="dxa"/>
            <w:vAlign w:val="bottom"/>
            <w:gridSpan w:val="5"/>
          </w:tcPr>
          <w:p>
            <w:pPr>
              <w:spacing w:after="0"/>
              <w:rPr>
                <w:sz w:val="20"/>
                <w:szCs w:val="20"/>
                <w:color w:val="auto"/>
              </w:rPr>
            </w:pPr>
            <w:r>
              <w:rPr>
                <w:rFonts w:ascii="Arial" w:cs="Arial" w:eastAsia="Arial" w:hAnsi="Arial"/>
                <w:sz w:val="11"/>
                <w:szCs w:val="11"/>
                <w:color w:val="auto"/>
              </w:rPr>
              <w:t>Operating lease assets</w:t>
            </w:r>
          </w:p>
        </w:tc>
        <w:tc>
          <w:tcPr>
            <w:tcW w:w="22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37,622</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41,899</w:t>
            </w:r>
          </w:p>
        </w:tc>
      </w:tr>
      <w:tr>
        <w:trPr>
          <w:trHeight w:val="144"/>
        </w:trPr>
        <w:tc>
          <w:tcPr>
            <w:tcW w:w="8480" w:type="dxa"/>
            <w:vAlign w:val="bottom"/>
            <w:gridSpan w:val="5"/>
            <w:shd w:val="clear" w:color="auto" w:fill="CCEEFF"/>
          </w:tcPr>
          <w:p>
            <w:pPr>
              <w:spacing w:after="0"/>
              <w:rPr>
                <w:sz w:val="20"/>
                <w:szCs w:val="20"/>
                <w:color w:val="auto"/>
              </w:rPr>
            </w:pPr>
            <w:r>
              <w:rPr>
                <w:rFonts w:ascii="Arial" w:cs="Arial" w:eastAsia="Arial" w:hAnsi="Arial"/>
                <w:sz w:val="11"/>
                <w:szCs w:val="11"/>
                <w:color w:val="auto"/>
              </w:rPr>
              <w:t>Other assets</w:t>
            </w:r>
          </w:p>
        </w:tc>
        <w:tc>
          <w:tcPr>
            <w:tcW w:w="220" w:type="dxa"/>
            <w:vAlign w:val="bottom"/>
            <w:tcBorders>
              <w:bottom w:val="single" w:sz="8" w:color="auto"/>
            </w:tcBorders>
            <w:shd w:val="clear" w:color="auto" w:fill="CCEEFF"/>
          </w:tcPr>
          <w:p>
            <w:pPr>
              <w:spacing w:after="0"/>
              <w:rPr>
                <w:sz w:val="12"/>
                <w:szCs w:val="1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31,415</w:t>
            </w:r>
          </w:p>
        </w:tc>
        <w:tc>
          <w:tcPr>
            <w:tcW w:w="10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28,838</w:t>
            </w:r>
          </w:p>
        </w:tc>
      </w:tr>
      <w:tr>
        <w:trPr>
          <w:trHeight w:val="151"/>
        </w:trPr>
        <w:tc>
          <w:tcPr>
            <w:tcW w:w="8480" w:type="dxa"/>
            <w:vAlign w:val="bottom"/>
            <w:tcBorders>
              <w:bottom w:val="single" w:sz="8" w:color="CCEEFF"/>
            </w:tcBorders>
            <w:gridSpan w:val="5"/>
          </w:tcPr>
          <w:p>
            <w:pPr>
              <w:spacing w:after="0"/>
              <w:rPr>
                <w:sz w:val="20"/>
                <w:szCs w:val="20"/>
                <w:color w:val="auto"/>
              </w:rPr>
            </w:pPr>
            <w:r>
              <w:rPr>
                <w:rFonts w:ascii="Arial" w:cs="Arial" w:eastAsia="Arial" w:hAnsi="Arial"/>
                <w:sz w:val="11"/>
                <w:szCs w:val="11"/>
                <w:color w:val="auto"/>
              </w:rPr>
              <w:t>Total</w:t>
            </w:r>
          </w:p>
        </w:tc>
        <w:tc>
          <w:tcPr>
            <w:tcW w:w="22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w w:val="97"/>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1,260,177</w:t>
            </w:r>
          </w:p>
        </w:tc>
        <w:tc>
          <w:tcPr>
            <w:tcW w:w="1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jc w:val="right"/>
              <w:ind w:right="111"/>
              <w:spacing w:after="0"/>
              <w:rPr>
                <w:sz w:val="20"/>
                <w:szCs w:val="20"/>
                <w:color w:val="auto"/>
              </w:rPr>
            </w:pPr>
            <w:r>
              <w:rPr>
                <w:rFonts w:ascii="Arial" w:cs="Arial" w:eastAsia="Arial" w:hAnsi="Arial"/>
                <w:sz w:val="10"/>
                <w:szCs w:val="10"/>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1,142,466</w:t>
            </w:r>
          </w:p>
        </w:tc>
      </w:tr>
      <w:tr>
        <w:trPr>
          <w:trHeight w:val="106"/>
        </w:trPr>
        <w:tc>
          <w:tcPr>
            <w:tcW w:w="3060" w:type="dxa"/>
            <w:vAlign w:val="bottom"/>
            <w:tcBorders>
              <w:bottom w:val="single" w:sz="8" w:color="CCEEFF"/>
            </w:tcBorders>
            <w:shd w:val="clear" w:color="auto" w:fill="CCEEFF"/>
          </w:tcPr>
          <w:p>
            <w:pPr>
              <w:spacing w:after="0"/>
              <w:rPr>
                <w:sz w:val="9"/>
                <w:szCs w:val="9"/>
                <w:color w:val="auto"/>
              </w:rPr>
            </w:pPr>
          </w:p>
        </w:tc>
        <w:tc>
          <w:tcPr>
            <w:tcW w:w="2360" w:type="dxa"/>
            <w:vAlign w:val="bottom"/>
            <w:tcBorders>
              <w:bottom w:val="single" w:sz="8" w:color="auto"/>
            </w:tcBorders>
            <w:gridSpan w:val="3"/>
            <w:shd w:val="clear" w:color="auto" w:fill="CCEEFF"/>
          </w:tcPr>
          <w:p>
            <w:pPr>
              <w:jc w:val="center"/>
              <w:spacing w:after="0" w:line="99" w:lineRule="exact"/>
              <w:rPr>
                <w:sz w:val="20"/>
                <w:szCs w:val="20"/>
                <w:color w:val="auto"/>
              </w:rPr>
            </w:pPr>
            <w:r>
              <w:rPr>
                <w:rFonts w:ascii="Arial" w:cs="Arial" w:eastAsia="Arial" w:hAnsi="Arial"/>
                <w:sz w:val="11"/>
                <w:szCs w:val="11"/>
                <w:b w:val="1"/>
                <w:bCs w:val="1"/>
                <w:color w:val="auto"/>
              </w:rPr>
              <w:t>LIABILITIES AND STOCKHOLDERS’ EQUITY</w:t>
            </w:r>
          </w:p>
        </w:tc>
        <w:tc>
          <w:tcPr>
            <w:tcW w:w="3060" w:type="dxa"/>
            <w:vAlign w:val="bottom"/>
            <w:tcBorders>
              <w:bottom w:val="single" w:sz="8" w:color="CCEEFF"/>
            </w:tcBorders>
            <w:shd w:val="clear" w:color="auto" w:fill="CCEEFF"/>
          </w:tcPr>
          <w:p>
            <w:pPr>
              <w:spacing w:after="0"/>
              <w:rPr>
                <w:sz w:val="9"/>
                <w:szCs w:val="9"/>
                <w:color w:val="auto"/>
              </w:rPr>
            </w:pPr>
          </w:p>
        </w:tc>
        <w:tc>
          <w:tcPr>
            <w:tcW w:w="220" w:type="dxa"/>
            <w:vAlign w:val="bottom"/>
            <w:tcBorders>
              <w:bottom w:val="single" w:sz="8" w:color="CCEEFF"/>
            </w:tcBorders>
            <w:shd w:val="clear" w:color="auto" w:fill="CCEEFF"/>
          </w:tcPr>
          <w:p>
            <w:pPr>
              <w:spacing w:after="0"/>
              <w:rPr>
                <w:sz w:val="9"/>
                <w:szCs w:val="9"/>
                <w:color w:val="auto"/>
              </w:rPr>
            </w:pPr>
          </w:p>
        </w:tc>
        <w:tc>
          <w:tcPr>
            <w:tcW w:w="1140" w:type="dxa"/>
            <w:vAlign w:val="bottom"/>
            <w:tcBorders>
              <w:bottom w:val="single" w:sz="8" w:color="CCEEFF"/>
            </w:tcBorders>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220" w:type="dxa"/>
            <w:vAlign w:val="bottom"/>
            <w:tcBorders>
              <w:bottom w:val="single" w:sz="8" w:color="CCEEFF"/>
            </w:tcBorders>
            <w:shd w:val="clear" w:color="auto" w:fill="CCEEFF"/>
          </w:tcPr>
          <w:p>
            <w:pPr>
              <w:spacing w:after="0"/>
              <w:rPr>
                <w:sz w:val="9"/>
                <w:szCs w:val="9"/>
                <w:color w:val="auto"/>
              </w:rPr>
            </w:pPr>
          </w:p>
        </w:tc>
        <w:tc>
          <w:tcPr>
            <w:tcW w:w="1140" w:type="dxa"/>
            <w:vAlign w:val="bottom"/>
            <w:tcBorders>
              <w:bottom w:val="single" w:sz="8" w:color="CCEEFF"/>
            </w:tcBorders>
            <w:shd w:val="clear" w:color="auto" w:fill="CCEEFF"/>
          </w:tcPr>
          <w:p>
            <w:pPr>
              <w:spacing w:after="0"/>
              <w:rPr>
                <w:sz w:val="9"/>
                <w:szCs w:val="9"/>
                <w:color w:val="auto"/>
              </w:rPr>
            </w:pPr>
          </w:p>
        </w:tc>
      </w:tr>
      <w:tr>
        <w:trPr>
          <w:trHeight w:val="142"/>
        </w:trPr>
        <w:tc>
          <w:tcPr>
            <w:tcW w:w="8480" w:type="dxa"/>
            <w:vAlign w:val="bottom"/>
            <w:gridSpan w:val="5"/>
          </w:tcPr>
          <w:p>
            <w:pPr>
              <w:spacing w:after="0"/>
              <w:rPr>
                <w:sz w:val="20"/>
                <w:szCs w:val="20"/>
                <w:color w:val="auto"/>
              </w:rPr>
            </w:pPr>
            <w:r>
              <w:rPr>
                <w:rFonts w:ascii="Arial" w:cs="Arial" w:eastAsia="Arial" w:hAnsi="Arial"/>
                <w:sz w:val="11"/>
                <w:szCs w:val="11"/>
                <w:color w:val="auto"/>
              </w:rPr>
              <w:t>Current liabilities:</w:t>
            </w: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146"/>
        </w:trPr>
        <w:tc>
          <w:tcPr>
            <w:tcW w:w="8480" w:type="dxa"/>
            <w:vAlign w:val="bottom"/>
            <w:gridSpan w:val="5"/>
            <w:shd w:val="clear" w:color="auto" w:fill="CCEEFF"/>
          </w:tcPr>
          <w:p>
            <w:pPr>
              <w:ind w:left="220"/>
              <w:spacing w:after="0"/>
              <w:rPr>
                <w:sz w:val="20"/>
                <w:szCs w:val="20"/>
                <w:color w:val="auto"/>
              </w:rPr>
            </w:pPr>
            <w:r>
              <w:rPr>
                <w:rFonts w:ascii="Arial" w:cs="Arial" w:eastAsia="Arial" w:hAnsi="Arial"/>
                <w:sz w:val="11"/>
                <w:szCs w:val="11"/>
                <w:color w:val="auto"/>
              </w:rPr>
              <w:t>Accounts payable</w:t>
            </w:r>
          </w:p>
        </w:tc>
        <w:tc>
          <w:tcPr>
            <w:tcW w:w="22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w w:val="97"/>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72,234</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62,547</w:t>
            </w:r>
          </w:p>
        </w:tc>
      </w:tr>
      <w:tr>
        <w:trPr>
          <w:trHeight w:val="142"/>
        </w:trPr>
        <w:tc>
          <w:tcPr>
            <w:tcW w:w="8480" w:type="dxa"/>
            <w:vAlign w:val="bottom"/>
            <w:gridSpan w:val="5"/>
          </w:tcPr>
          <w:p>
            <w:pPr>
              <w:ind w:left="220"/>
              <w:spacing w:after="0"/>
              <w:rPr>
                <w:sz w:val="20"/>
                <w:szCs w:val="20"/>
                <w:color w:val="auto"/>
              </w:rPr>
            </w:pPr>
            <w:r>
              <w:rPr>
                <w:rFonts w:ascii="Arial" w:cs="Arial" w:eastAsia="Arial" w:hAnsi="Arial"/>
                <w:sz w:val="11"/>
                <w:szCs w:val="11"/>
                <w:color w:val="auto"/>
              </w:rPr>
              <w:t>Accrued compensation and benefits</w:t>
            </w:r>
          </w:p>
        </w:tc>
        <w:tc>
          <w:tcPr>
            <w:tcW w:w="22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69,621</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41,546</w:t>
            </w:r>
          </w:p>
        </w:tc>
      </w:tr>
      <w:tr>
        <w:trPr>
          <w:trHeight w:val="146"/>
        </w:trPr>
        <w:tc>
          <w:tcPr>
            <w:tcW w:w="8480" w:type="dxa"/>
            <w:vAlign w:val="bottom"/>
            <w:gridSpan w:val="5"/>
            <w:shd w:val="clear" w:color="auto" w:fill="CCEEFF"/>
          </w:tcPr>
          <w:p>
            <w:pPr>
              <w:ind w:left="220"/>
              <w:spacing w:after="0"/>
              <w:rPr>
                <w:sz w:val="20"/>
                <w:szCs w:val="20"/>
                <w:color w:val="auto"/>
              </w:rPr>
            </w:pPr>
            <w:r>
              <w:rPr>
                <w:rFonts w:ascii="Arial" w:cs="Arial" w:eastAsia="Arial" w:hAnsi="Arial"/>
                <w:sz w:val="11"/>
                <w:szCs w:val="11"/>
                <w:color w:val="auto"/>
              </w:rPr>
              <w:t>Taxes, other than income taxes</w:t>
            </w: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9,207</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8,057</w:t>
            </w:r>
          </w:p>
        </w:tc>
      </w:tr>
      <w:tr>
        <w:trPr>
          <w:trHeight w:val="142"/>
        </w:trPr>
        <w:tc>
          <w:tcPr>
            <w:tcW w:w="8480" w:type="dxa"/>
            <w:vAlign w:val="bottom"/>
            <w:gridSpan w:val="5"/>
          </w:tcPr>
          <w:p>
            <w:pPr>
              <w:ind w:left="220"/>
              <w:spacing w:after="0"/>
              <w:rPr>
                <w:sz w:val="20"/>
                <w:szCs w:val="20"/>
                <w:color w:val="auto"/>
              </w:rPr>
            </w:pPr>
            <w:r>
              <w:rPr>
                <w:rFonts w:ascii="Arial" w:cs="Arial" w:eastAsia="Arial" w:hAnsi="Arial"/>
                <w:sz w:val="11"/>
                <w:szCs w:val="11"/>
                <w:color w:val="auto"/>
              </w:rPr>
              <w:t>Accrued income taxes</w:t>
            </w:r>
          </w:p>
        </w:tc>
        <w:tc>
          <w:tcPr>
            <w:tcW w:w="22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2,711</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8,652</w:t>
            </w:r>
          </w:p>
        </w:tc>
      </w:tr>
      <w:tr>
        <w:trPr>
          <w:trHeight w:val="146"/>
        </w:trPr>
        <w:tc>
          <w:tcPr>
            <w:tcW w:w="8480" w:type="dxa"/>
            <w:vAlign w:val="bottom"/>
            <w:gridSpan w:val="5"/>
            <w:shd w:val="clear" w:color="auto" w:fill="CCEEFF"/>
          </w:tcPr>
          <w:p>
            <w:pPr>
              <w:ind w:left="220"/>
              <w:spacing w:after="0"/>
              <w:rPr>
                <w:sz w:val="20"/>
                <w:szCs w:val="20"/>
                <w:color w:val="auto"/>
              </w:rPr>
            </w:pPr>
            <w:r>
              <w:rPr>
                <w:rFonts w:ascii="Arial" w:cs="Arial" w:eastAsia="Arial" w:hAnsi="Arial"/>
                <w:sz w:val="11"/>
                <w:szCs w:val="11"/>
                <w:color w:val="auto"/>
              </w:rPr>
              <w:t>Current operating lease liabilities</w:t>
            </w: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16,197</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15,304</w:t>
            </w:r>
          </w:p>
        </w:tc>
      </w:tr>
      <w:tr>
        <w:trPr>
          <w:trHeight w:val="142"/>
        </w:trPr>
        <w:tc>
          <w:tcPr>
            <w:tcW w:w="8480" w:type="dxa"/>
            <w:vAlign w:val="bottom"/>
            <w:tcBorders>
              <w:bottom w:val="single" w:sz="8" w:color="CCEEFF"/>
            </w:tcBorders>
            <w:gridSpan w:val="5"/>
          </w:tcPr>
          <w:p>
            <w:pPr>
              <w:ind w:left="220"/>
              <w:spacing w:after="0"/>
              <w:rPr>
                <w:sz w:val="20"/>
                <w:szCs w:val="20"/>
                <w:color w:val="auto"/>
              </w:rPr>
            </w:pPr>
            <w:r>
              <w:rPr>
                <w:rFonts w:ascii="Arial" w:cs="Arial" w:eastAsia="Arial" w:hAnsi="Arial"/>
                <w:sz w:val="11"/>
                <w:szCs w:val="11"/>
                <w:color w:val="auto"/>
              </w:rPr>
              <w:t>Other current liabilities</w:t>
            </w:r>
          </w:p>
        </w:tc>
        <w:tc>
          <w:tcPr>
            <w:tcW w:w="22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51,145</w:t>
            </w:r>
          </w:p>
        </w:tc>
        <w:tc>
          <w:tcPr>
            <w:tcW w:w="10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49,782</w:t>
            </w:r>
          </w:p>
        </w:tc>
      </w:tr>
      <w:tr>
        <w:trPr>
          <w:trHeight w:val="135"/>
        </w:trPr>
        <w:tc>
          <w:tcPr>
            <w:tcW w:w="8480" w:type="dxa"/>
            <w:vAlign w:val="bottom"/>
            <w:gridSpan w:val="5"/>
            <w:shd w:val="clear" w:color="auto" w:fill="CCEEFF"/>
          </w:tcPr>
          <w:p>
            <w:pPr>
              <w:ind w:left="360"/>
              <w:spacing w:after="0"/>
              <w:rPr>
                <w:sz w:val="20"/>
                <w:szCs w:val="20"/>
                <w:color w:val="auto"/>
              </w:rPr>
            </w:pPr>
            <w:r>
              <w:rPr>
                <w:rFonts w:ascii="Arial" w:cs="Arial" w:eastAsia="Arial" w:hAnsi="Arial"/>
                <w:sz w:val="11"/>
                <w:szCs w:val="11"/>
                <w:color w:val="auto"/>
              </w:rPr>
              <w:t>Total current liabilities</w:t>
            </w:r>
          </w:p>
        </w:tc>
        <w:tc>
          <w:tcPr>
            <w:tcW w:w="220" w:type="dxa"/>
            <w:vAlign w:val="bottom"/>
            <w:shd w:val="clear" w:color="auto" w:fill="CCEEFF"/>
          </w:tcPr>
          <w:p>
            <w:pPr>
              <w:spacing w:after="0"/>
              <w:rPr>
                <w:sz w:val="11"/>
                <w:szCs w:val="1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221,115</w:t>
            </w: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185,888</w:t>
            </w:r>
          </w:p>
        </w:tc>
      </w:tr>
      <w:tr>
        <w:trPr>
          <w:trHeight w:val="142"/>
        </w:trPr>
        <w:tc>
          <w:tcPr>
            <w:tcW w:w="8480" w:type="dxa"/>
            <w:vAlign w:val="bottom"/>
            <w:gridSpan w:val="5"/>
          </w:tcPr>
          <w:p>
            <w:pPr>
              <w:spacing w:after="0"/>
              <w:rPr>
                <w:sz w:val="20"/>
                <w:szCs w:val="20"/>
                <w:color w:val="auto"/>
              </w:rPr>
            </w:pPr>
            <w:r>
              <w:rPr>
                <w:rFonts w:ascii="Arial" w:cs="Arial" w:eastAsia="Arial" w:hAnsi="Arial"/>
                <w:sz w:val="11"/>
                <w:szCs w:val="11"/>
                <w:color w:val="auto"/>
              </w:rPr>
              <w:t>Long-term operating lease liabilities</w:t>
            </w:r>
          </w:p>
        </w:tc>
        <w:tc>
          <w:tcPr>
            <w:tcW w:w="22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25,841</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31,982</w:t>
            </w:r>
          </w:p>
        </w:tc>
      </w:tr>
      <w:tr>
        <w:trPr>
          <w:trHeight w:val="146"/>
        </w:trPr>
        <w:tc>
          <w:tcPr>
            <w:tcW w:w="8480" w:type="dxa"/>
            <w:vAlign w:val="bottom"/>
            <w:gridSpan w:val="5"/>
            <w:shd w:val="clear" w:color="auto" w:fill="CCEEFF"/>
          </w:tcPr>
          <w:p>
            <w:pPr>
              <w:spacing w:after="0"/>
              <w:rPr>
                <w:sz w:val="20"/>
                <w:szCs w:val="20"/>
                <w:color w:val="auto"/>
              </w:rPr>
            </w:pPr>
            <w:r>
              <w:rPr>
                <w:rFonts w:ascii="Arial" w:cs="Arial" w:eastAsia="Arial" w:hAnsi="Arial"/>
                <w:sz w:val="11"/>
                <w:szCs w:val="11"/>
                <w:color w:val="auto"/>
              </w:rPr>
              <w:t>Other liabilities</w:t>
            </w:r>
          </w:p>
        </w:tc>
        <w:tc>
          <w:tcPr>
            <w:tcW w:w="220" w:type="dxa"/>
            <w:vAlign w:val="bottom"/>
            <w:tcBorders>
              <w:bottom w:val="single" w:sz="8" w:color="auto"/>
            </w:tcBorders>
            <w:shd w:val="clear" w:color="auto" w:fill="CCEEFF"/>
          </w:tcPr>
          <w:p>
            <w:pPr>
              <w:spacing w:after="0"/>
              <w:rPr>
                <w:sz w:val="12"/>
                <w:szCs w:val="1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61,595</w:t>
            </w:r>
          </w:p>
        </w:tc>
        <w:tc>
          <w:tcPr>
            <w:tcW w:w="10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61,524</w:t>
            </w:r>
          </w:p>
        </w:tc>
      </w:tr>
      <w:tr>
        <w:trPr>
          <w:trHeight w:val="131"/>
        </w:trPr>
        <w:tc>
          <w:tcPr>
            <w:tcW w:w="8480" w:type="dxa"/>
            <w:vAlign w:val="bottom"/>
            <w:gridSpan w:val="5"/>
          </w:tcPr>
          <w:p>
            <w:pPr>
              <w:ind w:left="360"/>
              <w:spacing w:after="0"/>
              <w:rPr>
                <w:sz w:val="20"/>
                <w:szCs w:val="20"/>
                <w:color w:val="auto"/>
              </w:rPr>
            </w:pPr>
            <w:r>
              <w:rPr>
                <w:rFonts w:ascii="Arial" w:cs="Arial" w:eastAsia="Arial" w:hAnsi="Arial"/>
                <w:sz w:val="11"/>
                <w:szCs w:val="11"/>
                <w:color w:val="auto"/>
              </w:rPr>
              <w:t>Total liabilities</w:t>
            </w:r>
          </w:p>
        </w:tc>
        <w:tc>
          <w:tcPr>
            <w:tcW w:w="220" w:type="dxa"/>
            <w:vAlign w:val="bottom"/>
          </w:tcPr>
          <w:p>
            <w:pPr>
              <w:spacing w:after="0"/>
              <w:rPr>
                <w:sz w:val="11"/>
                <w:szCs w:val="11"/>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308,551</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279,394</w:t>
            </w:r>
          </w:p>
        </w:tc>
      </w:tr>
      <w:tr>
        <w:trPr>
          <w:trHeight w:val="146"/>
        </w:trPr>
        <w:tc>
          <w:tcPr>
            <w:tcW w:w="8480" w:type="dxa"/>
            <w:vAlign w:val="bottom"/>
            <w:gridSpan w:val="5"/>
            <w:shd w:val="clear" w:color="auto" w:fill="CCEEFF"/>
          </w:tcPr>
          <w:p>
            <w:pPr>
              <w:spacing w:after="0"/>
              <w:rPr>
                <w:sz w:val="20"/>
                <w:szCs w:val="20"/>
                <w:color w:val="auto"/>
              </w:rPr>
            </w:pPr>
            <w:r>
              <w:rPr>
                <w:rFonts w:ascii="Arial" w:cs="Arial" w:eastAsia="Arial" w:hAnsi="Arial"/>
                <w:sz w:val="11"/>
                <w:szCs w:val="11"/>
                <w:color w:val="auto"/>
              </w:rPr>
              <w:t>Stockholders’ equity:</w:t>
            </w: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r>
      <w:tr>
        <w:trPr>
          <w:trHeight w:val="142"/>
        </w:trPr>
        <w:tc>
          <w:tcPr>
            <w:tcW w:w="8480" w:type="dxa"/>
            <w:vAlign w:val="bottom"/>
            <w:gridSpan w:val="5"/>
          </w:tcPr>
          <w:p>
            <w:pPr>
              <w:ind w:left="220"/>
              <w:spacing w:after="0"/>
              <w:rPr>
                <w:sz w:val="20"/>
                <w:szCs w:val="20"/>
                <w:color w:val="auto"/>
              </w:rPr>
            </w:pPr>
            <w:r>
              <w:rPr>
                <w:rFonts w:ascii="Arial" w:cs="Arial" w:eastAsia="Arial" w:hAnsi="Arial"/>
                <w:sz w:val="11"/>
                <w:szCs w:val="11"/>
                <w:color w:val="auto"/>
              </w:rPr>
              <w:t>Common stock:</w:t>
            </w: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146"/>
        </w:trPr>
        <w:tc>
          <w:tcPr>
            <w:tcW w:w="8480" w:type="dxa"/>
            <w:vAlign w:val="bottom"/>
            <w:gridSpan w:val="5"/>
            <w:shd w:val="clear" w:color="auto" w:fill="CCEEFF"/>
          </w:tcPr>
          <w:p>
            <w:pPr>
              <w:ind w:left="360"/>
              <w:spacing w:after="0"/>
              <w:rPr>
                <w:sz w:val="20"/>
                <w:szCs w:val="20"/>
                <w:color w:val="auto"/>
              </w:rPr>
            </w:pPr>
            <w:r>
              <w:rPr>
                <w:rFonts w:ascii="Arial" w:cs="Arial" w:eastAsia="Arial" w:hAnsi="Arial"/>
                <w:sz w:val="11"/>
                <w:szCs w:val="11"/>
                <w:color w:val="auto"/>
              </w:rPr>
              <w:t>Class A nonvoting common stock—Issued 51,261,487 shares, and outstanding 48,524,455 and 48,456,954 shares, respectively</w:t>
            </w: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513</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513</w:t>
            </w:r>
          </w:p>
        </w:tc>
      </w:tr>
      <w:tr>
        <w:trPr>
          <w:trHeight w:val="142"/>
        </w:trPr>
        <w:tc>
          <w:tcPr>
            <w:tcW w:w="8480" w:type="dxa"/>
            <w:vAlign w:val="bottom"/>
            <w:gridSpan w:val="5"/>
          </w:tcPr>
          <w:p>
            <w:pPr>
              <w:ind w:left="360"/>
              <w:spacing w:after="0"/>
              <w:rPr>
                <w:sz w:val="20"/>
                <w:szCs w:val="20"/>
                <w:color w:val="auto"/>
              </w:rPr>
            </w:pPr>
            <w:r>
              <w:rPr>
                <w:rFonts w:ascii="Arial" w:cs="Arial" w:eastAsia="Arial" w:hAnsi="Arial"/>
                <w:sz w:val="11"/>
                <w:szCs w:val="11"/>
                <w:color w:val="auto"/>
              </w:rPr>
              <w:t>Class B voting common stock—Issued and outstanding, 3,538,628 shares</w:t>
            </w:r>
          </w:p>
        </w:tc>
        <w:tc>
          <w:tcPr>
            <w:tcW w:w="22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35</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35</w:t>
            </w:r>
          </w:p>
        </w:tc>
      </w:tr>
      <w:tr>
        <w:trPr>
          <w:trHeight w:val="146"/>
        </w:trPr>
        <w:tc>
          <w:tcPr>
            <w:tcW w:w="8480" w:type="dxa"/>
            <w:vAlign w:val="bottom"/>
            <w:gridSpan w:val="5"/>
            <w:shd w:val="clear" w:color="auto" w:fill="CCEEFF"/>
          </w:tcPr>
          <w:p>
            <w:pPr>
              <w:ind w:left="220"/>
              <w:spacing w:after="0"/>
              <w:rPr>
                <w:sz w:val="20"/>
                <w:szCs w:val="20"/>
                <w:color w:val="auto"/>
              </w:rPr>
            </w:pPr>
            <w:r>
              <w:rPr>
                <w:rFonts w:ascii="Arial" w:cs="Arial" w:eastAsia="Arial" w:hAnsi="Arial"/>
                <w:sz w:val="11"/>
                <w:szCs w:val="11"/>
                <w:color w:val="auto"/>
              </w:rPr>
              <w:t>Additional paid-in capital</w:t>
            </w: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336,957</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331,761</w:t>
            </w:r>
          </w:p>
        </w:tc>
      </w:tr>
      <w:tr>
        <w:trPr>
          <w:trHeight w:val="142"/>
        </w:trPr>
        <w:tc>
          <w:tcPr>
            <w:tcW w:w="8480" w:type="dxa"/>
            <w:vAlign w:val="bottom"/>
            <w:gridSpan w:val="5"/>
          </w:tcPr>
          <w:p>
            <w:pPr>
              <w:ind w:left="220"/>
              <w:spacing w:after="0"/>
              <w:rPr>
                <w:sz w:val="20"/>
                <w:szCs w:val="20"/>
                <w:color w:val="auto"/>
              </w:rPr>
            </w:pPr>
            <w:r>
              <w:rPr>
                <w:rFonts w:ascii="Arial" w:cs="Arial" w:eastAsia="Arial" w:hAnsi="Arial"/>
                <w:sz w:val="11"/>
                <w:szCs w:val="11"/>
                <w:color w:val="auto"/>
              </w:rPr>
              <w:t>Retained earnings</w:t>
            </w:r>
          </w:p>
        </w:tc>
        <w:tc>
          <w:tcPr>
            <w:tcW w:w="22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771,797</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704,456</w:t>
            </w:r>
          </w:p>
        </w:tc>
      </w:tr>
      <w:tr>
        <w:trPr>
          <w:trHeight w:val="146"/>
        </w:trPr>
        <w:tc>
          <w:tcPr>
            <w:tcW w:w="8480" w:type="dxa"/>
            <w:vAlign w:val="bottom"/>
            <w:gridSpan w:val="5"/>
            <w:shd w:val="clear" w:color="auto" w:fill="CCEEFF"/>
          </w:tcPr>
          <w:p>
            <w:pPr>
              <w:ind w:left="220"/>
              <w:spacing w:after="0"/>
              <w:rPr>
                <w:sz w:val="20"/>
                <w:szCs w:val="20"/>
                <w:color w:val="auto"/>
              </w:rPr>
            </w:pPr>
            <w:r>
              <w:rPr>
                <w:rFonts w:ascii="Arial" w:cs="Arial" w:eastAsia="Arial" w:hAnsi="Arial"/>
                <w:sz w:val="11"/>
                <w:szCs w:val="11"/>
                <w:color w:val="auto"/>
              </w:rPr>
              <w:t>Treasury stock—2,774,729 and 2,804,533 shares, respectively of Class A nonvoting common stock, at cost</w:t>
            </w: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(109,128)</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(107,216)</w:t>
            </w:r>
          </w:p>
        </w:tc>
      </w:tr>
      <w:tr>
        <w:trPr>
          <w:trHeight w:val="142"/>
        </w:trPr>
        <w:tc>
          <w:tcPr>
            <w:tcW w:w="8480" w:type="dxa"/>
            <w:vAlign w:val="bottom"/>
            <w:tcBorders>
              <w:bottom w:val="single" w:sz="8" w:color="CCEEFF"/>
            </w:tcBorders>
            <w:gridSpan w:val="5"/>
          </w:tcPr>
          <w:p>
            <w:pPr>
              <w:ind w:left="220"/>
              <w:spacing w:after="0"/>
              <w:rPr>
                <w:sz w:val="20"/>
                <w:szCs w:val="20"/>
                <w:color w:val="auto"/>
              </w:rPr>
            </w:pPr>
            <w:r>
              <w:rPr>
                <w:rFonts w:ascii="Arial" w:cs="Arial" w:eastAsia="Arial" w:hAnsi="Arial"/>
                <w:sz w:val="11"/>
                <w:szCs w:val="11"/>
                <w:color w:val="auto"/>
              </w:rPr>
              <w:t>Accumulated other comprehensive loss</w:t>
            </w:r>
          </w:p>
        </w:tc>
        <w:tc>
          <w:tcPr>
            <w:tcW w:w="22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(48,548)</w:t>
            </w:r>
          </w:p>
        </w:tc>
        <w:tc>
          <w:tcPr>
            <w:tcW w:w="10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(66,477)</w:t>
            </w:r>
          </w:p>
        </w:tc>
      </w:tr>
      <w:tr>
        <w:trPr>
          <w:trHeight w:val="133"/>
        </w:trPr>
        <w:tc>
          <w:tcPr>
            <w:tcW w:w="8480" w:type="dxa"/>
            <w:vAlign w:val="bottom"/>
            <w:gridSpan w:val="5"/>
            <w:shd w:val="clear" w:color="auto" w:fill="CCEEFF"/>
          </w:tcPr>
          <w:p>
            <w:pPr>
              <w:ind w:left="360"/>
              <w:spacing w:after="0"/>
              <w:rPr>
                <w:sz w:val="20"/>
                <w:szCs w:val="20"/>
                <w:color w:val="auto"/>
              </w:rPr>
            </w:pPr>
            <w:r>
              <w:rPr>
                <w:rFonts w:ascii="Arial" w:cs="Arial" w:eastAsia="Arial" w:hAnsi="Arial"/>
                <w:sz w:val="11"/>
                <w:szCs w:val="11"/>
                <w:color w:val="auto"/>
              </w:rPr>
              <w:t>Total stockholders’ equity</w:t>
            </w:r>
          </w:p>
        </w:tc>
        <w:tc>
          <w:tcPr>
            <w:tcW w:w="220" w:type="dxa"/>
            <w:vAlign w:val="bottom"/>
            <w:tcBorders>
              <w:bottom w:val="single" w:sz="8" w:color="auto"/>
            </w:tcBorders>
            <w:shd w:val="clear" w:color="auto" w:fill="CCEEFF"/>
          </w:tcPr>
          <w:p>
            <w:pPr>
              <w:spacing w:after="0"/>
              <w:rPr>
                <w:sz w:val="11"/>
                <w:szCs w:val="1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951,626</w:t>
            </w:r>
          </w:p>
        </w:tc>
        <w:tc>
          <w:tcPr>
            <w:tcW w:w="100" w:type="dxa"/>
            <w:vAlign w:val="bottom"/>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spacing w:after="0"/>
              <w:rPr>
                <w:sz w:val="11"/>
                <w:szCs w:val="1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863,072</w:t>
            </w:r>
          </w:p>
        </w:tc>
      </w:tr>
      <w:tr>
        <w:trPr>
          <w:trHeight w:val="135"/>
        </w:trPr>
        <w:tc>
          <w:tcPr>
            <w:tcW w:w="8480" w:type="dxa"/>
            <w:vAlign w:val="bottom"/>
            <w:gridSpan w:val="5"/>
          </w:tcPr>
          <w:p>
            <w:pPr>
              <w:spacing w:after="0"/>
              <w:rPr>
                <w:sz w:val="20"/>
                <w:szCs w:val="20"/>
                <w:color w:val="auto"/>
              </w:rPr>
            </w:pPr>
            <w:r>
              <w:rPr>
                <w:rFonts w:ascii="Arial" w:cs="Arial" w:eastAsia="Arial" w:hAnsi="Arial"/>
                <w:sz w:val="11"/>
                <w:szCs w:val="11"/>
                <w:color w:val="auto"/>
              </w:rPr>
              <w:t>Total</w:t>
            </w:r>
          </w:p>
        </w:tc>
        <w:tc>
          <w:tcPr>
            <w:tcW w:w="22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w w:val="97"/>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1,260,177</w:t>
            </w:r>
          </w:p>
        </w:tc>
        <w:tc>
          <w:tcPr>
            <w:tcW w:w="100" w:type="dxa"/>
            <w:vAlign w:val="bottom"/>
          </w:tcPr>
          <w:p>
            <w:pPr>
              <w:spacing w:after="0"/>
              <w:rPr>
                <w:sz w:val="11"/>
                <w:szCs w:val="11"/>
                <w:color w:val="auto"/>
              </w:rPr>
            </w:pPr>
          </w:p>
        </w:tc>
        <w:tc>
          <w:tcPr>
            <w:tcW w:w="220" w:type="dxa"/>
            <w:vAlign w:val="bottom"/>
            <w:tcBorders>
              <w:bottom w:val="single" w:sz="8" w:color="auto"/>
            </w:tcBorders>
          </w:tcPr>
          <w:p>
            <w:pPr>
              <w:jc w:val="right"/>
              <w:ind w:right="111"/>
              <w:spacing w:after="0"/>
              <w:rPr>
                <w:sz w:val="20"/>
                <w:szCs w:val="20"/>
                <w:color w:val="auto"/>
              </w:rPr>
            </w:pPr>
            <w:r>
              <w:rPr>
                <w:rFonts w:ascii="Arial" w:cs="Arial" w:eastAsia="Arial" w:hAnsi="Arial"/>
                <w:sz w:val="10"/>
                <w:szCs w:val="10"/>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1,142,466</w:t>
            </w:r>
          </w:p>
        </w:tc>
      </w:tr>
      <w:tr>
        <w:trPr>
          <w:trHeight w:val="20"/>
        </w:trPr>
        <w:tc>
          <w:tcPr>
            <w:tcW w:w="3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300"/>
          </w:cols>
          <w:pgMar w:left="300" w:top="562" w:right="299" w:bottom="1440" w:gutter="0" w:footer="0" w:header="0"/>
        </w:sectPr>
      </w:pPr>
    </w:p>
    <w:bookmarkStart w:id="8" w:name="page9"/>
    <w:bookmarkEnd w:id="8"/>
    <w:p>
      <w:pPr>
        <w:spacing w:after="0"/>
        <w:rPr>
          <w:sz w:val="20"/>
          <w:szCs w:val="20"/>
          <w:color w:val="auto"/>
        </w:rPr>
      </w:pPr>
      <w:r>
        <w:rPr>
          <w:rFonts w:ascii="Arial" w:cs="Arial" w:eastAsia="Arial" w:hAnsi="Arial"/>
          <w:sz w:val="11"/>
          <w:szCs w:val="11"/>
          <w:b w:val="1"/>
          <w:bCs w:val="1"/>
          <w:color w:val="auto"/>
        </w:rPr>
        <w:t>BRADY CORPORATION AND SUBSIDIARIES</w:t>
      </w:r>
    </w:p>
    <w:p>
      <w:pPr>
        <w:spacing w:after="0" w:line="11"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CONSOLIDATED STATEMENTS OF CASH FLOWS</w:t>
      </w:r>
    </w:p>
    <w:p>
      <w:pPr>
        <w:spacing w:after="0"/>
        <w:rPr>
          <w:sz w:val="20"/>
          <w:szCs w:val="20"/>
          <w:color w:val="auto"/>
        </w:rPr>
      </w:pPr>
      <w:r>
        <w:rPr>
          <w:rFonts w:ascii="Arial" w:cs="Arial" w:eastAsia="Arial" w:hAnsi="Arial"/>
          <w:sz w:val="11"/>
          <w:szCs w:val="11"/>
          <w:b w:val="1"/>
          <w:bCs w:val="1"/>
          <w:color w:val="auto"/>
        </w:rPr>
        <w:t>(Unaudited; Dollars in thousands)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8480" w:type="dxa"/>
            <w:vAlign w:val="bottom"/>
          </w:tcPr>
          <w:p>
            <w:pPr>
              <w:spacing w:after="0"/>
              <w:rPr>
                <w:sz w:val="12"/>
                <w:szCs w:val="12"/>
                <w:color w:val="auto"/>
              </w:rPr>
            </w:pPr>
          </w:p>
        </w:tc>
        <w:tc>
          <w:tcPr>
            <w:tcW w:w="2300" w:type="dxa"/>
            <w:vAlign w:val="bottom"/>
            <w:tcBorders>
              <w:bottom w:val="single" w:sz="8" w:color="auto"/>
            </w:tcBorders>
            <w:gridSpan w:val="4"/>
          </w:tcPr>
          <w:p>
            <w:pPr>
              <w:jc w:val="right"/>
              <w:ind w:right="210"/>
              <w:spacing w:after="0"/>
              <w:rPr>
                <w:sz w:val="20"/>
                <w:szCs w:val="20"/>
                <w:color w:val="auto"/>
              </w:rPr>
            </w:pPr>
            <w:r>
              <w:rPr>
                <w:rFonts w:ascii="Arial" w:cs="Arial" w:eastAsia="Arial" w:hAnsi="Arial"/>
                <w:sz w:val="11"/>
                <w:szCs w:val="11"/>
                <w:color w:val="auto"/>
              </w:rPr>
              <w:t>Nine months ended April 30,</w:t>
            </w:r>
          </w:p>
        </w:tc>
        <w:tc>
          <w:tcPr>
            <w:tcW w:w="520" w:type="dxa"/>
            <w:vAlign w:val="bottom"/>
            <w:tcBorders>
              <w:bottom w:val="single" w:sz="8" w:color="auto"/>
            </w:tcBorders>
          </w:tcPr>
          <w:p>
            <w:pPr>
              <w:spacing w:after="0"/>
              <w:rPr>
                <w:sz w:val="12"/>
                <w:szCs w:val="12"/>
                <w:color w:val="auto"/>
              </w:rPr>
            </w:pPr>
          </w:p>
        </w:tc>
      </w:tr>
      <w:tr>
        <w:trPr>
          <w:trHeight w:val="133"/>
        </w:trPr>
        <w:tc>
          <w:tcPr>
            <w:tcW w:w="8480" w:type="dxa"/>
            <w:vAlign w:val="bottom"/>
            <w:tcBorders>
              <w:bottom w:val="single" w:sz="8" w:color="CCEEFF"/>
            </w:tcBorders>
          </w:tcPr>
          <w:p>
            <w:pPr>
              <w:spacing w:after="0"/>
              <w:rPr>
                <w:sz w:val="11"/>
                <w:szCs w:val="11"/>
                <w:color w:val="auto"/>
              </w:rPr>
            </w:pPr>
          </w:p>
        </w:tc>
        <w:tc>
          <w:tcPr>
            <w:tcW w:w="88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color w:val="auto"/>
              </w:rPr>
              <w:t>2021</w:t>
            </w:r>
          </w:p>
        </w:tc>
        <w:tc>
          <w:tcPr>
            <w:tcW w:w="48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1"/>
                <w:szCs w:val="11"/>
                <w:color w:val="auto"/>
              </w:rPr>
              <w:t>2020</w:t>
            </w:r>
          </w:p>
        </w:tc>
        <w:tc>
          <w:tcPr>
            <w:tcW w:w="520" w:type="dxa"/>
            <w:vAlign w:val="bottom"/>
            <w:tcBorders>
              <w:bottom w:val="single" w:sz="8" w:color="auto"/>
            </w:tcBorders>
          </w:tcPr>
          <w:p>
            <w:pPr>
              <w:spacing w:after="0"/>
              <w:rPr>
                <w:sz w:val="11"/>
                <w:szCs w:val="11"/>
                <w:color w:val="auto"/>
              </w:rPr>
            </w:pPr>
          </w:p>
        </w:tc>
      </w:tr>
      <w:tr>
        <w:trPr>
          <w:trHeight w:val="126"/>
        </w:trPr>
        <w:tc>
          <w:tcPr>
            <w:tcW w:w="848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Operating activities:</w:t>
            </w:r>
          </w:p>
        </w:tc>
        <w:tc>
          <w:tcPr>
            <w:tcW w:w="8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r>
      <w:tr>
        <w:trPr>
          <w:trHeight w:val="142"/>
        </w:trPr>
        <w:tc>
          <w:tcPr>
            <w:tcW w:w="8480" w:type="dxa"/>
            <w:vAlign w:val="bottom"/>
          </w:tcPr>
          <w:p>
            <w:pPr>
              <w:ind w:left="220"/>
              <w:spacing w:after="0"/>
              <w:rPr>
                <w:sz w:val="20"/>
                <w:szCs w:val="20"/>
                <w:color w:val="auto"/>
              </w:rPr>
            </w:pPr>
            <w:r>
              <w:rPr>
                <w:rFonts w:ascii="Arial" w:cs="Arial" w:eastAsia="Arial" w:hAnsi="Arial"/>
                <w:sz w:val="11"/>
                <w:szCs w:val="11"/>
                <w:color w:val="auto"/>
              </w:rPr>
              <w:t>Net income</w:t>
            </w:r>
          </w:p>
        </w:tc>
        <w:tc>
          <w:tcPr>
            <w:tcW w:w="880" w:type="dxa"/>
            <w:vAlign w:val="bottom"/>
          </w:tcPr>
          <w:p>
            <w:pPr>
              <w:jc w:val="right"/>
              <w:ind w:right="746"/>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spacing w:after="0"/>
              <w:rPr>
                <w:sz w:val="20"/>
                <w:szCs w:val="20"/>
                <w:color w:val="auto"/>
              </w:rPr>
            </w:pPr>
            <w:r>
              <w:rPr>
                <w:rFonts w:ascii="Arial" w:cs="Arial" w:eastAsia="Arial" w:hAnsi="Arial"/>
                <w:sz w:val="11"/>
                <w:szCs w:val="11"/>
                <w:color w:val="auto"/>
              </w:rPr>
              <w:t>101,632</w:t>
            </w:r>
          </w:p>
        </w:tc>
        <w:tc>
          <w:tcPr>
            <w:tcW w:w="100" w:type="dxa"/>
            <w:vAlign w:val="bottom"/>
          </w:tcPr>
          <w:p>
            <w:pPr>
              <w:spacing w:after="0"/>
              <w:rPr>
                <w:sz w:val="12"/>
                <w:szCs w:val="12"/>
                <w:color w:val="auto"/>
              </w:rPr>
            </w:pPr>
          </w:p>
        </w:tc>
        <w:tc>
          <w:tcPr>
            <w:tcW w:w="840" w:type="dxa"/>
            <w:vAlign w:val="bottom"/>
          </w:tcPr>
          <w:p>
            <w:pPr>
              <w:jc w:val="right"/>
              <w:ind w:right="730"/>
              <w:spacing w:after="0"/>
              <w:rPr>
                <w:sz w:val="20"/>
                <w:szCs w:val="20"/>
                <w:color w:val="auto"/>
              </w:rPr>
            </w:pPr>
            <w:r>
              <w:rPr>
                <w:rFonts w:ascii="Arial" w:cs="Arial" w:eastAsia="Arial" w:hAnsi="Arial"/>
                <w:sz w:val="10"/>
                <w:szCs w:val="10"/>
                <w:color w:val="auto"/>
                <w:w w:val="71"/>
              </w:rPr>
              <w:t>$</w:t>
            </w:r>
          </w:p>
        </w:tc>
        <w:tc>
          <w:tcPr>
            <w:tcW w:w="520" w:type="dxa"/>
            <w:vAlign w:val="bottom"/>
          </w:tcPr>
          <w:p>
            <w:pPr>
              <w:jc w:val="right"/>
              <w:spacing w:after="0"/>
              <w:rPr>
                <w:sz w:val="20"/>
                <w:szCs w:val="20"/>
                <w:color w:val="auto"/>
              </w:rPr>
            </w:pPr>
            <w:r>
              <w:rPr>
                <w:rFonts w:ascii="Arial" w:cs="Arial" w:eastAsia="Arial" w:hAnsi="Arial"/>
                <w:sz w:val="11"/>
                <w:szCs w:val="11"/>
                <w:color w:val="auto"/>
              </w:rPr>
              <w:t>84,684</w:t>
            </w:r>
          </w:p>
        </w:tc>
      </w:tr>
      <w:tr>
        <w:trPr>
          <w:trHeight w:val="146"/>
        </w:trPr>
        <w:tc>
          <w:tcPr>
            <w:tcW w:w="8480" w:type="dxa"/>
            <w:vAlign w:val="bottom"/>
            <w:shd w:val="clear" w:color="auto" w:fill="CCEEFF"/>
          </w:tcPr>
          <w:p>
            <w:pPr>
              <w:ind w:left="220"/>
              <w:spacing w:after="0"/>
              <w:rPr>
                <w:sz w:val="20"/>
                <w:szCs w:val="20"/>
                <w:color w:val="auto"/>
              </w:rPr>
            </w:pPr>
            <w:r>
              <w:rPr>
                <w:rFonts w:ascii="Arial" w:cs="Arial" w:eastAsia="Arial" w:hAnsi="Arial"/>
                <w:sz w:val="11"/>
                <w:szCs w:val="11"/>
                <w:color w:val="auto"/>
              </w:rPr>
              <w:t>Adjustments to reconcile net income to net cash provided by operating activities:</w:t>
            </w: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r>
      <w:tr>
        <w:trPr>
          <w:trHeight w:val="142"/>
        </w:trPr>
        <w:tc>
          <w:tcPr>
            <w:tcW w:w="8480" w:type="dxa"/>
            <w:vAlign w:val="bottom"/>
          </w:tcPr>
          <w:p>
            <w:pPr>
              <w:ind w:left="440"/>
              <w:spacing w:after="0"/>
              <w:rPr>
                <w:sz w:val="20"/>
                <w:szCs w:val="20"/>
                <w:color w:val="auto"/>
              </w:rPr>
            </w:pPr>
            <w:r>
              <w:rPr>
                <w:rFonts w:ascii="Arial" w:cs="Arial" w:eastAsia="Arial" w:hAnsi="Arial"/>
                <w:sz w:val="11"/>
                <w:szCs w:val="11"/>
                <w:color w:val="auto"/>
              </w:rPr>
              <w:t>Depreciation and amortization</w:t>
            </w:r>
          </w:p>
        </w:tc>
        <w:tc>
          <w:tcPr>
            <w:tcW w:w="8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17,240</w:t>
            </w: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17,731</w:t>
            </w:r>
          </w:p>
        </w:tc>
      </w:tr>
      <w:tr>
        <w:trPr>
          <w:trHeight w:val="146"/>
        </w:trPr>
        <w:tc>
          <w:tcPr>
            <w:tcW w:w="8480" w:type="dxa"/>
            <w:vAlign w:val="bottom"/>
            <w:shd w:val="clear" w:color="auto" w:fill="CCEEFF"/>
          </w:tcPr>
          <w:p>
            <w:pPr>
              <w:ind w:left="440"/>
              <w:spacing w:after="0"/>
              <w:rPr>
                <w:sz w:val="20"/>
                <w:szCs w:val="20"/>
                <w:color w:val="auto"/>
              </w:rPr>
            </w:pPr>
            <w:r>
              <w:rPr>
                <w:rFonts w:ascii="Arial" w:cs="Arial" w:eastAsia="Arial" w:hAnsi="Arial"/>
                <w:sz w:val="11"/>
                <w:szCs w:val="11"/>
                <w:color w:val="auto"/>
              </w:rPr>
              <w:t>Stock-based compensation expense</w:t>
            </w: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8,003</w:t>
            </w: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7,180</w:t>
            </w:r>
          </w:p>
        </w:tc>
      </w:tr>
      <w:tr>
        <w:trPr>
          <w:trHeight w:val="142"/>
        </w:trPr>
        <w:tc>
          <w:tcPr>
            <w:tcW w:w="8480" w:type="dxa"/>
            <w:vAlign w:val="bottom"/>
          </w:tcPr>
          <w:p>
            <w:pPr>
              <w:ind w:left="440"/>
              <w:spacing w:after="0"/>
              <w:rPr>
                <w:sz w:val="20"/>
                <w:szCs w:val="20"/>
                <w:color w:val="auto"/>
              </w:rPr>
            </w:pPr>
            <w:r>
              <w:rPr>
                <w:rFonts w:ascii="Arial" w:cs="Arial" w:eastAsia="Arial" w:hAnsi="Arial"/>
                <w:sz w:val="11"/>
                <w:szCs w:val="11"/>
                <w:color w:val="auto"/>
              </w:rPr>
              <w:t>Deferred income taxes</w:t>
            </w:r>
          </w:p>
        </w:tc>
        <w:tc>
          <w:tcPr>
            <w:tcW w:w="8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(3,957)</w:t>
            </w: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(309)</w:t>
            </w:r>
          </w:p>
        </w:tc>
      </w:tr>
      <w:tr>
        <w:trPr>
          <w:trHeight w:val="146"/>
        </w:trPr>
        <w:tc>
          <w:tcPr>
            <w:tcW w:w="8480" w:type="dxa"/>
            <w:vAlign w:val="bottom"/>
            <w:shd w:val="clear" w:color="auto" w:fill="CCEEFF"/>
          </w:tcPr>
          <w:p>
            <w:pPr>
              <w:ind w:left="440"/>
              <w:spacing w:after="0"/>
              <w:rPr>
                <w:sz w:val="20"/>
                <w:szCs w:val="20"/>
                <w:color w:val="auto"/>
              </w:rPr>
            </w:pPr>
            <w:r>
              <w:rPr>
                <w:rFonts w:ascii="Arial" w:cs="Arial" w:eastAsia="Arial" w:hAnsi="Arial"/>
                <w:sz w:val="11"/>
                <w:szCs w:val="11"/>
                <w:color w:val="auto"/>
              </w:rPr>
              <w:t>Impairment charges</w:t>
            </w:r>
          </w:p>
        </w:tc>
        <w:tc>
          <w:tcPr>
            <w:tcW w:w="8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13,821</w:t>
            </w:r>
          </w:p>
        </w:tc>
      </w:tr>
      <w:tr>
        <w:trPr>
          <w:trHeight w:val="142"/>
        </w:trPr>
        <w:tc>
          <w:tcPr>
            <w:tcW w:w="8480" w:type="dxa"/>
            <w:vAlign w:val="bottom"/>
          </w:tcPr>
          <w:p>
            <w:pPr>
              <w:ind w:left="440"/>
              <w:spacing w:after="0"/>
              <w:rPr>
                <w:sz w:val="20"/>
                <w:szCs w:val="20"/>
                <w:color w:val="auto"/>
              </w:rPr>
            </w:pPr>
            <w:r>
              <w:rPr>
                <w:rFonts w:ascii="Arial" w:cs="Arial" w:eastAsia="Arial" w:hAnsi="Arial"/>
                <w:sz w:val="11"/>
                <w:szCs w:val="11"/>
                <w:color w:val="auto"/>
              </w:rPr>
              <w:t>Equity in losses of unconsolidated affiliate</w:t>
            </w:r>
          </w:p>
        </w:tc>
        <w:tc>
          <w:tcPr>
            <w:tcW w:w="8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760</w:t>
            </w: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46"/>
        </w:trPr>
        <w:tc>
          <w:tcPr>
            <w:tcW w:w="8480" w:type="dxa"/>
            <w:vAlign w:val="bottom"/>
            <w:shd w:val="clear" w:color="auto" w:fill="CCEEFF"/>
          </w:tcPr>
          <w:p>
            <w:pPr>
              <w:ind w:left="440"/>
              <w:spacing w:after="0"/>
              <w:rPr>
                <w:sz w:val="20"/>
                <w:szCs w:val="20"/>
                <w:color w:val="auto"/>
              </w:rPr>
            </w:pPr>
            <w:r>
              <w:rPr>
                <w:rFonts w:ascii="Arial" w:cs="Arial" w:eastAsia="Arial" w:hAnsi="Arial"/>
                <w:sz w:val="11"/>
                <w:szCs w:val="11"/>
                <w:color w:val="auto"/>
              </w:rPr>
              <w:t>Other</w:t>
            </w: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(1,186)</w:t>
            </w: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1,698</w:t>
            </w:r>
          </w:p>
        </w:tc>
      </w:tr>
      <w:tr>
        <w:trPr>
          <w:trHeight w:val="142"/>
        </w:trPr>
        <w:tc>
          <w:tcPr>
            <w:tcW w:w="8480" w:type="dxa"/>
            <w:vAlign w:val="bottom"/>
          </w:tcPr>
          <w:p>
            <w:pPr>
              <w:ind w:left="440"/>
              <w:spacing w:after="0"/>
              <w:rPr>
                <w:sz w:val="20"/>
                <w:szCs w:val="20"/>
                <w:color w:val="auto"/>
              </w:rPr>
            </w:pPr>
            <w:r>
              <w:rPr>
                <w:rFonts w:ascii="Arial" w:cs="Arial" w:eastAsia="Arial" w:hAnsi="Arial"/>
                <w:sz w:val="11"/>
                <w:szCs w:val="11"/>
                <w:color w:val="auto"/>
              </w:rPr>
              <w:t>Changes in operating assets and liabilities:</w:t>
            </w:r>
          </w:p>
        </w:tc>
        <w:tc>
          <w:tcPr>
            <w:tcW w:w="8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20" w:type="dxa"/>
            <w:vAlign w:val="bottom"/>
          </w:tcPr>
          <w:p>
            <w:pPr>
              <w:spacing w:after="0"/>
              <w:rPr>
                <w:sz w:val="12"/>
                <w:szCs w:val="12"/>
                <w:color w:val="auto"/>
              </w:rPr>
            </w:pPr>
          </w:p>
        </w:tc>
      </w:tr>
      <w:tr>
        <w:trPr>
          <w:trHeight w:val="146"/>
        </w:trPr>
        <w:tc>
          <w:tcPr>
            <w:tcW w:w="8480" w:type="dxa"/>
            <w:vAlign w:val="bottom"/>
            <w:shd w:val="clear" w:color="auto" w:fill="CCEEFF"/>
          </w:tcPr>
          <w:p>
            <w:pPr>
              <w:ind w:left="740"/>
              <w:spacing w:after="0"/>
              <w:rPr>
                <w:sz w:val="20"/>
                <w:szCs w:val="20"/>
                <w:color w:val="auto"/>
              </w:rPr>
            </w:pPr>
            <w:r>
              <w:rPr>
                <w:rFonts w:ascii="Arial" w:cs="Arial" w:eastAsia="Arial" w:hAnsi="Arial"/>
                <w:sz w:val="11"/>
                <w:szCs w:val="11"/>
                <w:color w:val="auto"/>
              </w:rPr>
              <w:t>Accounts receivable</w:t>
            </w: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(13,247)</w:t>
            </w: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9,019</w:t>
            </w:r>
          </w:p>
        </w:tc>
      </w:tr>
      <w:tr>
        <w:trPr>
          <w:trHeight w:val="142"/>
        </w:trPr>
        <w:tc>
          <w:tcPr>
            <w:tcW w:w="8480" w:type="dxa"/>
            <w:vAlign w:val="bottom"/>
          </w:tcPr>
          <w:p>
            <w:pPr>
              <w:ind w:left="740"/>
              <w:spacing w:after="0"/>
              <w:rPr>
                <w:sz w:val="20"/>
                <w:szCs w:val="20"/>
                <w:color w:val="auto"/>
              </w:rPr>
            </w:pPr>
            <w:r>
              <w:rPr>
                <w:rFonts w:ascii="Arial" w:cs="Arial" w:eastAsia="Arial" w:hAnsi="Arial"/>
                <w:sz w:val="11"/>
                <w:szCs w:val="11"/>
                <w:color w:val="auto"/>
              </w:rPr>
              <w:t>Inventories</w:t>
            </w:r>
          </w:p>
        </w:tc>
        <w:tc>
          <w:tcPr>
            <w:tcW w:w="8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15,210</w:t>
            </w: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(7,439)</w:t>
            </w:r>
          </w:p>
        </w:tc>
      </w:tr>
      <w:tr>
        <w:trPr>
          <w:trHeight w:val="146"/>
        </w:trPr>
        <w:tc>
          <w:tcPr>
            <w:tcW w:w="8480" w:type="dxa"/>
            <w:vAlign w:val="bottom"/>
            <w:shd w:val="clear" w:color="auto" w:fill="CCEEFF"/>
          </w:tcPr>
          <w:p>
            <w:pPr>
              <w:ind w:left="740"/>
              <w:spacing w:after="0"/>
              <w:rPr>
                <w:sz w:val="20"/>
                <w:szCs w:val="20"/>
                <w:color w:val="auto"/>
              </w:rPr>
            </w:pPr>
            <w:r>
              <w:rPr>
                <w:rFonts w:ascii="Arial" w:cs="Arial" w:eastAsia="Arial" w:hAnsi="Arial"/>
                <w:sz w:val="11"/>
                <w:szCs w:val="11"/>
                <w:color w:val="auto"/>
              </w:rPr>
              <w:t>Prepaid expenses and other assets</w:t>
            </w: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(2,584)</w:t>
            </w: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(5,653)</w:t>
            </w:r>
          </w:p>
        </w:tc>
      </w:tr>
      <w:tr>
        <w:trPr>
          <w:trHeight w:val="142"/>
        </w:trPr>
        <w:tc>
          <w:tcPr>
            <w:tcW w:w="8480" w:type="dxa"/>
            <w:vAlign w:val="bottom"/>
          </w:tcPr>
          <w:p>
            <w:pPr>
              <w:ind w:left="740"/>
              <w:spacing w:after="0"/>
              <w:rPr>
                <w:sz w:val="20"/>
                <w:szCs w:val="20"/>
                <w:color w:val="auto"/>
              </w:rPr>
            </w:pPr>
            <w:r>
              <w:rPr>
                <w:rFonts w:ascii="Arial" w:cs="Arial" w:eastAsia="Arial" w:hAnsi="Arial"/>
                <w:sz w:val="11"/>
                <w:szCs w:val="11"/>
                <w:color w:val="auto"/>
              </w:rPr>
              <w:t>Accounts payable and accrued liabilities</w:t>
            </w:r>
          </w:p>
        </w:tc>
        <w:tc>
          <w:tcPr>
            <w:tcW w:w="8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39,244</w:t>
            </w: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(26,609)</w:t>
            </w:r>
          </w:p>
        </w:tc>
      </w:tr>
      <w:tr>
        <w:trPr>
          <w:trHeight w:val="146"/>
        </w:trPr>
        <w:tc>
          <w:tcPr>
            <w:tcW w:w="8480" w:type="dxa"/>
            <w:vAlign w:val="bottom"/>
            <w:shd w:val="clear" w:color="auto" w:fill="CCEEFF"/>
          </w:tcPr>
          <w:p>
            <w:pPr>
              <w:ind w:left="740"/>
              <w:spacing w:after="0"/>
              <w:rPr>
                <w:sz w:val="20"/>
                <w:szCs w:val="20"/>
                <w:color w:val="auto"/>
              </w:rPr>
            </w:pPr>
            <w:r>
              <w:rPr>
                <w:rFonts w:ascii="Arial" w:cs="Arial" w:eastAsia="Arial" w:hAnsi="Arial"/>
                <w:sz w:val="11"/>
                <w:szCs w:val="11"/>
                <w:color w:val="auto"/>
              </w:rPr>
              <w:t>Income taxes</w:t>
            </w:r>
          </w:p>
        </w:tc>
        <w:tc>
          <w:tcPr>
            <w:tcW w:w="88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(6,207)</w:t>
            </w:r>
          </w:p>
        </w:tc>
        <w:tc>
          <w:tcPr>
            <w:tcW w:w="100" w:type="dxa"/>
            <w:vAlign w:val="bottom"/>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1,790</w:t>
            </w:r>
          </w:p>
        </w:tc>
      </w:tr>
      <w:tr>
        <w:trPr>
          <w:trHeight w:val="131"/>
        </w:trPr>
        <w:tc>
          <w:tcPr>
            <w:tcW w:w="8480" w:type="dxa"/>
            <w:vAlign w:val="bottom"/>
          </w:tcPr>
          <w:p>
            <w:pPr>
              <w:ind w:left="1000"/>
              <w:spacing w:after="0" w:line="120" w:lineRule="exact"/>
              <w:rPr>
                <w:sz w:val="20"/>
                <w:szCs w:val="20"/>
                <w:color w:val="auto"/>
              </w:rPr>
            </w:pPr>
            <w:r>
              <w:rPr>
                <w:rFonts w:ascii="Arial" w:cs="Arial" w:eastAsia="Arial" w:hAnsi="Arial"/>
                <w:sz w:val="11"/>
                <w:szCs w:val="11"/>
                <w:color w:val="auto"/>
              </w:rPr>
              <w:t>Net cash provided by operating activities</w:t>
            </w:r>
          </w:p>
        </w:tc>
        <w:tc>
          <w:tcPr>
            <w:tcW w:w="88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154,908</w:t>
            </w: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95,913</w:t>
            </w:r>
          </w:p>
        </w:tc>
      </w:tr>
      <w:tr>
        <w:trPr>
          <w:trHeight w:val="146"/>
        </w:trPr>
        <w:tc>
          <w:tcPr>
            <w:tcW w:w="84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r>
      <w:tr>
        <w:trPr>
          <w:trHeight w:val="142"/>
        </w:trPr>
        <w:tc>
          <w:tcPr>
            <w:tcW w:w="8480" w:type="dxa"/>
            <w:vAlign w:val="bottom"/>
          </w:tcPr>
          <w:p>
            <w:pPr>
              <w:spacing w:after="0"/>
              <w:rPr>
                <w:sz w:val="20"/>
                <w:szCs w:val="20"/>
                <w:color w:val="auto"/>
              </w:rPr>
            </w:pPr>
            <w:r>
              <w:rPr>
                <w:rFonts w:ascii="Arial" w:cs="Arial" w:eastAsia="Arial" w:hAnsi="Arial"/>
                <w:sz w:val="11"/>
                <w:szCs w:val="11"/>
                <w:color w:val="auto"/>
              </w:rPr>
              <w:t>Investing activities:</w:t>
            </w:r>
          </w:p>
        </w:tc>
        <w:tc>
          <w:tcPr>
            <w:tcW w:w="8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20" w:type="dxa"/>
            <w:vAlign w:val="bottom"/>
          </w:tcPr>
          <w:p>
            <w:pPr>
              <w:spacing w:after="0"/>
              <w:rPr>
                <w:sz w:val="12"/>
                <w:szCs w:val="12"/>
                <w:color w:val="auto"/>
              </w:rPr>
            </w:pPr>
          </w:p>
        </w:tc>
      </w:tr>
      <w:tr>
        <w:trPr>
          <w:trHeight w:val="146"/>
        </w:trPr>
        <w:tc>
          <w:tcPr>
            <w:tcW w:w="8480" w:type="dxa"/>
            <w:vAlign w:val="bottom"/>
            <w:shd w:val="clear" w:color="auto" w:fill="CCEEFF"/>
          </w:tcPr>
          <w:p>
            <w:pPr>
              <w:ind w:left="440"/>
              <w:spacing w:after="0"/>
              <w:rPr>
                <w:sz w:val="20"/>
                <w:szCs w:val="20"/>
                <w:color w:val="auto"/>
              </w:rPr>
            </w:pPr>
            <w:r>
              <w:rPr>
                <w:rFonts w:ascii="Arial" w:cs="Arial" w:eastAsia="Arial" w:hAnsi="Arial"/>
                <w:sz w:val="11"/>
                <w:szCs w:val="11"/>
                <w:color w:val="auto"/>
              </w:rPr>
              <w:t>Purchases of property, plant and equipment</w:t>
            </w: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(21,411)</w:t>
            </w: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(21,616)</w:t>
            </w:r>
          </w:p>
        </w:tc>
      </w:tr>
      <w:tr>
        <w:trPr>
          <w:trHeight w:val="142"/>
        </w:trPr>
        <w:tc>
          <w:tcPr>
            <w:tcW w:w="8480" w:type="dxa"/>
            <w:vAlign w:val="bottom"/>
            <w:tcBorders>
              <w:bottom w:val="single" w:sz="8" w:color="CCEEFF"/>
            </w:tcBorders>
          </w:tcPr>
          <w:p>
            <w:pPr>
              <w:ind w:left="440"/>
              <w:spacing w:after="0"/>
              <w:rPr>
                <w:sz w:val="20"/>
                <w:szCs w:val="20"/>
                <w:color w:val="auto"/>
              </w:rPr>
            </w:pPr>
            <w:r>
              <w:rPr>
                <w:rFonts w:ascii="Arial" w:cs="Arial" w:eastAsia="Arial" w:hAnsi="Arial"/>
                <w:sz w:val="11"/>
                <w:szCs w:val="11"/>
                <w:color w:val="auto"/>
              </w:rPr>
              <w:t>Other</w:t>
            </w:r>
          </w:p>
        </w:tc>
        <w:tc>
          <w:tcPr>
            <w:tcW w:w="8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2,567</w:t>
            </w:r>
          </w:p>
        </w:tc>
        <w:tc>
          <w:tcPr>
            <w:tcW w:w="100" w:type="dxa"/>
            <w:vAlign w:val="bottom"/>
            <w:tcBorders>
              <w:bottom w:val="single" w:sz="8" w:color="CCEEFF"/>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(4,419)</w:t>
            </w:r>
          </w:p>
        </w:tc>
      </w:tr>
      <w:tr>
        <w:trPr>
          <w:trHeight w:val="135"/>
        </w:trPr>
        <w:tc>
          <w:tcPr>
            <w:tcW w:w="8480" w:type="dxa"/>
            <w:vAlign w:val="bottom"/>
            <w:shd w:val="clear" w:color="auto" w:fill="CCEEFF"/>
          </w:tcPr>
          <w:p>
            <w:pPr>
              <w:ind w:left="1000"/>
              <w:spacing w:after="0" w:line="122" w:lineRule="exact"/>
              <w:rPr>
                <w:sz w:val="20"/>
                <w:szCs w:val="20"/>
                <w:color w:val="auto"/>
              </w:rPr>
            </w:pPr>
            <w:r>
              <w:rPr>
                <w:rFonts w:ascii="Arial" w:cs="Arial" w:eastAsia="Arial" w:hAnsi="Arial"/>
                <w:sz w:val="11"/>
                <w:szCs w:val="11"/>
                <w:color w:val="auto"/>
              </w:rPr>
              <w:t>Net cash used in investing activities</w:t>
            </w:r>
          </w:p>
        </w:tc>
        <w:tc>
          <w:tcPr>
            <w:tcW w:w="8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(18,844)</w:t>
            </w: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(26,035)</w:t>
            </w:r>
          </w:p>
        </w:tc>
      </w:tr>
      <w:tr>
        <w:trPr>
          <w:trHeight w:val="144"/>
        </w:trPr>
        <w:tc>
          <w:tcPr>
            <w:tcW w:w="84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20" w:type="dxa"/>
            <w:vAlign w:val="bottom"/>
          </w:tcPr>
          <w:p>
            <w:pPr>
              <w:spacing w:after="0"/>
              <w:rPr>
                <w:sz w:val="12"/>
                <w:szCs w:val="12"/>
                <w:color w:val="auto"/>
              </w:rPr>
            </w:pPr>
          </w:p>
        </w:tc>
      </w:tr>
      <w:tr>
        <w:trPr>
          <w:trHeight w:val="144"/>
        </w:trPr>
        <w:tc>
          <w:tcPr>
            <w:tcW w:w="8480" w:type="dxa"/>
            <w:vAlign w:val="bottom"/>
            <w:shd w:val="clear" w:color="auto" w:fill="CCEEFF"/>
          </w:tcPr>
          <w:p>
            <w:pPr>
              <w:spacing w:after="0"/>
              <w:rPr>
                <w:sz w:val="20"/>
                <w:szCs w:val="20"/>
                <w:color w:val="auto"/>
              </w:rPr>
            </w:pPr>
            <w:r>
              <w:rPr>
                <w:rFonts w:ascii="Arial" w:cs="Arial" w:eastAsia="Arial" w:hAnsi="Arial"/>
                <w:sz w:val="11"/>
                <w:szCs w:val="11"/>
                <w:color w:val="auto"/>
              </w:rPr>
              <w:t>Financing activities:</w:t>
            </w: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r>
      <w:tr>
        <w:trPr>
          <w:trHeight w:val="142"/>
        </w:trPr>
        <w:tc>
          <w:tcPr>
            <w:tcW w:w="8480" w:type="dxa"/>
            <w:vAlign w:val="bottom"/>
          </w:tcPr>
          <w:p>
            <w:pPr>
              <w:ind w:left="440"/>
              <w:spacing w:after="0"/>
              <w:rPr>
                <w:sz w:val="20"/>
                <w:szCs w:val="20"/>
                <w:color w:val="auto"/>
              </w:rPr>
            </w:pPr>
            <w:r>
              <w:rPr>
                <w:rFonts w:ascii="Arial" w:cs="Arial" w:eastAsia="Arial" w:hAnsi="Arial"/>
                <w:sz w:val="11"/>
                <w:szCs w:val="11"/>
                <w:color w:val="auto"/>
              </w:rPr>
              <w:t>Payment of dividends</w:t>
            </w:r>
          </w:p>
        </w:tc>
        <w:tc>
          <w:tcPr>
            <w:tcW w:w="8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(34,290)</w:t>
            </w: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(34,447)</w:t>
            </w:r>
          </w:p>
        </w:tc>
      </w:tr>
      <w:tr>
        <w:trPr>
          <w:trHeight w:val="146"/>
        </w:trPr>
        <w:tc>
          <w:tcPr>
            <w:tcW w:w="8480" w:type="dxa"/>
            <w:vAlign w:val="bottom"/>
            <w:shd w:val="clear" w:color="auto" w:fill="CCEEFF"/>
          </w:tcPr>
          <w:p>
            <w:pPr>
              <w:ind w:left="440"/>
              <w:spacing w:after="0"/>
              <w:rPr>
                <w:sz w:val="20"/>
                <w:szCs w:val="20"/>
                <w:color w:val="auto"/>
              </w:rPr>
            </w:pPr>
            <w:r>
              <w:rPr>
                <w:rFonts w:ascii="Arial" w:cs="Arial" w:eastAsia="Arial" w:hAnsi="Arial"/>
                <w:sz w:val="11"/>
                <w:szCs w:val="11"/>
                <w:color w:val="auto"/>
              </w:rPr>
              <w:t>Proceeds from exercise of stock options</w:t>
            </w: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1,612</w:t>
            </w: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5,212</w:t>
            </w:r>
          </w:p>
        </w:tc>
      </w:tr>
      <w:tr>
        <w:trPr>
          <w:trHeight w:val="142"/>
        </w:trPr>
        <w:tc>
          <w:tcPr>
            <w:tcW w:w="8480" w:type="dxa"/>
            <w:vAlign w:val="bottom"/>
          </w:tcPr>
          <w:p>
            <w:pPr>
              <w:ind w:left="440"/>
              <w:spacing w:after="0"/>
              <w:rPr>
                <w:sz w:val="20"/>
                <w:szCs w:val="20"/>
                <w:color w:val="auto"/>
              </w:rPr>
            </w:pPr>
            <w:r>
              <w:rPr>
                <w:rFonts w:ascii="Arial" w:cs="Arial" w:eastAsia="Arial" w:hAnsi="Arial"/>
                <w:sz w:val="11"/>
                <w:szCs w:val="11"/>
                <w:color w:val="auto"/>
              </w:rPr>
              <w:t>Payments for employee taxes withheld from stock-based awards</w:t>
            </w:r>
          </w:p>
        </w:tc>
        <w:tc>
          <w:tcPr>
            <w:tcW w:w="8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(2,772)</w:t>
            </w: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(7,832)</w:t>
            </w:r>
          </w:p>
        </w:tc>
      </w:tr>
      <w:tr>
        <w:trPr>
          <w:trHeight w:val="146"/>
        </w:trPr>
        <w:tc>
          <w:tcPr>
            <w:tcW w:w="8480" w:type="dxa"/>
            <w:vAlign w:val="bottom"/>
            <w:shd w:val="clear" w:color="auto" w:fill="CCEEFF"/>
          </w:tcPr>
          <w:p>
            <w:pPr>
              <w:ind w:left="440"/>
              <w:spacing w:after="0"/>
              <w:rPr>
                <w:sz w:val="20"/>
                <w:szCs w:val="20"/>
                <w:color w:val="auto"/>
              </w:rPr>
            </w:pPr>
            <w:r>
              <w:rPr>
                <w:rFonts w:ascii="Arial" w:cs="Arial" w:eastAsia="Arial" w:hAnsi="Arial"/>
                <w:sz w:val="11"/>
                <w:szCs w:val="11"/>
                <w:color w:val="auto"/>
              </w:rPr>
              <w:t>Purchase of treasury stock</w:t>
            </w: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(3,593)</w:t>
            </w: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(64,113)</w:t>
            </w:r>
          </w:p>
        </w:tc>
      </w:tr>
      <w:tr>
        <w:trPr>
          <w:trHeight w:val="142"/>
        </w:trPr>
        <w:tc>
          <w:tcPr>
            <w:tcW w:w="8480" w:type="dxa"/>
            <w:vAlign w:val="bottom"/>
            <w:tcBorders>
              <w:bottom w:val="single" w:sz="8" w:color="CCEEFF"/>
            </w:tcBorders>
          </w:tcPr>
          <w:p>
            <w:pPr>
              <w:ind w:left="440"/>
              <w:spacing w:after="0"/>
              <w:rPr>
                <w:sz w:val="20"/>
                <w:szCs w:val="20"/>
                <w:color w:val="auto"/>
              </w:rPr>
            </w:pPr>
            <w:r>
              <w:rPr>
                <w:rFonts w:ascii="Arial" w:cs="Arial" w:eastAsia="Arial" w:hAnsi="Arial"/>
                <w:sz w:val="11"/>
                <w:szCs w:val="11"/>
                <w:color w:val="auto"/>
              </w:rPr>
              <w:t>Other</w:t>
            </w:r>
          </w:p>
        </w:tc>
        <w:tc>
          <w:tcPr>
            <w:tcW w:w="8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(231)</w:t>
            </w:r>
          </w:p>
        </w:tc>
        <w:tc>
          <w:tcPr>
            <w:tcW w:w="100" w:type="dxa"/>
            <w:vAlign w:val="bottom"/>
            <w:tcBorders>
              <w:bottom w:val="single" w:sz="8" w:color="CCEEFF"/>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133</w:t>
            </w:r>
          </w:p>
        </w:tc>
      </w:tr>
      <w:tr>
        <w:trPr>
          <w:trHeight w:val="135"/>
        </w:trPr>
        <w:tc>
          <w:tcPr>
            <w:tcW w:w="8480" w:type="dxa"/>
            <w:vAlign w:val="bottom"/>
            <w:shd w:val="clear" w:color="auto" w:fill="CCEEFF"/>
          </w:tcPr>
          <w:p>
            <w:pPr>
              <w:ind w:left="1000"/>
              <w:spacing w:after="0" w:line="122" w:lineRule="exact"/>
              <w:rPr>
                <w:sz w:val="20"/>
                <w:szCs w:val="20"/>
                <w:color w:val="auto"/>
              </w:rPr>
            </w:pPr>
            <w:r>
              <w:rPr>
                <w:rFonts w:ascii="Arial" w:cs="Arial" w:eastAsia="Arial" w:hAnsi="Arial"/>
                <w:sz w:val="11"/>
                <w:szCs w:val="11"/>
                <w:color w:val="auto"/>
              </w:rPr>
              <w:t>Net cash used in financing activities</w:t>
            </w:r>
          </w:p>
        </w:tc>
        <w:tc>
          <w:tcPr>
            <w:tcW w:w="8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(39,274)</w:t>
            </w: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(101,047)</w:t>
            </w:r>
          </w:p>
        </w:tc>
      </w:tr>
      <w:tr>
        <w:trPr>
          <w:trHeight w:val="144"/>
        </w:trPr>
        <w:tc>
          <w:tcPr>
            <w:tcW w:w="84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20" w:type="dxa"/>
            <w:vAlign w:val="bottom"/>
          </w:tcPr>
          <w:p>
            <w:pPr>
              <w:spacing w:after="0"/>
              <w:rPr>
                <w:sz w:val="12"/>
                <w:szCs w:val="12"/>
                <w:color w:val="auto"/>
              </w:rPr>
            </w:pPr>
          </w:p>
        </w:tc>
      </w:tr>
      <w:tr>
        <w:trPr>
          <w:trHeight w:val="142"/>
        </w:trPr>
        <w:tc>
          <w:tcPr>
            <w:tcW w:w="8480" w:type="dxa"/>
            <w:vAlign w:val="bottom"/>
            <w:shd w:val="clear" w:color="auto" w:fill="CCEEFF"/>
          </w:tcPr>
          <w:p>
            <w:pPr>
              <w:spacing w:after="0"/>
              <w:rPr>
                <w:sz w:val="20"/>
                <w:szCs w:val="20"/>
                <w:color w:val="auto"/>
              </w:rPr>
            </w:pPr>
            <w:r>
              <w:rPr>
                <w:rFonts w:ascii="Arial" w:cs="Arial" w:eastAsia="Arial" w:hAnsi="Arial"/>
                <w:sz w:val="11"/>
                <w:szCs w:val="11"/>
                <w:color w:val="auto"/>
              </w:rPr>
              <w:t>Effect of exchange rate changes on cash</w:t>
            </w:r>
          </w:p>
        </w:tc>
        <w:tc>
          <w:tcPr>
            <w:tcW w:w="88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7,368</w:t>
            </w:r>
          </w:p>
        </w:tc>
        <w:tc>
          <w:tcPr>
            <w:tcW w:w="100" w:type="dxa"/>
            <w:vAlign w:val="bottom"/>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(9,023)</w:t>
            </w:r>
          </w:p>
        </w:tc>
      </w:tr>
      <w:tr>
        <w:trPr>
          <w:trHeight w:val="126"/>
        </w:trPr>
        <w:tc>
          <w:tcPr>
            <w:tcW w:w="84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520" w:type="dxa"/>
            <w:vAlign w:val="bottom"/>
          </w:tcPr>
          <w:p>
            <w:pPr>
              <w:spacing w:after="0"/>
              <w:rPr>
                <w:sz w:val="10"/>
                <w:szCs w:val="10"/>
                <w:color w:val="auto"/>
              </w:rPr>
            </w:pPr>
          </w:p>
        </w:tc>
      </w:tr>
      <w:tr>
        <w:trPr>
          <w:trHeight w:val="144"/>
        </w:trPr>
        <w:tc>
          <w:tcPr>
            <w:tcW w:w="8480" w:type="dxa"/>
            <w:vAlign w:val="bottom"/>
            <w:shd w:val="clear" w:color="auto" w:fill="CCEEFF"/>
          </w:tcPr>
          <w:p>
            <w:pPr>
              <w:spacing w:after="0"/>
              <w:rPr>
                <w:sz w:val="20"/>
                <w:szCs w:val="20"/>
                <w:color w:val="auto"/>
              </w:rPr>
            </w:pPr>
            <w:r>
              <w:rPr>
                <w:rFonts w:ascii="Arial" w:cs="Arial" w:eastAsia="Arial" w:hAnsi="Arial"/>
                <w:sz w:val="11"/>
                <w:szCs w:val="11"/>
                <w:color w:val="auto"/>
              </w:rPr>
              <w:t>Net increase (decrease) in cash and cash equivalents</w:t>
            </w: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104,158</w:t>
            </w: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(40,192)</w:t>
            </w:r>
          </w:p>
        </w:tc>
      </w:tr>
      <w:tr>
        <w:trPr>
          <w:trHeight w:val="142"/>
        </w:trPr>
        <w:tc>
          <w:tcPr>
            <w:tcW w:w="8480" w:type="dxa"/>
            <w:vAlign w:val="bottom"/>
            <w:tcBorders>
              <w:bottom w:val="single" w:sz="8" w:color="CCEEFF"/>
            </w:tcBorders>
          </w:tcPr>
          <w:p>
            <w:pPr>
              <w:spacing w:after="0"/>
              <w:rPr>
                <w:sz w:val="20"/>
                <w:szCs w:val="20"/>
                <w:color w:val="auto"/>
              </w:rPr>
            </w:pPr>
            <w:r>
              <w:rPr>
                <w:rFonts w:ascii="Arial" w:cs="Arial" w:eastAsia="Arial" w:hAnsi="Arial"/>
                <w:sz w:val="11"/>
                <w:szCs w:val="11"/>
                <w:color w:val="auto"/>
              </w:rPr>
              <w:t>Cash and cash equivalents, beginning of period</w:t>
            </w:r>
          </w:p>
        </w:tc>
        <w:tc>
          <w:tcPr>
            <w:tcW w:w="8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217,643</w:t>
            </w:r>
          </w:p>
        </w:tc>
        <w:tc>
          <w:tcPr>
            <w:tcW w:w="100" w:type="dxa"/>
            <w:vAlign w:val="bottom"/>
            <w:tcBorders>
              <w:bottom w:val="single" w:sz="8" w:color="CCEEFF"/>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279,072</w:t>
            </w:r>
          </w:p>
        </w:tc>
      </w:tr>
      <w:tr>
        <w:trPr>
          <w:trHeight w:val="126"/>
        </w:trPr>
        <w:tc>
          <w:tcPr>
            <w:tcW w:w="848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r>
      <w:tr>
        <w:trPr>
          <w:trHeight w:val="144"/>
        </w:trPr>
        <w:tc>
          <w:tcPr>
            <w:tcW w:w="8480" w:type="dxa"/>
            <w:vAlign w:val="bottom"/>
          </w:tcPr>
          <w:p>
            <w:pPr>
              <w:spacing w:after="0"/>
              <w:rPr>
                <w:sz w:val="20"/>
                <w:szCs w:val="20"/>
                <w:color w:val="auto"/>
              </w:rPr>
            </w:pPr>
            <w:r>
              <w:rPr>
                <w:rFonts w:ascii="Arial" w:cs="Arial" w:eastAsia="Arial" w:hAnsi="Arial"/>
                <w:sz w:val="11"/>
                <w:szCs w:val="11"/>
                <w:color w:val="auto"/>
              </w:rPr>
              <w:t>Cash and cash equivalents, end of period</w:t>
            </w:r>
          </w:p>
        </w:tc>
        <w:tc>
          <w:tcPr>
            <w:tcW w:w="880" w:type="dxa"/>
            <w:vAlign w:val="bottom"/>
            <w:tcBorders>
              <w:bottom w:val="single" w:sz="8" w:color="auto"/>
            </w:tcBorders>
          </w:tcPr>
          <w:p>
            <w:pPr>
              <w:jc w:val="right"/>
              <w:ind w:right="746"/>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321,801</w:t>
            </w:r>
          </w:p>
        </w:tc>
        <w:tc>
          <w:tcPr>
            <w:tcW w:w="100" w:type="dxa"/>
            <w:vAlign w:val="bottom"/>
          </w:tcPr>
          <w:p>
            <w:pPr>
              <w:spacing w:after="0"/>
              <w:rPr>
                <w:sz w:val="12"/>
                <w:szCs w:val="12"/>
                <w:color w:val="auto"/>
              </w:rPr>
            </w:pPr>
          </w:p>
        </w:tc>
        <w:tc>
          <w:tcPr>
            <w:tcW w:w="840" w:type="dxa"/>
            <w:vAlign w:val="bottom"/>
            <w:tcBorders>
              <w:bottom w:val="single" w:sz="8" w:color="auto"/>
            </w:tcBorders>
          </w:tcPr>
          <w:p>
            <w:pPr>
              <w:jc w:val="right"/>
              <w:ind w:right="730"/>
              <w:spacing w:after="0"/>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238,880</w:t>
            </w:r>
          </w:p>
        </w:tc>
      </w:tr>
      <w:tr>
        <w:trPr>
          <w:trHeight w:val="20"/>
        </w:trPr>
        <w:tc>
          <w:tcPr>
            <w:tcW w:w="84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300"/>
          </w:cols>
          <w:pgMar w:left="300" w:top="562" w:right="299" w:bottom="1440" w:gutter="0" w:footer="0" w:header="0"/>
        </w:sectPr>
      </w:pPr>
    </w:p>
    <w:bookmarkStart w:id="9" w:name="page10"/>
    <w:bookmarkEnd w:id="9"/>
    <w:p>
      <w:pPr>
        <w:spacing w:after="0"/>
        <w:rPr>
          <w:sz w:val="20"/>
          <w:szCs w:val="20"/>
          <w:color w:val="auto"/>
        </w:rPr>
      </w:pPr>
      <w:r>
        <w:rPr>
          <w:rFonts w:ascii="Arial" w:cs="Arial" w:eastAsia="Arial" w:hAnsi="Arial"/>
          <w:sz w:val="11"/>
          <w:szCs w:val="11"/>
          <w:b w:val="1"/>
          <w:bCs w:val="1"/>
          <w:color w:val="auto"/>
        </w:rPr>
        <w:t>BRADY CORPORATION AND SUBSIDIARIES</w:t>
      </w:r>
    </w:p>
    <w:p>
      <w:pPr>
        <w:spacing w:after="0" w:line="11"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SEGMENT INFORMATION</w:t>
      </w:r>
    </w:p>
    <w:p>
      <w:pPr>
        <w:spacing w:after="0"/>
        <w:rPr>
          <w:sz w:val="20"/>
          <w:szCs w:val="20"/>
          <w:color w:val="auto"/>
        </w:rPr>
      </w:pPr>
      <w:r>
        <w:rPr>
          <w:rFonts w:ascii="Arial" w:cs="Arial" w:eastAsia="Arial" w:hAnsi="Arial"/>
          <w:sz w:val="11"/>
          <w:szCs w:val="11"/>
          <w:b w:val="1"/>
          <w:bCs w:val="1"/>
          <w:color w:val="auto"/>
        </w:rPr>
        <w:t>(Unaudited; Dollars in thousands)</w:t>
      </w:r>
    </w:p>
    <w:p>
      <w:pPr>
        <w:spacing w:after="0" w:line="357"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NET SALES</w:t>
      </w:r>
    </w:p>
    <w:p>
      <w:pPr>
        <w:spacing w:after="0" w:line="22" w:lineRule="exact"/>
        <w:rPr>
          <w:sz w:val="20"/>
          <w:szCs w:val="20"/>
          <w:color w:val="auto"/>
        </w:rPr>
      </w:pPr>
    </w:p>
    <w:p>
      <w:pPr>
        <w:ind w:left="220"/>
        <w:spacing w:after="0"/>
        <w:rPr>
          <w:sz w:val="20"/>
          <w:szCs w:val="20"/>
          <w:color w:val="auto"/>
        </w:rPr>
      </w:pPr>
      <w:r>
        <w:rPr>
          <w:rFonts w:ascii="Arial" w:cs="Arial" w:eastAsia="Arial" w:hAnsi="Arial"/>
          <w:sz w:val="11"/>
          <w:szCs w:val="11"/>
          <w:color w:val="auto"/>
        </w:rPr>
        <w:t>ID Solutions</w:t>
      </w:r>
    </w:p>
    <w:p>
      <w:pPr>
        <w:spacing w:after="0" w:line="18" w:lineRule="exact"/>
        <w:rPr>
          <w:sz w:val="20"/>
          <w:szCs w:val="20"/>
          <w:color w:val="auto"/>
        </w:rPr>
      </w:pPr>
    </w:p>
    <w:p>
      <w:pPr>
        <w:ind w:left="220"/>
        <w:spacing w:after="0"/>
        <w:rPr>
          <w:sz w:val="20"/>
          <w:szCs w:val="20"/>
          <w:color w:val="auto"/>
        </w:rPr>
      </w:pPr>
      <w:r>
        <w:rPr>
          <w:rFonts w:ascii="Arial" w:cs="Arial" w:eastAsia="Arial" w:hAnsi="Arial"/>
          <w:sz w:val="11"/>
          <w:szCs w:val="11"/>
          <w:color w:val="auto"/>
        </w:rPr>
        <w:t>Workplace Safety</w:t>
      </w:r>
    </w:p>
    <w:p>
      <w:pPr>
        <w:spacing w:after="0" w:line="45" w:lineRule="exact"/>
        <w:rPr>
          <w:sz w:val="20"/>
          <w:szCs w:val="20"/>
          <w:color w:val="auto"/>
        </w:rPr>
      </w:pPr>
    </w:p>
    <w:p>
      <w:pPr>
        <w:ind w:left="220"/>
        <w:spacing w:after="0"/>
        <w:rPr>
          <w:sz w:val="20"/>
          <w:szCs w:val="20"/>
          <w:color w:val="auto"/>
        </w:rPr>
      </w:pPr>
      <w:r>
        <w:rPr>
          <w:rFonts w:ascii="Arial" w:cs="Arial" w:eastAsia="Arial" w:hAnsi="Arial"/>
          <w:sz w:val="11"/>
          <w:szCs w:val="11"/>
          <w:color w:val="auto"/>
        </w:rPr>
        <w:t>Total</w:t>
      </w:r>
    </w:p>
    <w:p>
      <w:pPr>
        <w:spacing w:after="0" w:line="158"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SALES INFORMATION</w:t>
      </w:r>
    </w:p>
    <w:p>
      <w:pPr>
        <w:spacing w:after="0" w:line="22" w:lineRule="exact"/>
        <w:rPr>
          <w:sz w:val="20"/>
          <w:szCs w:val="20"/>
          <w:color w:val="auto"/>
        </w:rPr>
      </w:pPr>
    </w:p>
    <w:p>
      <w:pPr>
        <w:spacing w:after="0"/>
        <w:rPr>
          <w:sz w:val="20"/>
          <w:szCs w:val="20"/>
          <w:color w:val="auto"/>
        </w:rPr>
      </w:pPr>
      <w:r>
        <w:rPr>
          <w:rFonts w:ascii="Arial" w:cs="Arial" w:eastAsia="Arial" w:hAnsi="Arial"/>
          <w:sz w:val="11"/>
          <w:szCs w:val="11"/>
          <w:b w:val="1"/>
          <w:bCs w:val="1"/>
          <w:i w:val="1"/>
          <w:iCs w:val="1"/>
          <w:color w:val="auto"/>
        </w:rPr>
        <w:t>ID Solutions</w:t>
      </w:r>
    </w:p>
    <w:p>
      <w:pPr>
        <w:spacing w:after="0" w:line="18" w:lineRule="exact"/>
        <w:rPr>
          <w:sz w:val="20"/>
          <w:szCs w:val="20"/>
          <w:color w:val="auto"/>
        </w:rPr>
      </w:pPr>
    </w:p>
    <w:p>
      <w:pPr>
        <w:ind w:left="220"/>
        <w:spacing w:after="0"/>
        <w:rPr>
          <w:sz w:val="20"/>
          <w:szCs w:val="20"/>
          <w:color w:val="auto"/>
        </w:rPr>
      </w:pPr>
      <w:r>
        <w:rPr>
          <w:rFonts w:ascii="Arial" w:cs="Arial" w:eastAsia="Arial" w:hAnsi="Arial"/>
          <w:sz w:val="11"/>
          <w:szCs w:val="11"/>
          <w:color w:val="auto"/>
        </w:rPr>
        <w:t>Organic</w:t>
      </w:r>
    </w:p>
    <w:p>
      <w:pPr>
        <w:spacing w:after="0" w:line="18" w:lineRule="exact"/>
        <w:rPr>
          <w:sz w:val="20"/>
          <w:szCs w:val="20"/>
          <w:color w:val="auto"/>
        </w:rPr>
      </w:pPr>
    </w:p>
    <w:p>
      <w:pPr>
        <w:ind w:left="220"/>
        <w:spacing w:after="0"/>
        <w:rPr>
          <w:sz w:val="20"/>
          <w:szCs w:val="20"/>
          <w:color w:val="auto"/>
        </w:rPr>
      </w:pPr>
      <w:r>
        <w:rPr>
          <w:rFonts w:ascii="Arial" w:cs="Arial" w:eastAsia="Arial" w:hAnsi="Arial"/>
          <w:sz w:val="11"/>
          <w:szCs w:val="11"/>
          <w:color w:val="auto"/>
        </w:rPr>
        <w:t>Currency</w:t>
      </w:r>
    </w:p>
    <w:p>
      <w:pPr>
        <w:spacing w:after="0" w:line="45" w:lineRule="exact"/>
        <w:rPr>
          <w:sz w:val="20"/>
          <w:szCs w:val="20"/>
          <w:color w:val="auto"/>
        </w:rPr>
      </w:pPr>
    </w:p>
    <w:p>
      <w:pPr>
        <w:ind w:left="220"/>
        <w:spacing w:after="0"/>
        <w:rPr>
          <w:sz w:val="20"/>
          <w:szCs w:val="20"/>
          <w:color w:val="auto"/>
        </w:rPr>
      </w:pPr>
      <w:r>
        <w:rPr>
          <w:rFonts w:ascii="Arial" w:cs="Arial" w:eastAsia="Arial" w:hAnsi="Arial"/>
          <w:sz w:val="11"/>
          <w:szCs w:val="11"/>
          <w:color w:val="auto"/>
        </w:rPr>
        <w:t>Total</w:t>
      </w:r>
    </w:p>
    <w:p>
      <w:pPr>
        <w:spacing w:after="0" w:line="18" w:lineRule="exact"/>
        <w:rPr>
          <w:sz w:val="20"/>
          <w:szCs w:val="20"/>
          <w:color w:val="auto"/>
        </w:rPr>
      </w:pPr>
    </w:p>
    <w:p>
      <w:pPr>
        <w:spacing w:after="0"/>
        <w:rPr>
          <w:sz w:val="20"/>
          <w:szCs w:val="20"/>
          <w:color w:val="auto"/>
        </w:rPr>
      </w:pPr>
      <w:r>
        <w:rPr>
          <w:rFonts w:ascii="Arial" w:cs="Arial" w:eastAsia="Arial" w:hAnsi="Arial"/>
          <w:sz w:val="11"/>
          <w:szCs w:val="11"/>
          <w:b w:val="1"/>
          <w:bCs w:val="1"/>
          <w:i w:val="1"/>
          <w:iCs w:val="1"/>
          <w:color w:val="auto"/>
        </w:rPr>
        <w:t>Workplace Safety</w:t>
      </w:r>
    </w:p>
    <w:p>
      <w:pPr>
        <w:spacing w:after="0" w:line="18" w:lineRule="exact"/>
        <w:rPr>
          <w:sz w:val="20"/>
          <w:szCs w:val="20"/>
          <w:color w:val="auto"/>
        </w:rPr>
      </w:pPr>
    </w:p>
    <w:p>
      <w:pPr>
        <w:ind w:left="220"/>
        <w:spacing w:after="0"/>
        <w:rPr>
          <w:sz w:val="20"/>
          <w:szCs w:val="20"/>
          <w:color w:val="auto"/>
        </w:rPr>
      </w:pPr>
      <w:r>
        <w:rPr>
          <w:rFonts w:ascii="Arial" w:cs="Arial" w:eastAsia="Arial" w:hAnsi="Arial"/>
          <w:sz w:val="11"/>
          <w:szCs w:val="11"/>
          <w:color w:val="auto"/>
        </w:rPr>
        <w:t>Organic</w:t>
      </w:r>
    </w:p>
    <w:p>
      <w:pPr>
        <w:spacing w:after="0" w:line="18" w:lineRule="exact"/>
        <w:rPr>
          <w:sz w:val="20"/>
          <w:szCs w:val="20"/>
          <w:color w:val="auto"/>
        </w:rPr>
      </w:pPr>
    </w:p>
    <w:p>
      <w:pPr>
        <w:ind w:left="220"/>
        <w:spacing w:after="0"/>
        <w:rPr>
          <w:sz w:val="20"/>
          <w:szCs w:val="20"/>
          <w:color w:val="auto"/>
        </w:rPr>
      </w:pPr>
      <w:r>
        <w:rPr>
          <w:rFonts w:ascii="Arial" w:cs="Arial" w:eastAsia="Arial" w:hAnsi="Arial"/>
          <w:sz w:val="11"/>
          <w:szCs w:val="11"/>
          <w:color w:val="auto"/>
        </w:rPr>
        <w:t>Currency</w:t>
      </w:r>
    </w:p>
    <w:p>
      <w:pPr>
        <w:spacing w:after="0" w:line="45" w:lineRule="exact"/>
        <w:rPr>
          <w:sz w:val="20"/>
          <w:szCs w:val="20"/>
          <w:color w:val="auto"/>
        </w:rPr>
      </w:pPr>
    </w:p>
    <w:p>
      <w:pPr>
        <w:ind w:left="220"/>
        <w:spacing w:after="0"/>
        <w:rPr>
          <w:sz w:val="20"/>
          <w:szCs w:val="20"/>
          <w:color w:val="auto"/>
        </w:rPr>
      </w:pPr>
      <w:r>
        <w:rPr>
          <w:rFonts w:ascii="Arial" w:cs="Arial" w:eastAsia="Arial" w:hAnsi="Arial"/>
          <w:sz w:val="11"/>
          <w:szCs w:val="11"/>
          <w:color w:val="auto"/>
        </w:rPr>
        <w:t>Total</w:t>
      </w:r>
    </w:p>
    <w:p>
      <w:pPr>
        <w:spacing w:after="0" w:line="18" w:lineRule="exact"/>
        <w:rPr>
          <w:sz w:val="20"/>
          <w:szCs w:val="20"/>
          <w:color w:val="auto"/>
        </w:rPr>
      </w:pPr>
    </w:p>
    <w:p>
      <w:pPr>
        <w:spacing w:after="0"/>
        <w:rPr>
          <w:sz w:val="20"/>
          <w:szCs w:val="20"/>
          <w:color w:val="auto"/>
        </w:rPr>
      </w:pPr>
      <w:r>
        <w:rPr>
          <w:rFonts w:ascii="Arial" w:cs="Arial" w:eastAsia="Arial" w:hAnsi="Arial"/>
          <w:sz w:val="11"/>
          <w:szCs w:val="11"/>
          <w:b w:val="1"/>
          <w:bCs w:val="1"/>
          <w:i w:val="1"/>
          <w:iCs w:val="1"/>
          <w:color w:val="auto"/>
        </w:rPr>
        <w:t>Total Company</w:t>
      </w:r>
    </w:p>
    <w:p>
      <w:pPr>
        <w:spacing w:after="0" w:line="18" w:lineRule="exact"/>
        <w:rPr>
          <w:sz w:val="20"/>
          <w:szCs w:val="20"/>
          <w:color w:val="auto"/>
        </w:rPr>
      </w:pPr>
    </w:p>
    <w:p>
      <w:pPr>
        <w:ind w:left="220"/>
        <w:spacing w:after="0"/>
        <w:rPr>
          <w:sz w:val="20"/>
          <w:szCs w:val="20"/>
          <w:color w:val="auto"/>
        </w:rPr>
      </w:pPr>
      <w:r>
        <w:rPr>
          <w:rFonts w:ascii="Arial" w:cs="Arial" w:eastAsia="Arial" w:hAnsi="Arial"/>
          <w:sz w:val="11"/>
          <w:szCs w:val="11"/>
          <w:color w:val="auto"/>
        </w:rPr>
        <w:t>Organic</w:t>
      </w:r>
    </w:p>
    <w:p>
      <w:pPr>
        <w:spacing w:after="0" w:line="18" w:lineRule="exact"/>
        <w:rPr>
          <w:sz w:val="20"/>
          <w:szCs w:val="20"/>
          <w:color w:val="auto"/>
        </w:rPr>
      </w:pPr>
    </w:p>
    <w:p>
      <w:pPr>
        <w:ind w:left="220"/>
        <w:spacing w:after="0"/>
        <w:rPr>
          <w:sz w:val="20"/>
          <w:szCs w:val="20"/>
          <w:color w:val="auto"/>
        </w:rPr>
      </w:pPr>
      <w:r>
        <w:rPr>
          <w:rFonts w:ascii="Arial" w:cs="Arial" w:eastAsia="Arial" w:hAnsi="Arial"/>
          <w:sz w:val="11"/>
          <w:szCs w:val="11"/>
          <w:color w:val="auto"/>
        </w:rPr>
        <w:t>Currency</w:t>
      </w:r>
    </w:p>
    <w:p>
      <w:pPr>
        <w:spacing w:after="0" w:line="45" w:lineRule="exact"/>
        <w:rPr>
          <w:sz w:val="20"/>
          <w:szCs w:val="20"/>
          <w:color w:val="auto"/>
        </w:rPr>
      </w:pPr>
    </w:p>
    <w:p>
      <w:pPr>
        <w:ind w:left="220"/>
        <w:spacing w:after="0"/>
        <w:rPr>
          <w:sz w:val="20"/>
          <w:szCs w:val="20"/>
          <w:color w:val="auto"/>
        </w:rPr>
      </w:pPr>
      <w:r>
        <w:rPr>
          <w:rFonts w:ascii="Arial" w:cs="Arial" w:eastAsia="Arial" w:hAnsi="Arial"/>
          <w:sz w:val="11"/>
          <w:szCs w:val="11"/>
          <w:color w:val="auto"/>
        </w:rPr>
        <w:t>Total</w:t>
      </w:r>
    </w:p>
    <w:p>
      <w:pPr>
        <w:spacing w:after="0" w:line="158"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SEGMENT PROFIT</w:t>
      </w:r>
    </w:p>
    <w:p>
      <w:pPr>
        <w:spacing w:after="0" w:line="22" w:lineRule="exact"/>
        <w:rPr>
          <w:sz w:val="20"/>
          <w:szCs w:val="20"/>
          <w:color w:val="auto"/>
        </w:rPr>
      </w:pPr>
    </w:p>
    <w:p>
      <w:pPr>
        <w:ind w:left="220"/>
        <w:spacing w:after="0"/>
        <w:rPr>
          <w:sz w:val="20"/>
          <w:szCs w:val="20"/>
          <w:color w:val="auto"/>
        </w:rPr>
      </w:pPr>
      <w:r>
        <w:rPr>
          <w:rFonts w:ascii="Arial" w:cs="Arial" w:eastAsia="Arial" w:hAnsi="Arial"/>
          <w:sz w:val="11"/>
          <w:szCs w:val="11"/>
          <w:color w:val="auto"/>
        </w:rPr>
        <w:t>ID Solutions</w:t>
      </w:r>
    </w:p>
    <w:p>
      <w:pPr>
        <w:spacing w:after="0" w:line="18" w:lineRule="exact"/>
        <w:rPr>
          <w:sz w:val="20"/>
          <w:szCs w:val="20"/>
          <w:color w:val="auto"/>
        </w:rPr>
      </w:pPr>
    </w:p>
    <w:p>
      <w:pPr>
        <w:ind w:left="220"/>
        <w:spacing w:after="0"/>
        <w:rPr>
          <w:sz w:val="20"/>
          <w:szCs w:val="20"/>
          <w:color w:val="auto"/>
        </w:rPr>
      </w:pPr>
      <w:r>
        <w:rPr>
          <w:rFonts w:ascii="Arial" w:cs="Arial" w:eastAsia="Arial" w:hAnsi="Arial"/>
          <w:sz w:val="11"/>
          <w:szCs w:val="11"/>
          <w:color w:val="auto"/>
        </w:rPr>
        <w:t>Workplace Safety</w:t>
      </w:r>
    </w:p>
    <w:p>
      <w:pPr>
        <w:spacing w:after="0" w:line="45" w:lineRule="exact"/>
        <w:rPr>
          <w:sz w:val="20"/>
          <w:szCs w:val="20"/>
          <w:color w:val="auto"/>
        </w:rPr>
      </w:pPr>
    </w:p>
    <w:p>
      <w:pPr>
        <w:ind w:left="220"/>
        <w:spacing w:after="0"/>
        <w:rPr>
          <w:sz w:val="20"/>
          <w:szCs w:val="20"/>
          <w:color w:val="auto"/>
        </w:rPr>
      </w:pPr>
      <w:r>
        <w:rPr>
          <w:rFonts w:ascii="Arial" w:cs="Arial" w:eastAsia="Arial" w:hAnsi="Arial"/>
          <w:sz w:val="11"/>
          <w:szCs w:val="11"/>
          <w:color w:val="auto"/>
        </w:rPr>
        <w:t>Total</w:t>
      </w:r>
    </w:p>
    <w:p>
      <w:pPr>
        <w:spacing w:after="0" w:line="14"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SEGMENT PROFIT AS A PERCENT OF NET SALES</w:t>
      </w:r>
    </w:p>
    <w:p>
      <w:pPr>
        <w:spacing w:after="0" w:line="33" w:lineRule="exact"/>
        <w:rPr>
          <w:sz w:val="20"/>
          <w:szCs w:val="20"/>
          <w:color w:val="auto"/>
        </w:rPr>
      </w:pPr>
    </w:p>
    <w:p>
      <w:pPr>
        <w:ind w:left="220"/>
        <w:spacing w:after="0"/>
        <w:rPr>
          <w:sz w:val="20"/>
          <w:szCs w:val="20"/>
          <w:color w:val="auto"/>
        </w:rPr>
      </w:pPr>
      <w:r>
        <w:rPr>
          <w:rFonts w:ascii="Arial" w:cs="Arial" w:eastAsia="Arial" w:hAnsi="Arial"/>
          <w:sz w:val="11"/>
          <w:szCs w:val="11"/>
          <w:color w:val="auto"/>
        </w:rPr>
        <w:t>ID Solutions</w:t>
      </w:r>
    </w:p>
    <w:p>
      <w:pPr>
        <w:spacing w:after="0" w:line="18" w:lineRule="exact"/>
        <w:rPr>
          <w:sz w:val="20"/>
          <w:szCs w:val="20"/>
          <w:color w:val="auto"/>
        </w:rPr>
      </w:pPr>
    </w:p>
    <w:p>
      <w:pPr>
        <w:ind w:left="220"/>
        <w:spacing w:after="0"/>
        <w:rPr>
          <w:sz w:val="20"/>
          <w:szCs w:val="20"/>
          <w:color w:val="auto"/>
        </w:rPr>
      </w:pPr>
      <w:r>
        <w:rPr>
          <w:rFonts w:ascii="Arial" w:cs="Arial" w:eastAsia="Arial" w:hAnsi="Arial"/>
          <w:sz w:val="11"/>
          <w:szCs w:val="11"/>
          <w:color w:val="auto"/>
        </w:rPr>
        <w:t>Workplace Safety</w:t>
      </w:r>
    </w:p>
    <w:p>
      <w:pPr>
        <w:spacing w:after="0" w:line="45" w:lineRule="exact"/>
        <w:rPr>
          <w:sz w:val="20"/>
          <w:szCs w:val="20"/>
          <w:color w:val="auto"/>
        </w:rPr>
      </w:pPr>
    </w:p>
    <w:p>
      <w:pPr>
        <w:ind w:left="220"/>
        <w:spacing w:after="0"/>
        <w:rPr>
          <w:sz w:val="20"/>
          <w:szCs w:val="20"/>
          <w:color w:val="auto"/>
        </w:rPr>
      </w:pPr>
      <w:r>
        <w:rPr>
          <w:rFonts w:ascii="Arial" w:cs="Arial" w:eastAsia="Arial" w:hAnsi="Arial"/>
          <w:sz w:val="11"/>
          <w:szCs w:val="11"/>
          <w:color w:val="auto"/>
        </w:rPr>
        <w:t>Total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2360" w:type="dxa"/>
            <w:vAlign w:val="bottom"/>
            <w:tcBorders>
              <w:bottom w:val="single" w:sz="8" w:color="auto"/>
            </w:tcBorders>
            <w:gridSpan w:val="4"/>
          </w:tcPr>
          <w:p>
            <w:pPr>
              <w:jc w:val="right"/>
              <w:ind w:right="210"/>
              <w:spacing w:after="0"/>
              <w:rPr>
                <w:sz w:val="20"/>
                <w:szCs w:val="20"/>
                <w:color w:val="auto"/>
              </w:rPr>
            </w:pPr>
            <w:r>
              <w:rPr>
                <w:rFonts w:ascii="Arial" w:cs="Arial" w:eastAsia="Arial" w:hAnsi="Arial"/>
                <w:sz w:val="11"/>
                <w:szCs w:val="11"/>
                <w:color w:val="auto"/>
              </w:rPr>
              <w:t>Three months ended April 30,</w:t>
            </w:r>
          </w:p>
        </w:tc>
        <w:tc>
          <w:tcPr>
            <w:tcW w:w="5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color w:val="auto"/>
                <w:w w:val="89"/>
              </w:rPr>
              <w:t>Nine months ended April 30,</w:t>
            </w:r>
          </w:p>
        </w:tc>
        <w:tc>
          <w:tcPr>
            <w:tcW w:w="820" w:type="dxa"/>
            <w:vAlign w:val="bottom"/>
            <w:tcBorders>
              <w:bottom w:val="single" w:sz="8" w:color="auto"/>
            </w:tcBorders>
          </w:tcPr>
          <w:p>
            <w:pPr>
              <w:spacing w:after="0"/>
              <w:rPr>
                <w:sz w:val="12"/>
                <w:szCs w:val="12"/>
                <w:color w:val="auto"/>
              </w:rPr>
            </w:pPr>
          </w:p>
        </w:tc>
      </w:tr>
      <w:tr>
        <w:trPr>
          <w:trHeight w:val="151"/>
        </w:trPr>
        <w:tc>
          <w:tcPr>
            <w:tcW w:w="860" w:type="dxa"/>
            <w:vAlign w:val="bottom"/>
            <w:tcBorders>
              <w:bottom w:val="single" w:sz="8" w:color="auto"/>
            </w:tcBorders>
          </w:tcPr>
          <w:p>
            <w:pPr>
              <w:jc w:val="right"/>
              <w:ind w:right="9"/>
              <w:spacing w:after="0"/>
              <w:rPr>
                <w:sz w:val="20"/>
                <w:szCs w:val="20"/>
                <w:color w:val="auto"/>
              </w:rPr>
            </w:pPr>
            <w:r>
              <w:rPr>
                <w:rFonts w:ascii="Arial" w:cs="Arial" w:eastAsia="Arial" w:hAnsi="Arial"/>
                <w:sz w:val="11"/>
                <w:szCs w:val="11"/>
                <w:color w:val="auto"/>
              </w:rPr>
              <w:t>2021</w:t>
            </w:r>
          </w:p>
        </w:tc>
        <w:tc>
          <w:tcPr>
            <w:tcW w:w="5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2020</w:t>
            </w:r>
          </w:p>
        </w:tc>
        <w:tc>
          <w:tcPr>
            <w:tcW w:w="5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2021</w:t>
            </w:r>
          </w:p>
        </w:tc>
        <w:tc>
          <w:tcPr>
            <w:tcW w:w="60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546"/>
              <w:spacing w:after="0"/>
              <w:rPr>
                <w:sz w:val="20"/>
                <w:szCs w:val="20"/>
                <w:color w:val="auto"/>
              </w:rPr>
            </w:pPr>
            <w:r>
              <w:rPr>
                <w:rFonts w:ascii="Arial" w:cs="Arial" w:eastAsia="Arial" w:hAnsi="Arial"/>
                <w:sz w:val="11"/>
                <w:szCs w:val="11"/>
                <w:color w:val="auto"/>
                <w:w w:val="81"/>
              </w:rPr>
              <w:t>2020</w:t>
            </w:r>
          </w:p>
        </w:tc>
      </w:tr>
      <w:tr>
        <w:trPr>
          <w:trHeight w:val="266"/>
        </w:trPr>
        <w:tc>
          <w:tcPr>
            <w:tcW w:w="860" w:type="dxa"/>
            <w:vAlign w:val="bottom"/>
          </w:tcPr>
          <w:p>
            <w:pPr>
              <w:jc w:val="right"/>
              <w:ind w:right="749"/>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ind w:right="66"/>
              <w:spacing w:after="0"/>
              <w:rPr>
                <w:sz w:val="20"/>
                <w:szCs w:val="20"/>
                <w:color w:val="auto"/>
              </w:rPr>
            </w:pPr>
            <w:r>
              <w:rPr>
                <w:rFonts w:ascii="Arial" w:cs="Arial" w:eastAsia="Arial" w:hAnsi="Arial"/>
                <w:sz w:val="11"/>
                <w:szCs w:val="11"/>
                <w:color w:val="auto"/>
              </w:rPr>
              <w:t>218,065</w:t>
            </w:r>
          </w:p>
        </w:tc>
        <w:tc>
          <w:tcPr>
            <w:tcW w:w="100" w:type="dxa"/>
            <w:vAlign w:val="bottom"/>
          </w:tcPr>
          <w:p>
            <w:pPr>
              <w:spacing w:after="0"/>
              <w:rPr>
                <w:sz w:val="23"/>
                <w:szCs w:val="23"/>
                <w:color w:val="auto"/>
              </w:rPr>
            </w:pPr>
          </w:p>
        </w:tc>
        <w:tc>
          <w:tcPr>
            <w:tcW w:w="860" w:type="dxa"/>
            <w:vAlign w:val="bottom"/>
          </w:tcPr>
          <w:p>
            <w:pPr>
              <w:jc w:val="right"/>
              <w:ind w:right="750"/>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ind w:right="66"/>
              <w:spacing w:after="0"/>
              <w:rPr>
                <w:sz w:val="20"/>
                <w:szCs w:val="20"/>
                <w:color w:val="auto"/>
              </w:rPr>
            </w:pPr>
            <w:r>
              <w:rPr>
                <w:rFonts w:ascii="Arial" w:cs="Arial" w:eastAsia="Arial" w:hAnsi="Arial"/>
                <w:sz w:val="11"/>
                <w:szCs w:val="11"/>
                <w:color w:val="auto"/>
              </w:rPr>
              <w:t>193,169</w:t>
            </w:r>
          </w:p>
        </w:tc>
        <w:tc>
          <w:tcPr>
            <w:tcW w:w="100" w:type="dxa"/>
            <w:vAlign w:val="bottom"/>
          </w:tcPr>
          <w:p>
            <w:pPr>
              <w:spacing w:after="0"/>
              <w:rPr>
                <w:sz w:val="23"/>
                <w:szCs w:val="23"/>
                <w:color w:val="auto"/>
              </w:rPr>
            </w:pPr>
          </w:p>
        </w:tc>
        <w:tc>
          <w:tcPr>
            <w:tcW w:w="820" w:type="dxa"/>
            <w:vAlign w:val="bottom"/>
          </w:tcPr>
          <w:p>
            <w:pPr>
              <w:jc w:val="right"/>
              <w:ind w:right="710"/>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ind w:right="86"/>
              <w:spacing w:after="0"/>
              <w:rPr>
                <w:sz w:val="20"/>
                <w:szCs w:val="20"/>
                <w:color w:val="auto"/>
              </w:rPr>
            </w:pPr>
            <w:r>
              <w:rPr>
                <w:rFonts w:ascii="Arial" w:cs="Arial" w:eastAsia="Arial" w:hAnsi="Arial"/>
                <w:sz w:val="11"/>
                <w:szCs w:val="11"/>
                <w:color w:val="auto"/>
              </w:rPr>
              <w:t>610,484</w:t>
            </w:r>
          </w:p>
        </w:tc>
        <w:tc>
          <w:tcPr>
            <w:tcW w:w="80" w:type="dxa"/>
            <w:vAlign w:val="bottom"/>
          </w:tcPr>
          <w:p>
            <w:pPr>
              <w:spacing w:after="0"/>
              <w:rPr>
                <w:sz w:val="23"/>
                <w:szCs w:val="23"/>
                <w:color w:val="auto"/>
              </w:rPr>
            </w:pPr>
          </w:p>
        </w:tc>
        <w:tc>
          <w:tcPr>
            <w:tcW w:w="600" w:type="dxa"/>
            <w:vAlign w:val="bottom"/>
          </w:tcPr>
          <w:p>
            <w:pPr>
              <w:jc w:val="right"/>
              <w:ind w:right="491"/>
              <w:spacing w:after="0"/>
              <w:rPr>
                <w:sz w:val="20"/>
                <w:szCs w:val="20"/>
                <w:color w:val="auto"/>
              </w:rPr>
            </w:pPr>
            <w:r>
              <w:rPr>
                <w:rFonts w:ascii="Arial" w:cs="Arial" w:eastAsia="Arial" w:hAnsi="Arial"/>
                <w:sz w:val="10"/>
                <w:szCs w:val="10"/>
                <w:color w:val="auto"/>
                <w:w w:val="71"/>
              </w:rPr>
              <w:t>$</w:t>
            </w:r>
          </w:p>
        </w:tc>
        <w:tc>
          <w:tcPr>
            <w:tcW w:w="820" w:type="dxa"/>
            <w:vAlign w:val="bottom"/>
          </w:tcPr>
          <w:p>
            <w:pPr>
              <w:jc w:val="right"/>
              <w:ind w:right="86"/>
              <w:spacing w:after="0"/>
              <w:rPr>
                <w:sz w:val="20"/>
                <w:szCs w:val="20"/>
                <w:color w:val="auto"/>
              </w:rPr>
            </w:pPr>
            <w:r>
              <w:rPr>
                <w:rFonts w:ascii="Arial" w:cs="Arial" w:eastAsia="Arial" w:hAnsi="Arial"/>
                <w:sz w:val="11"/>
                <w:szCs w:val="11"/>
                <w:color w:val="auto"/>
              </w:rPr>
              <w:t>613,518</w:t>
            </w:r>
          </w:p>
        </w:tc>
      </w:tr>
      <w:tr>
        <w:trPr>
          <w:trHeight w:val="146"/>
        </w:trPr>
        <w:tc>
          <w:tcPr>
            <w:tcW w:w="8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77,438</w:t>
            </w:r>
          </w:p>
        </w:tc>
        <w:tc>
          <w:tcPr>
            <w:tcW w:w="100" w:type="dxa"/>
            <w:vAlign w:val="bottom"/>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72,774</w:t>
            </w:r>
          </w:p>
        </w:tc>
        <w:tc>
          <w:tcPr>
            <w:tcW w:w="100" w:type="dxa"/>
            <w:vAlign w:val="bottom"/>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228,084</w:t>
            </w:r>
          </w:p>
        </w:tc>
        <w:tc>
          <w:tcPr>
            <w:tcW w:w="80" w:type="dxa"/>
            <w:vAlign w:val="bottom"/>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216,037</w:t>
            </w:r>
          </w:p>
        </w:tc>
      </w:tr>
      <w:tr>
        <w:trPr>
          <w:trHeight w:val="133"/>
        </w:trPr>
        <w:tc>
          <w:tcPr>
            <w:tcW w:w="860" w:type="dxa"/>
            <w:vAlign w:val="bottom"/>
            <w:tcBorders>
              <w:bottom w:val="single" w:sz="8" w:color="auto"/>
            </w:tcBorders>
          </w:tcPr>
          <w:p>
            <w:pPr>
              <w:jc w:val="right"/>
              <w:ind w:right="749"/>
              <w:spacing w:after="0"/>
              <w:rPr>
                <w:sz w:val="20"/>
                <w:szCs w:val="20"/>
                <w:color w:val="auto"/>
              </w:rPr>
            </w:pPr>
            <w:r>
              <w:rPr>
                <w:rFonts w:ascii="Arial" w:cs="Arial" w:eastAsia="Arial" w:hAnsi="Arial"/>
                <w:sz w:val="10"/>
                <w:szCs w:val="10"/>
                <w:color w:val="auto"/>
                <w:w w:val="71"/>
              </w:rPr>
              <w:t>$</w:t>
            </w:r>
          </w:p>
        </w:tc>
        <w:tc>
          <w:tcPr>
            <w:tcW w:w="54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295,503</w:t>
            </w:r>
          </w:p>
        </w:tc>
        <w:tc>
          <w:tcPr>
            <w:tcW w:w="100" w:type="dxa"/>
            <w:vAlign w:val="bottom"/>
          </w:tcPr>
          <w:p>
            <w:pPr>
              <w:spacing w:after="0"/>
              <w:rPr>
                <w:sz w:val="11"/>
                <w:szCs w:val="11"/>
                <w:color w:val="auto"/>
              </w:rPr>
            </w:pPr>
          </w:p>
        </w:tc>
        <w:tc>
          <w:tcPr>
            <w:tcW w:w="860" w:type="dxa"/>
            <w:vAlign w:val="bottom"/>
            <w:tcBorders>
              <w:bottom w:val="single" w:sz="8" w:color="auto"/>
            </w:tcBorders>
          </w:tcPr>
          <w:p>
            <w:pPr>
              <w:jc w:val="right"/>
              <w:ind w:right="750"/>
              <w:spacing w:after="0"/>
              <w:rPr>
                <w:sz w:val="20"/>
                <w:szCs w:val="20"/>
                <w:color w:val="auto"/>
              </w:rPr>
            </w:pPr>
            <w:r>
              <w:rPr>
                <w:rFonts w:ascii="Arial" w:cs="Arial" w:eastAsia="Arial" w:hAnsi="Arial"/>
                <w:sz w:val="10"/>
                <w:szCs w:val="10"/>
                <w:color w:val="auto"/>
                <w:w w:val="71"/>
              </w:rPr>
              <w:t>$</w:t>
            </w:r>
          </w:p>
        </w:tc>
        <w:tc>
          <w:tcPr>
            <w:tcW w:w="54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265,943</w:t>
            </w:r>
          </w:p>
        </w:tc>
        <w:tc>
          <w:tcPr>
            <w:tcW w:w="100" w:type="dxa"/>
            <w:vAlign w:val="bottom"/>
          </w:tcPr>
          <w:p>
            <w:pPr>
              <w:spacing w:after="0"/>
              <w:rPr>
                <w:sz w:val="11"/>
                <w:szCs w:val="11"/>
                <w:color w:val="auto"/>
              </w:rPr>
            </w:pPr>
          </w:p>
        </w:tc>
        <w:tc>
          <w:tcPr>
            <w:tcW w:w="820" w:type="dxa"/>
            <w:vAlign w:val="bottom"/>
            <w:tcBorders>
              <w:bottom w:val="single" w:sz="8" w:color="auto"/>
            </w:tcBorders>
          </w:tcPr>
          <w:p>
            <w:pPr>
              <w:jc w:val="right"/>
              <w:ind w:right="710"/>
              <w:spacing w:after="0"/>
              <w:rPr>
                <w:sz w:val="20"/>
                <w:szCs w:val="20"/>
                <w:color w:val="auto"/>
              </w:rPr>
            </w:pPr>
            <w:r>
              <w:rPr>
                <w:rFonts w:ascii="Arial" w:cs="Arial" w:eastAsia="Arial" w:hAnsi="Arial"/>
                <w:sz w:val="10"/>
                <w:szCs w:val="10"/>
                <w:color w:val="auto"/>
                <w:w w:val="71"/>
              </w:rPr>
              <w:t>$</w:t>
            </w:r>
          </w:p>
        </w:tc>
        <w:tc>
          <w:tcPr>
            <w:tcW w:w="60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838,568</w:t>
            </w:r>
          </w:p>
        </w:tc>
        <w:tc>
          <w:tcPr>
            <w:tcW w:w="80" w:type="dxa"/>
            <w:vAlign w:val="bottom"/>
          </w:tcPr>
          <w:p>
            <w:pPr>
              <w:spacing w:after="0"/>
              <w:rPr>
                <w:sz w:val="11"/>
                <w:szCs w:val="11"/>
                <w:color w:val="auto"/>
              </w:rPr>
            </w:pPr>
          </w:p>
        </w:tc>
        <w:tc>
          <w:tcPr>
            <w:tcW w:w="600" w:type="dxa"/>
            <w:vAlign w:val="bottom"/>
            <w:tcBorders>
              <w:bottom w:val="single" w:sz="8" w:color="auto"/>
            </w:tcBorders>
          </w:tcPr>
          <w:p>
            <w:pPr>
              <w:jc w:val="right"/>
              <w:ind w:right="491"/>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829,555</w:t>
            </w:r>
          </w:p>
        </w:tc>
      </w:tr>
      <w:tr>
        <w:trPr>
          <w:trHeight w:val="20"/>
        </w:trPr>
        <w:tc>
          <w:tcPr>
            <w:tcW w:w="8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-3420745</wp:posOffset>
            </wp:positionH>
            <wp:positionV relativeFrom="paragraph">
              <wp:posOffset>-393700</wp:posOffset>
            </wp:positionV>
            <wp:extent cx="7178040" cy="914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8040" cy="91440"/>
                    </a:xfrm>
                    <a:prstGeom prst="rect">
                      <a:avLst/>
                    </a:prstGeom>
                    <a:noFill/>
                  </pic:spPr>
                </pic:pic>
              </a:graphicData>
            </a:graphic>
          </wp:anchor>
        </w:drawing>
        <w:drawing>
          <wp:anchor simplePos="0" relativeHeight="251657728" behindDoc="1" locked="0" layoutInCell="0" allowOverlap="1">
            <wp:simplePos x="0" y="0"/>
            <wp:positionH relativeFrom="column">
              <wp:posOffset>-3420745</wp:posOffset>
            </wp:positionH>
            <wp:positionV relativeFrom="paragraph">
              <wp:posOffset>-210820</wp:posOffset>
            </wp:positionV>
            <wp:extent cx="7178040" cy="914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8040" cy="91440"/>
                    </a:xfrm>
                    <a:prstGeom prst="rect">
                      <a:avLst/>
                    </a:prstGeom>
                    <a:noFill/>
                  </pic:spPr>
                </pic:pic>
              </a:graphicData>
            </a:graphic>
          </wp:anchor>
        </w:drawing>
        <w:drawing>
          <wp:anchor simplePos="0" relativeHeight="251657728" behindDoc="1" locked="0" layoutInCell="0" allowOverlap="1">
            <wp:simplePos x="0" y="0"/>
            <wp:positionH relativeFrom="column">
              <wp:posOffset>-3420745</wp:posOffset>
            </wp:positionH>
            <wp:positionV relativeFrom="paragraph">
              <wp:posOffset>-10795</wp:posOffset>
            </wp:positionV>
            <wp:extent cx="7178040" cy="914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8040" cy="91440"/>
                    </a:xfrm>
                    <a:prstGeom prst="rect">
                      <a:avLst/>
                    </a:prstGeom>
                    <a:noFill/>
                  </pic:spPr>
                </pic:pic>
              </a:graphicData>
            </a:graphic>
          </wp:anchor>
        </w:drawing>
        <w:drawing>
          <wp:anchor simplePos="0" relativeHeight="251657728" behindDoc="1" locked="0" layoutInCell="0" allowOverlap="1">
            <wp:simplePos x="0" y="0"/>
            <wp:positionH relativeFrom="column">
              <wp:posOffset>-3420745</wp:posOffset>
            </wp:positionH>
            <wp:positionV relativeFrom="paragraph">
              <wp:posOffset>171450</wp:posOffset>
            </wp:positionV>
            <wp:extent cx="7178040" cy="914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8040" cy="91440"/>
                    </a:xfrm>
                    <a:prstGeom prst="rect">
                      <a:avLst/>
                    </a:prstGeom>
                    <a:noFill/>
                  </pic:spPr>
                </pic:pic>
              </a:graphicData>
            </a:graphic>
          </wp:anchor>
        </w:drawing>
      </w: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520" w:type="dxa"/>
            <w:vAlign w:val="bottom"/>
          </w:tcPr>
          <w:p>
            <w:pPr>
              <w:spacing w:after="0"/>
              <w:rPr>
                <w:sz w:val="11"/>
                <w:szCs w:val="11"/>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9.8 %</w:t>
            </w: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(8.2)%</w:t>
            </w: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(2.1)%</w:t>
            </w: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(3.2)%</w:t>
            </w:r>
          </w:p>
        </w:tc>
      </w:tr>
      <w:tr>
        <w:trPr>
          <w:trHeight w:val="146"/>
        </w:trPr>
        <w:tc>
          <w:tcPr>
            <w:tcW w:w="5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3.1 %</w:t>
            </w:r>
          </w:p>
        </w:tc>
        <w:tc>
          <w:tcPr>
            <w:tcW w:w="100" w:type="dxa"/>
            <w:vAlign w:val="bottom"/>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(1.5)%</w:t>
            </w:r>
          </w:p>
        </w:tc>
        <w:tc>
          <w:tcPr>
            <w:tcW w:w="100" w:type="dxa"/>
            <w:vAlign w:val="bottom"/>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1.6 %</w:t>
            </w:r>
          </w:p>
        </w:tc>
        <w:tc>
          <w:tcPr>
            <w:tcW w:w="80" w:type="dxa"/>
            <w:vAlign w:val="bottom"/>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(1.1)%</w:t>
            </w:r>
          </w:p>
        </w:tc>
      </w:tr>
      <w:tr>
        <w:trPr>
          <w:trHeight w:val="133"/>
        </w:trPr>
        <w:tc>
          <w:tcPr>
            <w:tcW w:w="52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12.9 %</w:t>
            </w:r>
          </w:p>
        </w:tc>
        <w:tc>
          <w:tcPr>
            <w:tcW w:w="100" w:type="dxa"/>
            <w:vAlign w:val="bottom"/>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(9.7)%</w:t>
            </w:r>
          </w:p>
        </w:tc>
        <w:tc>
          <w:tcPr>
            <w:tcW w:w="100" w:type="dxa"/>
            <w:vAlign w:val="bottom"/>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(0.5)%</w:t>
            </w:r>
          </w:p>
        </w:tc>
        <w:tc>
          <w:tcPr>
            <w:tcW w:w="80" w:type="dxa"/>
            <w:vAlign w:val="bottom"/>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(4.3)%</w:t>
            </w:r>
          </w:p>
        </w:tc>
      </w:tr>
      <w:tr>
        <w:trPr>
          <w:trHeight w:val="20"/>
        </w:trPr>
        <w:tc>
          <w:tcPr>
            <w:tcW w:w="5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44"/>
        </w:trPr>
        <w:tc>
          <w:tcPr>
            <w:tcW w:w="5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(2.2)%</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0.2 %</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(0.5)%</w:t>
            </w: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(0.5)%</w:t>
            </w:r>
          </w:p>
        </w:tc>
      </w:tr>
      <w:tr>
        <w:trPr>
          <w:trHeight w:val="146"/>
        </w:trPr>
        <w:tc>
          <w:tcPr>
            <w:tcW w:w="5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8.6 %</w:t>
            </w:r>
          </w:p>
        </w:tc>
        <w:tc>
          <w:tcPr>
            <w:tcW w:w="100" w:type="dxa"/>
            <w:vAlign w:val="bottom"/>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(4.1)%</w:t>
            </w:r>
          </w:p>
        </w:tc>
        <w:tc>
          <w:tcPr>
            <w:tcW w:w="100" w:type="dxa"/>
            <w:vAlign w:val="bottom"/>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6.1 %</w:t>
            </w:r>
          </w:p>
        </w:tc>
        <w:tc>
          <w:tcPr>
            <w:tcW w:w="80" w:type="dxa"/>
            <w:vAlign w:val="bottom"/>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(3.1)%</w:t>
            </w:r>
          </w:p>
        </w:tc>
      </w:tr>
      <w:tr>
        <w:trPr>
          <w:trHeight w:val="133"/>
        </w:trPr>
        <w:tc>
          <w:tcPr>
            <w:tcW w:w="52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6.4 %</w:t>
            </w:r>
          </w:p>
        </w:tc>
        <w:tc>
          <w:tcPr>
            <w:tcW w:w="100" w:type="dxa"/>
            <w:vAlign w:val="bottom"/>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(3.9)%</w:t>
            </w:r>
          </w:p>
        </w:tc>
        <w:tc>
          <w:tcPr>
            <w:tcW w:w="100" w:type="dxa"/>
            <w:vAlign w:val="bottom"/>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5.6 %</w:t>
            </w:r>
          </w:p>
        </w:tc>
        <w:tc>
          <w:tcPr>
            <w:tcW w:w="80" w:type="dxa"/>
            <w:vAlign w:val="bottom"/>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(3.6)%</w:t>
            </w:r>
          </w:p>
        </w:tc>
      </w:tr>
      <w:tr>
        <w:trPr>
          <w:trHeight w:val="20"/>
        </w:trPr>
        <w:tc>
          <w:tcPr>
            <w:tcW w:w="5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44"/>
        </w:trPr>
        <w:tc>
          <w:tcPr>
            <w:tcW w:w="5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6.5 %</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(6.0)%</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(1.7)%</w:t>
            </w: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(2.5)%</w:t>
            </w:r>
          </w:p>
        </w:tc>
      </w:tr>
      <w:tr>
        <w:trPr>
          <w:trHeight w:val="146"/>
        </w:trPr>
        <w:tc>
          <w:tcPr>
            <w:tcW w:w="5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4.6 %</w:t>
            </w:r>
          </w:p>
        </w:tc>
        <w:tc>
          <w:tcPr>
            <w:tcW w:w="100" w:type="dxa"/>
            <w:vAlign w:val="bottom"/>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(2.2)%</w:t>
            </w:r>
          </w:p>
        </w:tc>
        <w:tc>
          <w:tcPr>
            <w:tcW w:w="100" w:type="dxa"/>
            <w:vAlign w:val="bottom"/>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2.8 %</w:t>
            </w:r>
          </w:p>
        </w:tc>
        <w:tc>
          <w:tcPr>
            <w:tcW w:w="80" w:type="dxa"/>
            <w:vAlign w:val="bottom"/>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(1.6)%</w:t>
            </w:r>
          </w:p>
        </w:tc>
      </w:tr>
      <w:tr>
        <w:trPr>
          <w:trHeight w:val="133"/>
        </w:trPr>
        <w:tc>
          <w:tcPr>
            <w:tcW w:w="52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11.1 %</w:t>
            </w:r>
          </w:p>
        </w:tc>
        <w:tc>
          <w:tcPr>
            <w:tcW w:w="100" w:type="dxa"/>
            <w:vAlign w:val="bottom"/>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(8.2)%</w:t>
            </w:r>
          </w:p>
        </w:tc>
        <w:tc>
          <w:tcPr>
            <w:tcW w:w="100" w:type="dxa"/>
            <w:vAlign w:val="bottom"/>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1.1 %</w:t>
            </w:r>
          </w:p>
        </w:tc>
        <w:tc>
          <w:tcPr>
            <w:tcW w:w="80" w:type="dxa"/>
            <w:vAlign w:val="bottom"/>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(4.1)%</w:t>
            </w:r>
          </w:p>
        </w:tc>
      </w:tr>
      <w:tr>
        <w:trPr>
          <w:trHeight w:val="20"/>
        </w:trPr>
        <w:tc>
          <w:tcPr>
            <w:tcW w:w="5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388"/>
        </w:trPr>
        <w:tc>
          <w:tcPr>
            <w:tcW w:w="520" w:type="dxa"/>
            <w:vAlign w:val="bottom"/>
          </w:tcPr>
          <w:p>
            <w:pPr>
              <w:jc w:val="right"/>
              <w:ind w:right="411"/>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ind w:right="66"/>
              <w:spacing w:after="0"/>
              <w:rPr>
                <w:sz w:val="20"/>
                <w:szCs w:val="20"/>
                <w:color w:val="auto"/>
              </w:rPr>
            </w:pPr>
            <w:r>
              <w:rPr>
                <w:rFonts w:ascii="Arial" w:cs="Arial" w:eastAsia="Arial" w:hAnsi="Arial"/>
                <w:sz w:val="11"/>
                <w:szCs w:val="11"/>
                <w:color w:val="auto"/>
              </w:rPr>
              <w:t>47,539</w:t>
            </w:r>
          </w:p>
        </w:tc>
        <w:tc>
          <w:tcPr>
            <w:tcW w:w="100" w:type="dxa"/>
            <w:vAlign w:val="bottom"/>
          </w:tcPr>
          <w:p>
            <w:pPr>
              <w:spacing w:after="0"/>
              <w:rPr>
                <w:sz w:val="24"/>
                <w:szCs w:val="24"/>
                <w:color w:val="auto"/>
              </w:rPr>
            </w:pPr>
          </w:p>
        </w:tc>
        <w:tc>
          <w:tcPr>
            <w:tcW w:w="520" w:type="dxa"/>
            <w:vAlign w:val="bottom"/>
          </w:tcPr>
          <w:p>
            <w:pPr>
              <w:jc w:val="right"/>
              <w:ind w:right="411"/>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ind w:right="66"/>
              <w:spacing w:after="0"/>
              <w:rPr>
                <w:sz w:val="20"/>
                <w:szCs w:val="20"/>
                <w:color w:val="auto"/>
              </w:rPr>
            </w:pPr>
            <w:r>
              <w:rPr>
                <w:rFonts w:ascii="Arial" w:cs="Arial" w:eastAsia="Arial" w:hAnsi="Arial"/>
                <w:sz w:val="11"/>
                <w:szCs w:val="11"/>
                <w:color w:val="auto"/>
              </w:rPr>
              <w:t>36,401</w:t>
            </w:r>
          </w:p>
        </w:tc>
        <w:tc>
          <w:tcPr>
            <w:tcW w:w="100" w:type="dxa"/>
            <w:vAlign w:val="bottom"/>
          </w:tcPr>
          <w:p>
            <w:pPr>
              <w:spacing w:after="0"/>
              <w:rPr>
                <w:sz w:val="24"/>
                <w:szCs w:val="24"/>
                <w:color w:val="auto"/>
              </w:rPr>
            </w:pPr>
          </w:p>
        </w:tc>
        <w:tc>
          <w:tcPr>
            <w:tcW w:w="500" w:type="dxa"/>
            <w:vAlign w:val="bottom"/>
          </w:tcPr>
          <w:p>
            <w:pPr>
              <w:jc w:val="right"/>
              <w:ind w:right="391"/>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ind w:right="86"/>
              <w:spacing w:after="0"/>
              <w:rPr>
                <w:sz w:val="20"/>
                <w:szCs w:val="20"/>
                <w:color w:val="auto"/>
              </w:rPr>
            </w:pPr>
            <w:r>
              <w:rPr>
                <w:rFonts w:ascii="Arial" w:cs="Arial" w:eastAsia="Arial" w:hAnsi="Arial"/>
                <w:sz w:val="11"/>
                <w:szCs w:val="11"/>
                <w:color w:val="auto"/>
              </w:rPr>
              <w:t>126,818</w:t>
            </w:r>
          </w:p>
        </w:tc>
        <w:tc>
          <w:tcPr>
            <w:tcW w:w="80" w:type="dxa"/>
            <w:vAlign w:val="bottom"/>
          </w:tcPr>
          <w:p>
            <w:pPr>
              <w:spacing w:after="0"/>
              <w:rPr>
                <w:sz w:val="24"/>
                <w:szCs w:val="24"/>
                <w:color w:val="auto"/>
              </w:rPr>
            </w:pPr>
          </w:p>
        </w:tc>
        <w:tc>
          <w:tcPr>
            <w:tcW w:w="500" w:type="dxa"/>
            <w:vAlign w:val="bottom"/>
          </w:tcPr>
          <w:p>
            <w:pPr>
              <w:jc w:val="right"/>
              <w:ind w:right="391"/>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ind w:right="86"/>
              <w:spacing w:after="0"/>
              <w:rPr>
                <w:sz w:val="20"/>
                <w:szCs w:val="20"/>
                <w:color w:val="auto"/>
              </w:rPr>
            </w:pPr>
            <w:r>
              <w:rPr>
                <w:rFonts w:ascii="Arial" w:cs="Arial" w:eastAsia="Arial" w:hAnsi="Arial"/>
                <w:sz w:val="11"/>
                <w:szCs w:val="11"/>
                <w:color w:val="auto"/>
              </w:rPr>
              <w:t>119,499</w:t>
            </w:r>
          </w:p>
        </w:tc>
      </w:tr>
      <w:tr>
        <w:trPr>
          <w:trHeight w:val="146"/>
        </w:trPr>
        <w:tc>
          <w:tcPr>
            <w:tcW w:w="5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5,656</w:t>
            </w:r>
          </w:p>
        </w:tc>
        <w:tc>
          <w:tcPr>
            <w:tcW w:w="100" w:type="dxa"/>
            <w:vAlign w:val="bottom"/>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4,379</w:t>
            </w:r>
          </w:p>
        </w:tc>
        <w:tc>
          <w:tcPr>
            <w:tcW w:w="100" w:type="dxa"/>
            <w:vAlign w:val="bottom"/>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17,107</w:t>
            </w:r>
          </w:p>
        </w:tc>
        <w:tc>
          <w:tcPr>
            <w:tcW w:w="80" w:type="dxa"/>
            <w:vAlign w:val="bottom"/>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14,991</w:t>
            </w:r>
          </w:p>
        </w:tc>
      </w:tr>
      <w:tr>
        <w:trPr>
          <w:trHeight w:val="133"/>
        </w:trPr>
        <w:tc>
          <w:tcPr>
            <w:tcW w:w="520" w:type="dxa"/>
            <w:vAlign w:val="bottom"/>
            <w:tcBorders>
              <w:bottom w:val="single" w:sz="8" w:color="auto"/>
            </w:tcBorders>
          </w:tcPr>
          <w:p>
            <w:pPr>
              <w:jc w:val="right"/>
              <w:ind w:right="411"/>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53,195</w:t>
            </w:r>
          </w:p>
        </w:tc>
        <w:tc>
          <w:tcPr>
            <w:tcW w:w="100" w:type="dxa"/>
            <w:vAlign w:val="bottom"/>
          </w:tcPr>
          <w:p>
            <w:pPr>
              <w:spacing w:after="0"/>
              <w:rPr>
                <w:sz w:val="11"/>
                <w:szCs w:val="11"/>
                <w:color w:val="auto"/>
              </w:rPr>
            </w:pPr>
          </w:p>
        </w:tc>
        <w:tc>
          <w:tcPr>
            <w:tcW w:w="520" w:type="dxa"/>
            <w:vAlign w:val="bottom"/>
            <w:tcBorders>
              <w:bottom w:val="single" w:sz="8" w:color="auto"/>
            </w:tcBorders>
          </w:tcPr>
          <w:p>
            <w:pPr>
              <w:jc w:val="right"/>
              <w:ind w:right="411"/>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40,780</w:t>
            </w:r>
          </w:p>
        </w:tc>
        <w:tc>
          <w:tcPr>
            <w:tcW w:w="100" w:type="dxa"/>
            <w:vAlign w:val="bottom"/>
          </w:tcPr>
          <w:p>
            <w:pPr>
              <w:spacing w:after="0"/>
              <w:rPr>
                <w:sz w:val="11"/>
                <w:szCs w:val="11"/>
                <w:color w:val="auto"/>
              </w:rPr>
            </w:pPr>
          </w:p>
        </w:tc>
        <w:tc>
          <w:tcPr>
            <w:tcW w:w="500" w:type="dxa"/>
            <w:vAlign w:val="bottom"/>
            <w:tcBorders>
              <w:bottom w:val="single" w:sz="8" w:color="auto"/>
            </w:tcBorders>
          </w:tcPr>
          <w:p>
            <w:pPr>
              <w:jc w:val="right"/>
              <w:ind w:right="391"/>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143,925</w:t>
            </w:r>
          </w:p>
        </w:tc>
        <w:tc>
          <w:tcPr>
            <w:tcW w:w="80" w:type="dxa"/>
            <w:vAlign w:val="bottom"/>
          </w:tcPr>
          <w:p>
            <w:pPr>
              <w:spacing w:after="0"/>
              <w:rPr>
                <w:sz w:val="11"/>
                <w:szCs w:val="11"/>
                <w:color w:val="auto"/>
              </w:rPr>
            </w:pPr>
          </w:p>
        </w:tc>
        <w:tc>
          <w:tcPr>
            <w:tcW w:w="500" w:type="dxa"/>
            <w:vAlign w:val="bottom"/>
            <w:tcBorders>
              <w:bottom w:val="single" w:sz="8" w:color="auto"/>
            </w:tcBorders>
          </w:tcPr>
          <w:p>
            <w:pPr>
              <w:jc w:val="right"/>
              <w:ind w:right="391"/>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134,490</w:t>
            </w:r>
          </w:p>
        </w:tc>
      </w:tr>
      <w:tr>
        <w:trPr>
          <w:trHeight w:val="20"/>
        </w:trPr>
        <w:tc>
          <w:tcPr>
            <w:tcW w:w="5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44"/>
        </w:trPr>
        <w:tc>
          <w:tcPr>
            <w:tcW w:w="5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21.8 %</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18.8 %</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20.8 %</w:t>
            </w: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19.5 %</w:t>
            </w:r>
          </w:p>
        </w:tc>
      </w:tr>
      <w:tr>
        <w:trPr>
          <w:trHeight w:val="146"/>
        </w:trPr>
        <w:tc>
          <w:tcPr>
            <w:tcW w:w="5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7.3 %</w:t>
            </w:r>
          </w:p>
        </w:tc>
        <w:tc>
          <w:tcPr>
            <w:tcW w:w="100" w:type="dxa"/>
            <w:vAlign w:val="bottom"/>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6.0 %</w:t>
            </w:r>
          </w:p>
        </w:tc>
        <w:tc>
          <w:tcPr>
            <w:tcW w:w="100" w:type="dxa"/>
            <w:vAlign w:val="bottom"/>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7.5 %</w:t>
            </w:r>
          </w:p>
        </w:tc>
        <w:tc>
          <w:tcPr>
            <w:tcW w:w="80" w:type="dxa"/>
            <w:vAlign w:val="bottom"/>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6.9 %</w:t>
            </w:r>
          </w:p>
        </w:tc>
      </w:tr>
      <w:tr>
        <w:trPr>
          <w:trHeight w:val="133"/>
        </w:trPr>
        <w:tc>
          <w:tcPr>
            <w:tcW w:w="52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18.0 %</w:t>
            </w:r>
          </w:p>
        </w:tc>
        <w:tc>
          <w:tcPr>
            <w:tcW w:w="100" w:type="dxa"/>
            <w:vAlign w:val="bottom"/>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15.3 %</w:t>
            </w:r>
          </w:p>
        </w:tc>
        <w:tc>
          <w:tcPr>
            <w:tcW w:w="100" w:type="dxa"/>
            <w:vAlign w:val="bottom"/>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17.2 %</w:t>
            </w:r>
          </w:p>
        </w:tc>
        <w:tc>
          <w:tcPr>
            <w:tcW w:w="80" w:type="dxa"/>
            <w:vAlign w:val="bottom"/>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16.2 %</w:t>
            </w:r>
          </w:p>
        </w:tc>
      </w:tr>
      <w:tr>
        <w:trPr>
          <w:trHeight w:val="20"/>
        </w:trPr>
        <w:tc>
          <w:tcPr>
            <w:tcW w:w="5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-3420745</wp:posOffset>
            </wp:positionH>
            <wp:positionV relativeFrom="paragraph">
              <wp:posOffset>-1833880</wp:posOffset>
            </wp:positionV>
            <wp:extent cx="7178040" cy="914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8040" cy="91440"/>
                    </a:xfrm>
                    <a:prstGeom prst="rect">
                      <a:avLst/>
                    </a:prstGeom>
                    <a:noFill/>
                  </pic:spPr>
                </pic:pic>
              </a:graphicData>
            </a:graphic>
          </wp:anchor>
        </w:drawing>
        <w:drawing>
          <wp:anchor simplePos="0" relativeHeight="251657728" behindDoc="1" locked="0" layoutInCell="0" allowOverlap="1">
            <wp:simplePos x="0" y="0"/>
            <wp:positionH relativeFrom="column">
              <wp:posOffset>-3420745</wp:posOffset>
            </wp:positionH>
            <wp:positionV relativeFrom="paragraph">
              <wp:posOffset>-1633855</wp:posOffset>
            </wp:positionV>
            <wp:extent cx="7178040" cy="914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8040" cy="91440"/>
                    </a:xfrm>
                    <a:prstGeom prst="rect">
                      <a:avLst/>
                    </a:prstGeom>
                    <a:noFill/>
                  </pic:spPr>
                </pic:pic>
              </a:graphicData>
            </a:graphic>
          </wp:anchor>
        </w:drawing>
        <w:drawing>
          <wp:anchor simplePos="0" relativeHeight="251657728" behindDoc="1" locked="0" layoutInCell="0" allowOverlap="1">
            <wp:simplePos x="0" y="0"/>
            <wp:positionH relativeFrom="column">
              <wp:posOffset>-3420745</wp:posOffset>
            </wp:positionH>
            <wp:positionV relativeFrom="paragraph">
              <wp:posOffset>-1450975</wp:posOffset>
            </wp:positionV>
            <wp:extent cx="7178040" cy="914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8040" cy="91440"/>
                    </a:xfrm>
                    <a:prstGeom prst="rect">
                      <a:avLst/>
                    </a:prstGeom>
                    <a:noFill/>
                  </pic:spPr>
                </pic:pic>
              </a:graphicData>
            </a:graphic>
          </wp:anchor>
        </w:drawing>
        <w:drawing>
          <wp:anchor simplePos="0" relativeHeight="251657728" behindDoc="1" locked="0" layoutInCell="0" allowOverlap="1">
            <wp:simplePos x="0" y="0"/>
            <wp:positionH relativeFrom="column">
              <wp:posOffset>-3420745</wp:posOffset>
            </wp:positionH>
            <wp:positionV relativeFrom="paragraph">
              <wp:posOffset>-1250950</wp:posOffset>
            </wp:positionV>
            <wp:extent cx="7178040" cy="914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8040" cy="91440"/>
                    </a:xfrm>
                    <a:prstGeom prst="rect">
                      <a:avLst/>
                    </a:prstGeom>
                    <a:noFill/>
                  </pic:spPr>
                </pic:pic>
              </a:graphicData>
            </a:graphic>
          </wp:anchor>
        </w:drawing>
        <w:drawing>
          <wp:anchor simplePos="0" relativeHeight="251657728" behindDoc="1" locked="0" layoutInCell="0" allowOverlap="1">
            <wp:simplePos x="0" y="0"/>
            <wp:positionH relativeFrom="column">
              <wp:posOffset>-3420745</wp:posOffset>
            </wp:positionH>
            <wp:positionV relativeFrom="paragraph">
              <wp:posOffset>-1068070</wp:posOffset>
            </wp:positionV>
            <wp:extent cx="7178040" cy="914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8040" cy="91440"/>
                    </a:xfrm>
                    <a:prstGeom prst="rect">
                      <a:avLst/>
                    </a:prstGeom>
                    <a:noFill/>
                  </pic:spPr>
                </pic:pic>
              </a:graphicData>
            </a:graphic>
          </wp:anchor>
        </w:drawing>
        <w:drawing>
          <wp:anchor simplePos="0" relativeHeight="251657728" behindDoc="1" locked="0" layoutInCell="0" allowOverlap="1">
            <wp:simplePos x="0" y="0"/>
            <wp:positionH relativeFrom="column">
              <wp:posOffset>-3420745</wp:posOffset>
            </wp:positionH>
            <wp:positionV relativeFrom="paragraph">
              <wp:posOffset>-868045</wp:posOffset>
            </wp:positionV>
            <wp:extent cx="7178040" cy="914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8040" cy="91440"/>
                    </a:xfrm>
                    <a:prstGeom prst="rect">
                      <a:avLst/>
                    </a:prstGeom>
                    <a:noFill/>
                  </pic:spPr>
                </pic:pic>
              </a:graphicData>
            </a:graphic>
          </wp:anchor>
        </w:drawing>
        <w:drawing>
          <wp:anchor simplePos="0" relativeHeight="251657728" behindDoc="1" locked="0" layoutInCell="0" allowOverlap="1">
            <wp:simplePos x="0" y="0"/>
            <wp:positionH relativeFrom="column">
              <wp:posOffset>-3420745</wp:posOffset>
            </wp:positionH>
            <wp:positionV relativeFrom="paragraph">
              <wp:posOffset>-685165</wp:posOffset>
            </wp:positionV>
            <wp:extent cx="7178040" cy="914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8040" cy="91440"/>
                    </a:xfrm>
                    <a:prstGeom prst="rect">
                      <a:avLst/>
                    </a:prstGeom>
                    <a:noFill/>
                  </pic:spPr>
                </pic:pic>
              </a:graphicData>
            </a:graphic>
          </wp:anchor>
        </w:drawing>
        <w:drawing>
          <wp:anchor simplePos="0" relativeHeight="251657728" behindDoc="1" locked="0" layoutInCell="0" allowOverlap="1">
            <wp:simplePos x="0" y="0"/>
            <wp:positionH relativeFrom="column">
              <wp:posOffset>-3420745</wp:posOffset>
            </wp:positionH>
            <wp:positionV relativeFrom="paragraph">
              <wp:posOffset>-502285</wp:posOffset>
            </wp:positionV>
            <wp:extent cx="7178040" cy="1085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8040" cy="108585"/>
                    </a:xfrm>
                    <a:prstGeom prst="rect">
                      <a:avLst/>
                    </a:prstGeom>
                    <a:noFill/>
                  </pic:spPr>
                </pic:pic>
              </a:graphicData>
            </a:graphic>
          </wp:anchor>
        </w:drawing>
        <w:drawing>
          <wp:anchor simplePos="0" relativeHeight="251657728" behindDoc="1" locked="0" layoutInCell="0" allowOverlap="1">
            <wp:simplePos x="0" y="0"/>
            <wp:positionH relativeFrom="column">
              <wp:posOffset>-3420745</wp:posOffset>
            </wp:positionH>
            <wp:positionV relativeFrom="paragraph">
              <wp:posOffset>-302260</wp:posOffset>
            </wp:positionV>
            <wp:extent cx="7178040" cy="914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8040" cy="91440"/>
                    </a:xfrm>
                    <a:prstGeom prst="rect">
                      <a:avLst/>
                    </a:prstGeom>
                    <a:noFill/>
                  </pic:spPr>
                </pic:pic>
              </a:graphicData>
            </a:graphic>
          </wp:anchor>
        </w:drawing>
        <w:drawing>
          <wp:anchor simplePos="0" relativeHeight="251657728" behindDoc="1" locked="0" layoutInCell="0" allowOverlap="1">
            <wp:simplePos x="0" y="0"/>
            <wp:positionH relativeFrom="column">
              <wp:posOffset>-3420745</wp:posOffset>
            </wp:positionH>
            <wp:positionV relativeFrom="paragraph">
              <wp:posOffset>-119380</wp:posOffset>
            </wp:positionV>
            <wp:extent cx="7178040" cy="1085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8040" cy="10858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660" w:space="720"/>
            <w:col w:w="5920"/>
          </w:cols>
          <w:pgMar w:left="300" w:top="562" w:right="299" w:bottom="1440" w:gutter="0" w:footer="0" w:header="0"/>
        </w:sectPr>
      </w:pP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5380" w:type="dxa"/>
            <w:vAlign w:val="bottom"/>
          </w:tcPr>
          <w:p>
            <w:pPr>
              <w:spacing w:after="0"/>
              <w:rPr>
                <w:sz w:val="12"/>
                <w:szCs w:val="12"/>
                <w:color w:val="auto"/>
              </w:rPr>
            </w:pPr>
          </w:p>
        </w:tc>
        <w:tc>
          <w:tcPr>
            <w:tcW w:w="2380" w:type="dxa"/>
            <w:vAlign w:val="bottom"/>
            <w:tcBorders>
              <w:bottom w:val="single" w:sz="8" w:color="auto"/>
            </w:tcBorders>
            <w:gridSpan w:val="4"/>
          </w:tcPr>
          <w:p>
            <w:pPr>
              <w:jc w:val="right"/>
              <w:ind w:right="230"/>
              <w:spacing w:after="0"/>
              <w:rPr>
                <w:sz w:val="20"/>
                <w:szCs w:val="20"/>
                <w:color w:val="auto"/>
              </w:rPr>
            </w:pPr>
            <w:r>
              <w:rPr>
                <w:rFonts w:ascii="Arial" w:cs="Arial" w:eastAsia="Arial" w:hAnsi="Arial"/>
                <w:sz w:val="11"/>
                <w:szCs w:val="11"/>
                <w:color w:val="auto"/>
              </w:rPr>
              <w:t>Three months ended April 30,</w:t>
            </w:r>
          </w:p>
        </w:tc>
        <w:tc>
          <w:tcPr>
            <w:tcW w:w="5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76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color w:val="auto"/>
              </w:rPr>
              <w:t>Nine months ended April 30,</w:t>
            </w:r>
          </w:p>
        </w:tc>
        <w:tc>
          <w:tcPr>
            <w:tcW w:w="820" w:type="dxa"/>
            <w:vAlign w:val="bottom"/>
            <w:tcBorders>
              <w:bottom w:val="single" w:sz="8" w:color="auto"/>
            </w:tcBorders>
          </w:tcPr>
          <w:p>
            <w:pPr>
              <w:spacing w:after="0"/>
              <w:rPr>
                <w:sz w:val="12"/>
                <w:szCs w:val="12"/>
                <w:color w:val="auto"/>
              </w:rPr>
            </w:pPr>
          </w:p>
        </w:tc>
      </w:tr>
      <w:tr>
        <w:trPr>
          <w:trHeight w:val="133"/>
        </w:trPr>
        <w:tc>
          <w:tcPr>
            <w:tcW w:w="5380" w:type="dxa"/>
            <w:vAlign w:val="bottom"/>
            <w:tcBorders>
              <w:bottom w:val="single" w:sz="8" w:color="CCEEFF"/>
            </w:tcBorders>
          </w:tcPr>
          <w:p>
            <w:pPr>
              <w:spacing w:after="0"/>
              <w:rPr>
                <w:sz w:val="11"/>
                <w:szCs w:val="11"/>
                <w:color w:val="auto"/>
              </w:rPr>
            </w:pPr>
          </w:p>
        </w:tc>
        <w:tc>
          <w:tcPr>
            <w:tcW w:w="900" w:type="dxa"/>
            <w:vAlign w:val="bottom"/>
            <w:tcBorders>
              <w:bottom w:val="single" w:sz="8" w:color="auto"/>
            </w:tcBorders>
          </w:tcPr>
          <w:p>
            <w:pPr>
              <w:jc w:val="right"/>
              <w:ind w:right="49"/>
              <w:spacing w:after="0"/>
              <w:rPr>
                <w:sz w:val="20"/>
                <w:szCs w:val="20"/>
                <w:color w:val="auto"/>
              </w:rPr>
            </w:pPr>
            <w:r>
              <w:rPr>
                <w:rFonts w:ascii="Arial" w:cs="Arial" w:eastAsia="Arial" w:hAnsi="Arial"/>
                <w:sz w:val="11"/>
                <w:szCs w:val="11"/>
                <w:color w:val="auto"/>
              </w:rPr>
              <w:t>2021</w:t>
            </w:r>
          </w:p>
        </w:tc>
        <w:tc>
          <w:tcPr>
            <w:tcW w:w="50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1"/>
                <w:szCs w:val="11"/>
                <w:color w:val="auto"/>
              </w:rPr>
              <w:t>2020</w:t>
            </w:r>
          </w:p>
        </w:tc>
        <w:tc>
          <w:tcPr>
            <w:tcW w:w="52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jc w:val="right"/>
              <w:ind w:right="546"/>
              <w:spacing w:after="0"/>
              <w:rPr>
                <w:sz w:val="20"/>
                <w:szCs w:val="20"/>
                <w:color w:val="auto"/>
              </w:rPr>
            </w:pPr>
            <w:r>
              <w:rPr>
                <w:rFonts w:ascii="Arial" w:cs="Arial" w:eastAsia="Arial" w:hAnsi="Arial"/>
                <w:sz w:val="11"/>
                <w:szCs w:val="11"/>
                <w:color w:val="auto"/>
              </w:rPr>
              <w:t>2021</w:t>
            </w:r>
          </w:p>
        </w:tc>
        <w:tc>
          <w:tcPr>
            <w:tcW w:w="80" w:type="dxa"/>
            <w:vAlign w:val="bottom"/>
            <w:tcBorders>
              <w:bottom w:val="single" w:sz="8" w:color="CCEEFF"/>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ind w:right="546"/>
              <w:spacing w:after="0"/>
              <w:rPr>
                <w:sz w:val="20"/>
                <w:szCs w:val="20"/>
                <w:color w:val="auto"/>
              </w:rPr>
            </w:pPr>
            <w:r>
              <w:rPr>
                <w:rFonts w:ascii="Arial" w:cs="Arial" w:eastAsia="Arial" w:hAnsi="Arial"/>
                <w:sz w:val="11"/>
                <w:szCs w:val="11"/>
                <w:color w:val="auto"/>
                <w:w w:val="81"/>
              </w:rPr>
              <w:t>2020</w:t>
            </w:r>
          </w:p>
        </w:tc>
      </w:tr>
      <w:tr>
        <w:trPr>
          <w:trHeight w:val="135"/>
        </w:trPr>
        <w:tc>
          <w:tcPr>
            <w:tcW w:w="5380" w:type="dxa"/>
            <w:vAlign w:val="bottom"/>
            <w:shd w:val="clear" w:color="auto" w:fill="CCEEFF"/>
          </w:tcPr>
          <w:p>
            <w:pPr>
              <w:spacing w:after="0"/>
              <w:rPr>
                <w:sz w:val="20"/>
                <w:szCs w:val="20"/>
                <w:color w:val="auto"/>
              </w:rPr>
            </w:pPr>
            <w:r>
              <w:rPr>
                <w:rFonts w:ascii="Arial" w:cs="Arial" w:eastAsia="Arial" w:hAnsi="Arial"/>
                <w:sz w:val="11"/>
                <w:szCs w:val="11"/>
                <w:color w:val="auto"/>
              </w:rPr>
              <w:t>Total segment profit</w:t>
            </w:r>
          </w:p>
        </w:tc>
        <w:tc>
          <w:tcPr>
            <w:tcW w:w="900" w:type="dxa"/>
            <w:vAlign w:val="bottom"/>
            <w:shd w:val="clear" w:color="auto" w:fill="CCEEFF"/>
          </w:tcPr>
          <w:p>
            <w:pPr>
              <w:jc w:val="right"/>
              <w:ind w:right="789"/>
              <w:spacing w:after="0"/>
              <w:rPr>
                <w:sz w:val="20"/>
                <w:szCs w:val="20"/>
                <w:color w:val="auto"/>
              </w:rPr>
            </w:pPr>
            <w:r>
              <w:rPr>
                <w:rFonts w:ascii="Arial" w:cs="Arial" w:eastAsia="Arial" w:hAnsi="Arial"/>
                <w:sz w:val="10"/>
                <w:szCs w:val="10"/>
                <w:color w:val="auto"/>
                <w:w w:val="71"/>
              </w:rPr>
              <w:t>$</w:t>
            </w:r>
          </w:p>
        </w:tc>
        <w:tc>
          <w:tcPr>
            <w:tcW w:w="50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53,195</w:t>
            </w: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jc w:val="right"/>
              <w:ind w:right="770"/>
              <w:spacing w:after="0"/>
              <w:rPr>
                <w:sz w:val="20"/>
                <w:szCs w:val="20"/>
                <w:color w:val="auto"/>
              </w:rPr>
            </w:pPr>
            <w:r>
              <w:rPr>
                <w:rFonts w:ascii="Arial" w:cs="Arial" w:eastAsia="Arial" w:hAnsi="Arial"/>
                <w:sz w:val="10"/>
                <w:szCs w:val="10"/>
                <w:color w:val="auto"/>
                <w:w w:val="71"/>
              </w:rPr>
              <w:t>$</w:t>
            </w:r>
          </w:p>
        </w:tc>
        <w:tc>
          <w:tcPr>
            <w:tcW w:w="52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40,780</w:t>
            </w: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jc w:val="right"/>
              <w:ind w:right="231"/>
              <w:spacing w:after="0"/>
              <w:rPr>
                <w:sz w:val="20"/>
                <w:szCs w:val="20"/>
                <w:color w:val="auto"/>
              </w:rPr>
            </w:pPr>
            <w:r>
              <w:rPr>
                <w:rFonts w:ascii="Arial" w:cs="Arial" w:eastAsia="Arial" w:hAnsi="Arial"/>
                <w:sz w:val="10"/>
                <w:szCs w:val="10"/>
                <w:color w:val="auto"/>
                <w:w w:val="71"/>
              </w:rPr>
              <w:t>$</w:t>
            </w:r>
          </w:p>
        </w:tc>
        <w:tc>
          <w:tcPr>
            <w:tcW w:w="108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rPr>
              <w:t>143,925</w:t>
            </w: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jc w:val="right"/>
              <w:ind w:right="491"/>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rPr>
              <w:t>134,490</w:t>
            </w:r>
          </w:p>
        </w:tc>
      </w:tr>
      <w:tr>
        <w:trPr>
          <w:trHeight w:val="142"/>
        </w:trPr>
        <w:tc>
          <w:tcPr>
            <w:tcW w:w="5380" w:type="dxa"/>
            <w:vAlign w:val="bottom"/>
          </w:tcPr>
          <w:p>
            <w:pPr>
              <w:spacing w:after="0"/>
              <w:rPr>
                <w:sz w:val="20"/>
                <w:szCs w:val="20"/>
                <w:color w:val="auto"/>
              </w:rPr>
            </w:pPr>
            <w:r>
              <w:rPr>
                <w:rFonts w:ascii="Arial" w:cs="Arial" w:eastAsia="Arial" w:hAnsi="Arial"/>
                <w:sz w:val="11"/>
                <w:szCs w:val="11"/>
                <w:color w:val="auto"/>
              </w:rPr>
              <w:t>Unallocated amounts:</w:t>
            </w:r>
          </w:p>
        </w:tc>
        <w:tc>
          <w:tcPr>
            <w:tcW w:w="9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20" w:type="dxa"/>
            <w:vAlign w:val="bottom"/>
          </w:tcPr>
          <w:p>
            <w:pPr>
              <w:spacing w:after="0"/>
              <w:rPr>
                <w:sz w:val="12"/>
                <w:szCs w:val="12"/>
                <w:color w:val="auto"/>
              </w:rPr>
            </w:pPr>
          </w:p>
        </w:tc>
      </w:tr>
      <w:tr>
        <w:trPr>
          <w:trHeight w:val="146"/>
        </w:trPr>
        <w:tc>
          <w:tcPr>
            <w:tcW w:w="5380" w:type="dxa"/>
            <w:vAlign w:val="bottom"/>
            <w:shd w:val="clear" w:color="auto" w:fill="CCEEFF"/>
          </w:tcPr>
          <w:p>
            <w:pPr>
              <w:ind w:left="220"/>
              <w:spacing w:after="0"/>
              <w:rPr>
                <w:sz w:val="20"/>
                <w:szCs w:val="20"/>
                <w:color w:val="auto"/>
              </w:rPr>
            </w:pPr>
            <w:r>
              <w:rPr>
                <w:rFonts w:ascii="Arial" w:cs="Arial" w:eastAsia="Arial" w:hAnsi="Arial"/>
                <w:sz w:val="11"/>
                <w:szCs w:val="11"/>
                <w:color w:val="auto"/>
              </w:rPr>
              <w:t>Administrative costs</w:t>
            </w:r>
          </w:p>
        </w:tc>
        <w:tc>
          <w:tcPr>
            <w:tcW w:w="900" w:type="dxa"/>
            <w:vAlign w:val="bottom"/>
            <w:shd w:val="clear" w:color="auto" w:fill="CCEEFF"/>
          </w:tcPr>
          <w:p>
            <w:pPr>
              <w:spacing w:after="0"/>
              <w:rPr>
                <w:sz w:val="12"/>
                <w:szCs w:val="12"/>
                <w:color w:val="auto"/>
              </w:rPr>
            </w:pPr>
          </w:p>
        </w:tc>
        <w:tc>
          <w:tcPr>
            <w:tcW w:w="50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(6,470)</w:t>
            </w: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52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(4,290)</w:t>
            </w: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8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(17,600)</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(15,865)</w:t>
            </w:r>
          </w:p>
        </w:tc>
      </w:tr>
      <w:tr>
        <w:trPr>
          <w:trHeight w:val="142"/>
        </w:trPr>
        <w:tc>
          <w:tcPr>
            <w:tcW w:w="5380" w:type="dxa"/>
            <w:vAlign w:val="bottom"/>
          </w:tcPr>
          <w:p>
            <w:pPr>
              <w:ind w:left="220"/>
              <w:spacing w:after="0"/>
              <w:rPr>
                <w:sz w:val="20"/>
                <w:szCs w:val="20"/>
                <w:color w:val="auto"/>
              </w:rPr>
            </w:pPr>
            <w:r>
              <w:rPr>
                <w:rFonts w:ascii="Arial" w:cs="Arial" w:eastAsia="Arial" w:hAnsi="Arial"/>
                <w:sz w:val="11"/>
                <w:szCs w:val="11"/>
                <w:color w:val="auto"/>
              </w:rPr>
              <w:t>Impairment charges</w:t>
            </w:r>
          </w:p>
        </w:tc>
        <w:tc>
          <w:tcPr>
            <w:tcW w:w="900" w:type="dxa"/>
            <w:vAlign w:val="bottom"/>
          </w:tcPr>
          <w:p>
            <w:pPr>
              <w:spacing w:after="0"/>
              <w:rPr>
                <w:sz w:val="12"/>
                <w:szCs w:val="12"/>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80" w:type="dxa"/>
            <w:vAlign w:val="bottom"/>
          </w:tcPr>
          <w:p>
            <w:pPr>
              <w:spacing w:after="0"/>
              <w:rPr>
                <w:sz w:val="12"/>
                <w:szCs w:val="12"/>
                <w:color w:val="auto"/>
              </w:rPr>
            </w:pPr>
          </w:p>
        </w:tc>
        <w:tc>
          <w:tcPr>
            <w:tcW w:w="520" w:type="dxa"/>
            <w:vAlign w:val="bottom"/>
          </w:tcPr>
          <w:p>
            <w:pPr>
              <w:jc w:val="right"/>
              <w:ind w:right="46"/>
              <w:spacing w:after="0"/>
              <w:rPr>
                <w:sz w:val="20"/>
                <w:szCs w:val="20"/>
                <w:color w:val="auto"/>
              </w:rPr>
            </w:pPr>
            <w:r>
              <w:rPr>
                <w:rFonts w:ascii="Arial" w:cs="Arial" w:eastAsia="Arial" w:hAnsi="Arial"/>
                <w:sz w:val="11"/>
                <w:szCs w:val="11"/>
                <w:color w:val="auto"/>
                <w:w w:val="97"/>
              </w:rPr>
              <w:t>(13,821)</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600" w:type="dxa"/>
            <w:vAlign w:val="bottom"/>
          </w:tcPr>
          <w:p>
            <w:pPr>
              <w:spacing w:after="0"/>
              <w:rPr>
                <w:sz w:val="12"/>
                <w:szCs w:val="12"/>
                <w:color w:val="auto"/>
              </w:rPr>
            </w:pPr>
          </w:p>
        </w:tc>
        <w:tc>
          <w:tcPr>
            <w:tcW w:w="820" w:type="dxa"/>
            <w:vAlign w:val="bottom"/>
          </w:tcPr>
          <w:p>
            <w:pPr>
              <w:jc w:val="right"/>
              <w:ind w:right="66"/>
              <w:spacing w:after="0"/>
              <w:rPr>
                <w:sz w:val="20"/>
                <w:szCs w:val="20"/>
                <w:color w:val="auto"/>
              </w:rPr>
            </w:pPr>
            <w:r>
              <w:rPr>
                <w:rFonts w:ascii="Arial" w:cs="Arial" w:eastAsia="Arial" w:hAnsi="Arial"/>
                <w:sz w:val="11"/>
                <w:szCs w:val="11"/>
                <w:color w:val="auto"/>
              </w:rPr>
              <w:t>(13,821)</w:t>
            </w:r>
          </w:p>
        </w:tc>
      </w:tr>
      <w:tr>
        <w:trPr>
          <w:trHeight w:val="146"/>
        </w:trPr>
        <w:tc>
          <w:tcPr>
            <w:tcW w:w="5380" w:type="dxa"/>
            <w:vAlign w:val="bottom"/>
            <w:shd w:val="clear" w:color="auto" w:fill="CCEEFF"/>
          </w:tcPr>
          <w:p>
            <w:pPr>
              <w:ind w:left="220"/>
              <w:spacing w:after="0"/>
              <w:rPr>
                <w:sz w:val="20"/>
                <w:szCs w:val="20"/>
                <w:color w:val="auto"/>
              </w:rPr>
            </w:pPr>
            <w:r>
              <w:rPr>
                <w:rFonts w:ascii="Arial" w:cs="Arial" w:eastAsia="Arial" w:hAnsi="Arial"/>
                <w:sz w:val="11"/>
                <w:szCs w:val="11"/>
                <w:color w:val="auto"/>
              </w:rPr>
              <w:t>Investment and other income</w:t>
            </w:r>
          </w:p>
        </w:tc>
        <w:tc>
          <w:tcPr>
            <w:tcW w:w="900" w:type="dxa"/>
            <w:vAlign w:val="bottom"/>
            <w:shd w:val="clear" w:color="auto" w:fill="CCEEFF"/>
          </w:tcPr>
          <w:p>
            <w:pPr>
              <w:spacing w:after="0"/>
              <w:rPr>
                <w:sz w:val="12"/>
                <w:szCs w:val="12"/>
                <w:color w:val="auto"/>
              </w:rPr>
            </w:pPr>
          </w:p>
        </w:tc>
        <w:tc>
          <w:tcPr>
            <w:tcW w:w="50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1,181</w:t>
            </w: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52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112</w:t>
            </w: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8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rPr>
              <w:t>3,372</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rPr>
              <w:t>3,252</w:t>
            </w:r>
          </w:p>
        </w:tc>
      </w:tr>
      <w:tr>
        <w:trPr>
          <w:trHeight w:val="142"/>
        </w:trPr>
        <w:tc>
          <w:tcPr>
            <w:tcW w:w="5380" w:type="dxa"/>
            <w:vAlign w:val="bottom"/>
            <w:tcBorders>
              <w:bottom w:val="single" w:sz="8" w:color="CCEEFF"/>
            </w:tcBorders>
          </w:tcPr>
          <w:p>
            <w:pPr>
              <w:ind w:left="220"/>
              <w:spacing w:after="0"/>
              <w:rPr>
                <w:sz w:val="20"/>
                <w:szCs w:val="20"/>
                <w:color w:val="auto"/>
              </w:rPr>
            </w:pPr>
            <w:r>
              <w:rPr>
                <w:rFonts w:ascii="Arial" w:cs="Arial" w:eastAsia="Arial" w:hAnsi="Arial"/>
                <w:sz w:val="11"/>
                <w:szCs w:val="11"/>
                <w:color w:val="auto"/>
              </w:rPr>
              <w:t>Interest expense</w:t>
            </w:r>
          </w:p>
        </w:tc>
        <w:tc>
          <w:tcPr>
            <w:tcW w:w="9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46"/>
              <w:spacing w:after="0"/>
              <w:rPr>
                <w:sz w:val="20"/>
                <w:szCs w:val="20"/>
                <w:color w:val="auto"/>
              </w:rPr>
            </w:pPr>
            <w:r>
              <w:rPr>
                <w:rFonts w:ascii="Arial" w:cs="Arial" w:eastAsia="Arial" w:hAnsi="Arial"/>
                <w:sz w:val="11"/>
                <w:szCs w:val="11"/>
                <w:color w:val="auto"/>
              </w:rPr>
              <w:t>(131)</w:t>
            </w:r>
          </w:p>
        </w:tc>
        <w:tc>
          <w:tcPr>
            <w:tcW w:w="100" w:type="dxa"/>
            <w:vAlign w:val="bottom"/>
            <w:tcBorders>
              <w:bottom w:val="single" w:sz="8" w:color="CCEEFF"/>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46"/>
              <w:spacing w:after="0"/>
              <w:rPr>
                <w:sz w:val="20"/>
                <w:szCs w:val="20"/>
                <w:color w:val="auto"/>
              </w:rPr>
            </w:pPr>
            <w:r>
              <w:rPr>
                <w:rFonts w:ascii="Arial" w:cs="Arial" w:eastAsia="Arial" w:hAnsi="Arial"/>
                <w:sz w:val="11"/>
                <w:szCs w:val="11"/>
                <w:color w:val="auto"/>
              </w:rPr>
              <w:t>(628)</w:t>
            </w:r>
          </w:p>
        </w:tc>
        <w:tc>
          <w:tcPr>
            <w:tcW w:w="10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(288)</w:t>
            </w:r>
          </w:p>
        </w:tc>
        <w:tc>
          <w:tcPr>
            <w:tcW w:w="80" w:type="dxa"/>
            <w:vAlign w:val="bottom"/>
            <w:tcBorders>
              <w:bottom w:val="single" w:sz="8" w:color="CCEEFF"/>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(1,976)</w:t>
            </w:r>
          </w:p>
        </w:tc>
      </w:tr>
      <w:tr>
        <w:trPr>
          <w:trHeight w:val="151"/>
        </w:trPr>
        <w:tc>
          <w:tcPr>
            <w:tcW w:w="5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1"/>
                <w:szCs w:val="11"/>
                <w:color w:val="auto"/>
              </w:rPr>
              <w:t>Income before income taxes and losses of unconsolidated affiliate</w:t>
            </w:r>
          </w:p>
        </w:tc>
        <w:tc>
          <w:tcPr>
            <w:tcW w:w="900" w:type="dxa"/>
            <w:vAlign w:val="bottom"/>
            <w:tcBorders>
              <w:bottom w:val="single" w:sz="8" w:color="auto"/>
            </w:tcBorders>
            <w:shd w:val="clear" w:color="auto" w:fill="CCEEFF"/>
          </w:tcPr>
          <w:p>
            <w:pPr>
              <w:jc w:val="right"/>
              <w:ind w:right="789"/>
              <w:spacing w:after="0"/>
              <w:rPr>
                <w:sz w:val="20"/>
                <w:szCs w:val="20"/>
                <w:color w:val="auto"/>
              </w:rPr>
            </w:pPr>
            <w:r>
              <w:rPr>
                <w:rFonts w:ascii="Arial" w:cs="Arial" w:eastAsia="Arial" w:hAnsi="Arial"/>
                <w:sz w:val="10"/>
                <w:szCs w:val="10"/>
                <w:color w:val="auto"/>
                <w:w w:val="71"/>
              </w:rPr>
              <w:t>$</w:t>
            </w:r>
          </w:p>
        </w:tc>
        <w:tc>
          <w:tcPr>
            <w:tcW w:w="50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47,775</w:t>
            </w:r>
          </w:p>
        </w:tc>
        <w:tc>
          <w:tcPr>
            <w:tcW w:w="100" w:type="dxa"/>
            <w:vAlign w:val="bottom"/>
            <w:tcBorders>
              <w:bottom w:val="single" w:sz="8" w:color="CCEEFF"/>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ind w:right="770"/>
              <w:spacing w:after="0"/>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22,153</w:t>
            </w:r>
          </w:p>
        </w:tc>
        <w:tc>
          <w:tcPr>
            <w:tcW w:w="10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jc w:val="right"/>
              <w:ind w:right="231"/>
              <w:spacing w:after="0"/>
              <w:rPr>
                <w:sz w:val="20"/>
                <w:szCs w:val="20"/>
                <w:color w:val="auto"/>
              </w:rPr>
            </w:pPr>
            <w:r>
              <w:rPr>
                <w:rFonts w:ascii="Arial" w:cs="Arial" w:eastAsia="Arial" w:hAnsi="Arial"/>
                <w:sz w:val="10"/>
                <w:szCs w:val="10"/>
                <w:color w:val="auto"/>
                <w:w w:val="71"/>
              </w:rPr>
              <w:t>$</w:t>
            </w:r>
          </w:p>
        </w:tc>
        <w:tc>
          <w:tcPr>
            <w:tcW w:w="108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1"/>
                <w:szCs w:val="11"/>
                <w:color w:val="auto"/>
              </w:rPr>
              <w:t>129,409</w:t>
            </w:r>
          </w:p>
        </w:tc>
        <w:tc>
          <w:tcPr>
            <w:tcW w:w="8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jc w:val="right"/>
              <w:ind w:right="491"/>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1"/>
                <w:szCs w:val="11"/>
                <w:color w:val="auto"/>
              </w:rPr>
              <w:t>106,080</w:t>
            </w:r>
          </w:p>
        </w:tc>
      </w:tr>
    </w:tbl>
    <w:p>
      <w:pPr>
        <w:sectPr>
          <w:pgSz w:w="11900" w:h="16838" w:orient="portrait"/>
          <w:cols w:equalWidth="0" w:num="1">
            <w:col w:w="11300"/>
          </w:cols>
          <w:pgMar w:left="300" w:top="562" w:right="299" w:bottom="1440" w:gutter="0" w:footer="0" w:header="0"/>
          <w:type w:val="continuous"/>
        </w:sectPr>
      </w:pPr>
    </w:p>
    <w:bookmarkStart w:id="10" w:name="page11"/>
    <w:bookmarkEnd w:id="10"/>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45015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72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0415" cy="45072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4857750</wp:posOffset>
            </wp:positionV>
            <wp:extent cx="7130415" cy="184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0415" cy="1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2021-05-20T06:09:25Z</dcterms:created>
  <dcterms:modified xsi:type="dcterms:W3CDTF">2021-05-20T06:09:25Z</dcterms:modified>
</cp:coreProperties>
</file>