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Date of Report (Date of earliest event reported): February 18, 2011</w:t>
      </w:r>
    </w:p>
    <w:p>
      <w:pPr>
        <w:spacing w:after="0" w:line="200" w:lineRule="exact"/>
        <w:rPr>
          <w:sz w:val="24"/>
          <w:szCs w:val="24"/>
          <w:color w:val="auto"/>
        </w:rPr>
      </w:pPr>
    </w:p>
    <w:p>
      <w:pPr>
        <w:jc w:val="center"/>
        <w:ind w:right="151"/>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8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6"/>
              </w:rPr>
              <w:t>Wisconsin</w:t>
            </w:r>
          </w:p>
        </w:tc>
        <w:tc>
          <w:tcPr>
            <w:tcW w:w="25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30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39-0971239</w:t>
            </w:r>
          </w:p>
        </w:tc>
      </w:tr>
      <w:tr>
        <w:trPr>
          <w:trHeight w:val="209"/>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31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384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of incorporation)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4"/>
        </w:trPr>
        <w:tc>
          <w:tcPr>
            <w:tcW w:w="38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9"/>
              </w:rPr>
              <w:t>6555 West Good Hope Road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4"/>
        </w:trPr>
        <w:tc>
          <w:tcPr>
            <w:tcW w:w="3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1"/>
              </w:rPr>
              <w:t>Milwaukee, Wisconsin</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b w:val="1"/>
                <w:bCs w:val="1"/>
                <w:color w:val="auto"/>
              </w:rPr>
              <w:t>53223</w:t>
            </w:r>
          </w:p>
        </w:tc>
      </w:tr>
      <w:tr>
        <w:trPr>
          <w:trHeight w:val="224"/>
        </w:trPr>
        <w:tc>
          <w:tcPr>
            <w:tcW w:w="384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(Zip Code)</w:t>
            </w:r>
          </w:p>
        </w:tc>
      </w:tr>
    </w:tbl>
    <w:p>
      <w:pPr>
        <w:spacing w:after="0" w:line="197"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121" w:lineRule="exact"/>
        <w:rPr>
          <w:sz w:val="24"/>
          <w:szCs w:val="24"/>
          <w:color w:val="auto"/>
        </w:rPr>
      </w:pPr>
    </w:p>
    <w:p>
      <w:pPr>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1747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color w:val="auto"/>
        </w:rPr>
        <w:t>Item 2.02 RESULTS OF OPERATIONS AND FINANCIAL CONDITION</w:t>
      </w:r>
    </w:p>
    <w:p>
      <w:pPr>
        <w:spacing w:after="0" w:line="198" w:lineRule="exact"/>
        <w:rPr>
          <w:sz w:val="20"/>
          <w:szCs w:val="20"/>
          <w:color w:val="auto"/>
        </w:rPr>
      </w:pPr>
    </w:p>
    <w:p>
      <w:pPr>
        <w:jc w:val="both"/>
        <w:ind w:left="340" w:right="1580" w:firstLine="389"/>
        <w:spacing w:after="0" w:line="264" w:lineRule="auto"/>
        <w:rPr>
          <w:sz w:val="20"/>
          <w:szCs w:val="20"/>
          <w:color w:val="auto"/>
        </w:rPr>
      </w:pPr>
      <w:r>
        <w:rPr>
          <w:rFonts w:ascii="Arial" w:cs="Arial" w:eastAsia="Arial" w:hAnsi="Arial"/>
          <w:sz w:val="18"/>
          <w:szCs w:val="18"/>
          <w:color w:val="auto"/>
        </w:rPr>
        <w:t>On February 18, 2011, Brady Corporation (the “Corporation”) issued a press release announcing its fiscal 2011 second quarter financial results. A copy of the press release is being furnished to the Securities and Exchange Commission as Exhibit 99.1 attached hereto and is incorporated herein by reference.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filed as an Exhibit to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80" w:type="dxa"/>
            <w:vAlign w:val="bottom"/>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c>
          <w:tcPr>
            <w:tcW w:w="1360" w:type="dxa"/>
            <w:vAlign w:val="bottom"/>
          </w:tcPr>
          <w:p>
            <w:pPr>
              <w:spacing w:after="0"/>
              <w:rPr>
                <w:sz w:val="20"/>
                <w:szCs w:val="20"/>
                <w:color w:val="auto"/>
              </w:rPr>
            </w:pPr>
          </w:p>
        </w:tc>
      </w:tr>
      <w:tr>
        <w:trPr>
          <w:trHeight w:val="411"/>
        </w:trPr>
        <w:tc>
          <w:tcPr>
            <w:tcW w:w="340" w:type="dxa"/>
            <w:vAlign w:val="bottom"/>
          </w:tcPr>
          <w:p>
            <w:pPr>
              <w:spacing w:after="0"/>
              <w:rPr>
                <w:sz w:val="24"/>
                <w:szCs w:val="24"/>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3"/>
              </w:rPr>
              <w:t>Press Release of Brady Corporation, dated February 18, 2011, relating to second quarter fiscal 2011 financial</w:t>
            </w: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results.</w:t>
            </w:r>
          </w:p>
        </w:tc>
        <w:tc>
          <w:tcPr>
            <w:tcW w:w="1360" w:type="dxa"/>
            <w:vAlign w:val="bottom"/>
          </w:tcPr>
          <w:p>
            <w:pPr>
              <w:spacing w:after="0"/>
              <w:rPr>
                <w:sz w:val="20"/>
                <w:szCs w:val="20"/>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jc w:val="center"/>
        <w:ind w:right="1040"/>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left="340" w:right="1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BRADY CORPORATION</w:t>
            </w:r>
          </w:p>
        </w:tc>
        <w:tc>
          <w:tcPr>
            <w:tcW w:w="2820" w:type="dxa"/>
            <w:vAlign w:val="bottom"/>
          </w:tcPr>
          <w:p>
            <w:pPr>
              <w:spacing w:after="0"/>
              <w:rPr>
                <w:sz w:val="20"/>
                <w:szCs w:val="20"/>
                <w:color w:val="auto"/>
              </w:rPr>
            </w:pPr>
          </w:p>
        </w:tc>
      </w:tr>
      <w:tr>
        <w:trPr>
          <w:trHeight w:val="432"/>
        </w:trPr>
        <w:tc>
          <w:tcPr>
            <w:tcW w:w="5000" w:type="dxa"/>
            <w:vAlign w:val="bottom"/>
          </w:tcPr>
          <w:p>
            <w:pPr>
              <w:ind w:left="340"/>
              <w:spacing w:after="0"/>
              <w:rPr>
                <w:sz w:val="20"/>
                <w:szCs w:val="20"/>
                <w:color w:val="auto"/>
              </w:rPr>
            </w:pPr>
            <w:r>
              <w:rPr>
                <w:rFonts w:ascii="Arial" w:cs="Arial" w:eastAsia="Arial" w:hAnsi="Arial"/>
                <w:sz w:val="18"/>
                <w:szCs w:val="18"/>
                <w:color w:val="auto"/>
              </w:rPr>
              <w:t>Date: February 22,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2820" w:type="dxa"/>
            <w:vAlign w:val="bottom"/>
          </w:tcPr>
          <w:p>
            <w:pPr>
              <w:spacing w:after="0"/>
              <w:rPr>
                <w:sz w:val="24"/>
                <w:szCs w:val="24"/>
                <w:color w:val="auto"/>
              </w:rPr>
            </w:pPr>
          </w:p>
        </w:tc>
      </w:tr>
      <w:tr>
        <w:trPr>
          <w:trHeight w:val="195"/>
        </w:trPr>
        <w:tc>
          <w:tcPr>
            <w:tcW w:w="500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c>
          <w:tcPr>
            <w:tcW w:w="2820" w:type="dxa"/>
            <w:vAlign w:val="bottom"/>
          </w:tcPr>
          <w:p>
            <w:pPr>
              <w:spacing w:after="0"/>
              <w:rPr>
                <w:sz w:val="16"/>
                <w:szCs w:val="16"/>
                <w:color w:val="auto"/>
              </w:rPr>
            </w:pPr>
          </w:p>
        </w:tc>
      </w:tr>
      <w:tr>
        <w:trPr>
          <w:trHeight w:val="216"/>
        </w:trPr>
        <w:tc>
          <w:tcPr>
            <w:tcW w:w="5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282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20" w:type="dxa"/>
            <w:vAlign w:val="bottom"/>
          </w:tcPr>
          <w:p>
            <w:pPr>
              <w:spacing w:after="0"/>
              <w:rPr>
                <w:sz w:val="20"/>
                <w:szCs w:val="20"/>
                <w:color w:val="auto"/>
              </w:rPr>
            </w:pPr>
          </w:p>
        </w:tc>
      </w:tr>
      <w:tr>
        <w:trPr>
          <w:trHeight w:val="1010"/>
        </w:trPr>
        <w:tc>
          <w:tcPr>
            <w:tcW w:w="500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80" w:type="dxa"/>
            <w:vAlign w:val="bottom"/>
          </w:tcPr>
          <w:p>
            <w:pPr>
              <w:ind w:left="2660"/>
              <w:spacing w:after="0"/>
              <w:rPr>
                <w:sz w:val="20"/>
                <w:szCs w:val="20"/>
                <w:color w:val="auto"/>
              </w:rPr>
            </w:pPr>
            <w:r>
              <w:rPr>
                <w:rFonts w:ascii="Arial" w:cs="Arial" w:eastAsia="Arial" w:hAnsi="Arial"/>
                <w:sz w:val="18"/>
                <w:szCs w:val="18"/>
                <w:color w:val="auto"/>
              </w:rPr>
              <w:t>EXHIBIT INDEX</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rPr>
              <w:t>EXHIBIT</w:t>
            </w:r>
          </w:p>
        </w:tc>
        <w:tc>
          <w:tcPr>
            <w:tcW w:w="28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30"/>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NUMBER</w:t>
            </w:r>
          </w:p>
        </w:tc>
        <w:tc>
          <w:tcPr>
            <w:tcW w:w="280" w:type="dxa"/>
            <w:vAlign w:val="bottom"/>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11"/>
        </w:trPr>
        <w:tc>
          <w:tcPr>
            <w:tcW w:w="126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3"/>
              </w:rPr>
              <w:t>Press Release of Brady Corporation, dated February 18, 2011, relating to second quarter fiscal 2011 financial</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results.</w:t>
            </w:r>
          </w:p>
        </w:tc>
      </w:tr>
    </w:tbl>
    <w:p>
      <w:pPr>
        <w:sectPr>
          <w:pgSz w:w="11900" w:h="16838" w:orient="portrait"/>
          <w:cols w:equalWidth="0" w:num="1">
            <w:col w:w="9879"/>
          </w:cols>
          <w:pgMar w:left="580" w:top="935"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color w:val="auto"/>
        </w:rPr>
        <w:t>EXHIBIT 99.1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2011 second quarter results</w:t>
      </w:r>
    </w:p>
    <w:p>
      <w:pPr>
        <w:spacing w:after="0" w:line="189"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MILWAUKEE (February 18, 2011)—Brady Corporation (NYSE: BRC), a world leader in identification solutions, today reported financial results for its fiscal 2011 second quarter ended January 31,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results:</w:t>
      </w:r>
    </w:p>
    <w:p>
      <w:pPr>
        <w:spacing w:after="0" w:line="202" w:lineRule="exact"/>
        <w:rPr>
          <w:sz w:val="20"/>
          <w:szCs w:val="20"/>
          <w:color w:val="auto"/>
        </w:rPr>
      </w:pPr>
    </w:p>
    <w:p>
      <w:pPr>
        <w:ind w:right="239" w:firstLine="389"/>
        <w:spacing w:after="0" w:line="259" w:lineRule="auto"/>
        <w:rPr>
          <w:sz w:val="20"/>
          <w:szCs w:val="20"/>
          <w:color w:val="auto"/>
        </w:rPr>
      </w:pPr>
      <w:r>
        <w:rPr>
          <w:rFonts w:ascii="Arial" w:cs="Arial" w:eastAsia="Arial" w:hAnsi="Arial"/>
          <w:sz w:val="18"/>
          <w:szCs w:val="18"/>
          <w:color w:val="auto"/>
        </w:rPr>
        <w:t>Sales for the fiscal 2011 second quarter were up 11.2 percent to $329.0 million compared to $295.8 million in the second quarter of fiscal 2010. Organic sales growth was 9.8 percent, acquisitions, net of divestitures contributed 1.8 percent to sales, and the impact of foreign currency translation decreased sales by 0.4 percent. By segment, organic sales increased 9.7 percent in the Americas, 12.4 percent in Europe and 6.9 percent in the Asia-Pacific region.</w:t>
      </w:r>
    </w:p>
    <w:p>
      <w:pPr>
        <w:spacing w:after="0" w:line="146" w:lineRule="exact"/>
        <w:rPr>
          <w:sz w:val="20"/>
          <w:szCs w:val="20"/>
          <w:color w:val="auto"/>
        </w:rPr>
      </w:pPr>
    </w:p>
    <w:p>
      <w:pPr>
        <w:ind w:right="219" w:firstLine="389"/>
        <w:spacing w:after="0" w:line="259" w:lineRule="auto"/>
        <w:rPr>
          <w:sz w:val="20"/>
          <w:szCs w:val="20"/>
          <w:color w:val="auto"/>
        </w:rPr>
      </w:pPr>
      <w:r>
        <w:rPr>
          <w:rFonts w:ascii="Arial" w:cs="Arial" w:eastAsia="Arial" w:hAnsi="Arial"/>
          <w:sz w:val="18"/>
          <w:szCs w:val="18"/>
          <w:color w:val="auto"/>
        </w:rPr>
        <w:t>Net income in the fiscal 2011 second quarter was up 61.3 percent to $24.2 million compared to $15.0 million in the same quarter last year. Excluding $1.5 million of after-tax restructuring charges in the second quarter of fiscal 2011 and $2.6 million of after-tax restructuring charges in the same quarter last year, net income was up 46.0 percent to $25.7 million compared to $17.6 million in the same quarter last year.</w:t>
      </w:r>
    </w:p>
    <w:p>
      <w:pPr>
        <w:spacing w:after="0" w:line="146" w:lineRule="exact"/>
        <w:rPr>
          <w:sz w:val="20"/>
          <w:szCs w:val="20"/>
          <w:color w:val="auto"/>
        </w:rPr>
      </w:pPr>
    </w:p>
    <w:p>
      <w:pPr>
        <w:ind w:right="479" w:firstLine="389"/>
        <w:spacing w:after="0" w:line="312" w:lineRule="auto"/>
        <w:rPr>
          <w:sz w:val="20"/>
          <w:szCs w:val="20"/>
          <w:color w:val="auto"/>
        </w:rPr>
      </w:pPr>
      <w:r>
        <w:rPr>
          <w:rFonts w:ascii="Arial" w:cs="Arial" w:eastAsia="Arial" w:hAnsi="Arial"/>
          <w:sz w:val="16"/>
          <w:szCs w:val="16"/>
          <w:color w:val="auto"/>
        </w:rPr>
        <w:t>Earnings per diluted Class A Common Share were up 64.3 percent to $0.46 in the second quarter of fiscal 2011 compared to $0.28 in the second quarter of fiscal 2010. Excluding after-tax restructuring charges, earnings per diluted Class A Common Share increased 45.5 percent to $0.48 in the second quarter of fiscal 2011 compared to $0.33 per share in the same quarter of fiscal 2010.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results:</w:t>
      </w:r>
    </w:p>
    <w:p>
      <w:pPr>
        <w:spacing w:after="0" w:line="189" w:lineRule="exact"/>
        <w:rPr>
          <w:sz w:val="20"/>
          <w:szCs w:val="20"/>
          <w:color w:val="auto"/>
        </w:rPr>
      </w:pPr>
    </w:p>
    <w:p>
      <w:pPr>
        <w:ind w:right="319" w:firstLine="389"/>
        <w:spacing w:after="0" w:line="277" w:lineRule="auto"/>
        <w:rPr>
          <w:sz w:val="20"/>
          <w:szCs w:val="20"/>
          <w:color w:val="auto"/>
        </w:rPr>
      </w:pPr>
      <w:r>
        <w:rPr>
          <w:rFonts w:ascii="Arial" w:cs="Arial" w:eastAsia="Arial" w:hAnsi="Arial"/>
          <w:sz w:val="18"/>
          <w:szCs w:val="18"/>
          <w:color w:val="auto"/>
        </w:rPr>
        <w:t>Sales for the six-month period ended January 31, 2011 were up 7.2 percent to $658.6 million compared to $614.3 million in the same period last year.</w:t>
      </w:r>
    </w:p>
    <w:p>
      <w:pPr>
        <w:spacing w:after="0" w:line="130" w:lineRule="exact"/>
        <w:rPr>
          <w:sz w:val="20"/>
          <w:szCs w:val="20"/>
          <w:color w:val="auto"/>
        </w:rPr>
      </w:pPr>
    </w:p>
    <w:p>
      <w:pPr>
        <w:ind w:right="359" w:firstLine="389"/>
        <w:spacing w:after="0" w:line="259" w:lineRule="auto"/>
        <w:rPr>
          <w:sz w:val="20"/>
          <w:szCs w:val="20"/>
          <w:color w:val="auto"/>
        </w:rPr>
      </w:pPr>
      <w:r>
        <w:rPr>
          <w:rFonts w:ascii="Arial" w:cs="Arial" w:eastAsia="Arial" w:hAnsi="Arial"/>
          <w:sz w:val="18"/>
          <w:szCs w:val="18"/>
          <w:color w:val="auto"/>
        </w:rPr>
        <w:t>Net income for the six months ended January 31, 2011 was up 37.7 percent to $50.5 million compared to $36.7 million in the same period in fiscal 2010. Excluding $4.2 million of after-tax restructuring charges in the six-month period ended January 31, 2011 and $5.2 million of after-tax restructuring charges in the same period last year, net income was up 30.4 percent to $54.6 million compared to $41.9 million in the same period last year.</w:t>
      </w:r>
    </w:p>
    <w:p>
      <w:pPr>
        <w:spacing w:after="0" w:line="160" w:lineRule="exact"/>
        <w:rPr>
          <w:sz w:val="20"/>
          <w:szCs w:val="20"/>
          <w:color w:val="auto"/>
        </w:rPr>
      </w:pPr>
    </w:p>
    <w:p>
      <w:pPr>
        <w:ind w:right="179" w:firstLine="389"/>
        <w:spacing w:after="0" w:line="259" w:lineRule="auto"/>
        <w:rPr>
          <w:sz w:val="20"/>
          <w:szCs w:val="20"/>
          <w:color w:val="auto"/>
        </w:rPr>
      </w:pPr>
      <w:r>
        <w:rPr>
          <w:rFonts w:ascii="Arial" w:cs="Arial" w:eastAsia="Arial" w:hAnsi="Arial"/>
          <w:sz w:val="18"/>
          <w:szCs w:val="18"/>
          <w:color w:val="auto"/>
        </w:rPr>
        <w:t>Earnings per diluted Class A Common Share were up 37.7 percent to $0.95 for the six-month period ended January 31, 2011 compared to $0.69 in the same period of fiscal 2010. Excluding after-tax restructuring charges, earnings per diluted Class A Common Share increased 30.4 percent to $1.03 for the six-month period ended January 31, 2011 compared to $0.79 per share in the same period of fiscal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622935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Commentary and Guidance:</w:t>
      </w:r>
    </w:p>
    <w:p>
      <w:pPr>
        <w:spacing w:after="0" w:line="202" w:lineRule="exact"/>
        <w:rPr>
          <w:sz w:val="20"/>
          <w:szCs w:val="20"/>
          <w:color w:val="auto"/>
        </w:rPr>
      </w:pPr>
    </w:p>
    <w:p>
      <w:pPr>
        <w:ind w:right="379" w:firstLine="389"/>
        <w:spacing w:after="0" w:line="264" w:lineRule="auto"/>
        <w:rPr>
          <w:sz w:val="20"/>
          <w:szCs w:val="20"/>
          <w:color w:val="auto"/>
        </w:rPr>
      </w:pPr>
      <w:r>
        <w:rPr>
          <w:rFonts w:ascii="Arial" w:cs="Arial" w:eastAsia="Arial" w:hAnsi="Arial"/>
          <w:sz w:val="18"/>
          <w:szCs w:val="18"/>
          <w:color w:val="auto"/>
        </w:rPr>
        <w:t>“We are pleased to see strong organic sales growth in all our regions, and are encouraged by the substantial growth in earnings resulting from the increased organic sales and our on-going focus on improving profitability,” said Frank M. Jaehnert, Brady’s President and Chief Executive Officer.</w:t>
      </w:r>
    </w:p>
    <w:p>
      <w:pPr>
        <w:spacing w:after="0" w:line="141" w:lineRule="exact"/>
        <w:rPr>
          <w:sz w:val="20"/>
          <w:szCs w:val="20"/>
          <w:color w:val="auto"/>
        </w:rPr>
      </w:pPr>
    </w:p>
    <w:p>
      <w:pPr>
        <w:ind w:right="159" w:firstLine="389"/>
        <w:spacing w:after="0" w:line="270" w:lineRule="auto"/>
        <w:rPr>
          <w:sz w:val="20"/>
          <w:szCs w:val="20"/>
          <w:color w:val="auto"/>
        </w:rPr>
      </w:pPr>
      <w:r>
        <w:rPr>
          <w:rFonts w:ascii="Arial" w:cs="Arial" w:eastAsia="Arial" w:hAnsi="Arial"/>
          <w:sz w:val="17"/>
          <w:szCs w:val="17"/>
          <w:color w:val="auto"/>
        </w:rPr>
        <w:t>“Cash generation remains a highlight for Brady as we delivered $41.4 million of cash flow from operating activities in the quarter, resulting in an increase in our cash balance to $362.3 million at January 31, 2011. Our strong cash position along with our untapped $200 million line of credit provides us with adequate flexibility to take advantage of future growth opportunities,” said Brady Chief Financial Officer Thomas J. Felmer. “As a result of our strong second quarter earnings, we are increasing our full year fiscal 2011 guidance range for earnings per diluted Class A Common share from between $2.05 and $2.25 to between $2.15 and $2.35, excluding pre-tax restructuring charges of $7 to $10 million, or $0.10 to $0.14 per share. We also expect mid-single digit organic sales growth for the balance of fiscal 2011 as sales comparisons become more challenging in the second half of fiscal 2011. Our guidance reflects all cost savings we expect to realize this year from restructuring activities as well as from our Brady Business Performance System initiatives for operational improvements.”</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A webcast regarding fiscal 2011 second quarter results will be available at </w:t>
      </w:r>
      <w:r>
        <w:rPr>
          <w:rFonts w:ascii="Arial" w:cs="Arial" w:eastAsia="Arial" w:hAnsi="Arial"/>
          <w:sz w:val="16"/>
          <w:szCs w:val="16"/>
          <w:u w:val="single" w:color="auto"/>
          <w:color w:val="auto"/>
        </w:rPr>
        <w:t>www.investor.bradycorp.com</w:t>
      </w:r>
      <w:r>
        <w:rPr>
          <w:rFonts w:ascii="Arial" w:cs="Arial" w:eastAsia="Arial" w:hAnsi="Arial"/>
          <w:sz w:val="16"/>
          <w:szCs w:val="16"/>
          <w:color w:val="auto"/>
        </w:rPr>
        <w:t xml:space="preserve"> beginning at 9:30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Central Standard Time today.</w:t>
      </w:r>
    </w:p>
    <w:p>
      <w:pPr>
        <w:spacing w:after="0" w:line="184" w:lineRule="exact"/>
        <w:rPr>
          <w:sz w:val="20"/>
          <w:szCs w:val="20"/>
          <w:color w:val="auto"/>
        </w:rPr>
      </w:pPr>
    </w:p>
    <w:p>
      <w:pPr>
        <w:ind w:right="299"/>
        <w:spacing w:after="0" w:line="291"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employs approximately 6,600 people at operations in the Americas, Europe and Asia-Pacific. Brady’s fiscal 2010 sales were approximately $1.26 billion. Brady stock trades on the New York Stock Exchange under the symbol BRC. More information is available on the Internet at </w:t>
      </w:r>
      <w:r>
        <w:rPr>
          <w:rFonts w:ascii="Arial" w:cs="Arial" w:eastAsia="Arial" w:hAnsi="Arial"/>
          <w:sz w:val="16"/>
          <w:szCs w:val="16"/>
          <w:u w:val="single" w:color="auto"/>
          <w:color w:val="auto"/>
        </w:rPr>
        <w:t>www.bradycorp.com</w:t>
      </w:r>
      <w:r>
        <w:rPr>
          <w:rFonts w:ascii="Arial" w:cs="Arial" w:eastAsia="Arial" w:hAnsi="Arial"/>
          <w:sz w:val="16"/>
          <w:szCs w:val="16"/>
          <w:color w:val="auto"/>
        </w:rPr>
        <w:t>.</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 w:name="page7"/>
    <w:bookmarkEnd w:id="6"/>
    <w:p>
      <w:pPr>
        <w:ind w:right="179"/>
        <w:spacing w:after="0" w:line="284"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2010.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625475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color w:val="auto"/>
              </w:rPr>
              <w:t>(Unaudited)</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8"/>
          </w:tcPr>
          <w:p>
            <w:pPr>
              <w:jc w:val="right"/>
              <w:ind w:right="360"/>
              <w:spacing w:after="0"/>
              <w:rPr>
                <w:sz w:val="20"/>
                <w:szCs w:val="20"/>
                <w:color w:val="auto"/>
              </w:rPr>
            </w:pPr>
            <w:r>
              <w:rPr>
                <w:rFonts w:ascii="Arial" w:cs="Arial" w:eastAsia="Arial" w:hAnsi="Arial"/>
                <w:sz w:val="18"/>
                <w:szCs w:val="18"/>
                <w:color w:val="auto"/>
                <w:w w:val="89"/>
              </w:rPr>
              <w:t>Three Months Ended January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7"/>
          </w:tcPr>
          <w:p>
            <w:pPr>
              <w:ind w:left="100"/>
              <w:spacing w:after="0"/>
              <w:rPr>
                <w:sz w:val="20"/>
                <w:szCs w:val="20"/>
                <w:color w:val="auto"/>
              </w:rPr>
            </w:pPr>
            <w:r>
              <w:rPr>
                <w:rFonts w:ascii="Arial" w:cs="Arial" w:eastAsia="Arial" w:hAnsi="Arial"/>
                <w:sz w:val="18"/>
                <w:szCs w:val="18"/>
                <w:color w:val="auto"/>
                <w:w w:val="99"/>
              </w:rPr>
              <w:t>Six Months Ended January 31,</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2"/>
              </w:rPr>
              <w:t>Percentage</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Percentage</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2010</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329,009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295,829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658,597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614,315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Cost of products sold</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169,999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148,911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335,075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309,955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159,010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146,918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323,522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304,360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20,241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108,064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108,735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217,388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217,411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121,930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123,016</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244,839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244,902</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23,902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59,458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income and (expense):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(5,850)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(5,163)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(11,537)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(10,325)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19,843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50,286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8,205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4,842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18,130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13,617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24,199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50,480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36,669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0.46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64.3%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0.95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0.69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Per Class B Voting Common Share: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0.46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64.3%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0.94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0.67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52,370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52,354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53,053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53,096</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52,932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53,020</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9"/>
        </w:trPr>
        <w:tc>
          <w:tcPr>
            <w:tcW w:w="34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rPr>
              <w:t>(Unaudited)</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January 31, 2011</w:t>
            </w: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w w:val="88"/>
              </w:rPr>
              <w:t>July 31, 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5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362,302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314,840</w:t>
            </w: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Accounts receivable — Net</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240,173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221,621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00"/>
              <w:spacing w:after="0"/>
              <w:rPr>
                <w:sz w:val="20"/>
                <w:szCs w:val="20"/>
                <w:color w:val="auto"/>
              </w:rPr>
            </w:pPr>
            <w:r>
              <w:rPr>
                <w:rFonts w:ascii="Arial" w:cs="Arial" w:eastAsia="Arial" w:hAnsi="Arial"/>
                <w:sz w:val="18"/>
                <w:szCs w:val="18"/>
                <w:color w:val="auto"/>
              </w:rPr>
              <w:t>Finished products</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56,085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52,906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13,146</w:t>
            </w:r>
          </w:p>
        </w:tc>
        <w:tc>
          <w:tcPr>
            <w:tcW w:w="0" w:type="dxa"/>
            <w:vAlign w:val="bottom"/>
          </w:tcPr>
          <w:p>
            <w:pPr>
              <w:spacing w:after="0"/>
              <w:rPr>
                <w:sz w:val="1"/>
                <w:szCs w:val="1"/>
                <w:color w:val="auto"/>
              </w:rPr>
            </w:pPr>
          </w:p>
        </w:tc>
      </w:tr>
      <w:tr>
        <w:trPr>
          <w:trHeight w:val="216"/>
        </w:trPr>
        <w:tc>
          <w:tcPr>
            <w:tcW w:w="6940" w:type="dxa"/>
            <w:vAlign w:val="bottom"/>
          </w:tcPr>
          <w:p>
            <w:pPr>
              <w:ind w:left="400"/>
              <w:spacing w:after="0"/>
              <w:rPr>
                <w:sz w:val="20"/>
                <w:szCs w:val="20"/>
                <w:color w:val="auto"/>
              </w:rPr>
            </w:pPr>
            <w:r>
              <w:rPr>
                <w:rFonts w:ascii="Arial" w:cs="Arial" w:eastAsia="Arial" w:hAnsi="Arial"/>
                <w:sz w:val="18"/>
                <w:szCs w:val="18"/>
                <w:color w:val="auto"/>
              </w:rPr>
              <w:t>Raw materials and supplies</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28,129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28,620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inventories</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94,672</w:t>
            </w: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36,233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37,839</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737,536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668,972</w:t>
            </w: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781,776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768,600</w:t>
            </w: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98,560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103,546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39,103</w:t>
            </w: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19,673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20,808</w:t>
            </w:r>
          </w:p>
        </w:tc>
        <w:tc>
          <w:tcPr>
            <w:tcW w:w="0" w:type="dxa"/>
            <w:vAlign w:val="bottom"/>
          </w:tcPr>
          <w:p>
            <w:pPr>
              <w:spacing w:after="0"/>
              <w:rPr>
                <w:sz w:val="1"/>
                <w:szCs w:val="1"/>
                <w:color w:val="auto"/>
              </w:rPr>
            </w:pPr>
          </w:p>
        </w:tc>
      </w:tr>
      <w:tr>
        <w:trPr>
          <w:trHeight w:val="202"/>
        </w:trPr>
        <w:tc>
          <w:tcPr>
            <w:tcW w:w="6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Cost:</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6940" w:type="dxa"/>
            <w:vAlign w:val="bottom"/>
          </w:tcPr>
          <w:p>
            <w:pPr>
              <w:ind w:left="400"/>
              <w:spacing w:after="0"/>
              <w:rPr>
                <w:sz w:val="20"/>
                <w:szCs w:val="20"/>
                <w:color w:val="auto"/>
              </w:rPr>
            </w:pPr>
            <w:r>
              <w:rPr>
                <w:rFonts w:ascii="Arial" w:cs="Arial" w:eastAsia="Arial" w:hAnsi="Arial"/>
                <w:sz w:val="18"/>
                <w:szCs w:val="18"/>
                <w:color w:val="auto"/>
              </w:rPr>
              <w:t>Buildings and improvements</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103,305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101,138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294,414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289,727</w:t>
            </w:r>
          </w:p>
        </w:tc>
        <w:tc>
          <w:tcPr>
            <w:tcW w:w="0" w:type="dxa"/>
            <w:vAlign w:val="bottom"/>
          </w:tcPr>
          <w:p>
            <w:pPr>
              <w:spacing w:after="0"/>
              <w:rPr>
                <w:sz w:val="1"/>
                <w:szCs w:val="1"/>
                <w:color w:val="auto"/>
              </w:rPr>
            </w:pPr>
          </w:p>
        </w:tc>
      </w:tr>
      <w:tr>
        <w:trPr>
          <w:trHeight w:val="216"/>
        </w:trPr>
        <w:tc>
          <w:tcPr>
            <w:tcW w:w="6940" w:type="dxa"/>
            <w:vAlign w:val="bottom"/>
          </w:tcPr>
          <w:p>
            <w:pPr>
              <w:ind w:left="40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15,208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419,258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407,003</w:t>
            </w:r>
          </w:p>
        </w:tc>
        <w:tc>
          <w:tcPr>
            <w:tcW w:w="0" w:type="dxa"/>
            <w:vAlign w:val="bottom"/>
          </w:tcPr>
          <w:p>
            <w:pPr>
              <w:spacing w:after="0"/>
              <w:rPr>
                <w:sz w:val="1"/>
                <w:szCs w:val="1"/>
                <w:color w:val="auto"/>
              </w:rPr>
            </w:pPr>
          </w:p>
        </w:tc>
      </w:tr>
      <w:tr>
        <w:trPr>
          <w:trHeight w:val="432"/>
        </w:trPr>
        <w:tc>
          <w:tcPr>
            <w:tcW w:w="694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278,710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261,501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Property, plant and equipment — net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145,502</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40" w:type="dxa"/>
            <w:vAlign w:val="bottom"/>
            <w:vMerge w:val="continue"/>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1,823,180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1,746,531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2640"/>
              <w:spacing w:after="0"/>
              <w:rPr>
                <w:sz w:val="20"/>
                <w:szCs w:val="20"/>
                <w:color w:val="auto"/>
              </w:rPr>
            </w:pPr>
            <w:r>
              <w:rPr>
                <w:rFonts w:ascii="Arial" w:cs="Arial" w:eastAsia="Arial" w:hAnsi="Arial"/>
                <w:sz w:val="18"/>
                <w:szCs w:val="18"/>
                <w:b w:val="1"/>
                <w:bCs w:val="1"/>
                <w:color w:val="auto"/>
              </w:rPr>
              <w:t>LIABILITIES AND STOCKHOLDERS’ INVESTMENT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92,696</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96,702</w:t>
            </w: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52,161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67,285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Accrued income taxes</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16,603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50,862</w:t>
            </w: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Current maturities on long-term debt</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61,265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293,788</w:t>
            </w: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3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387,875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382,940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64,776</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745,723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741,504</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Class A nonvoting common stock — Issued 51,261,487 and 51,261,487 shares,</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respectively and outstanding 49,105,601 and 48,875,716 shares, respectively</w:t>
            </w:r>
          </w:p>
        </w:tc>
        <w:tc>
          <w:tcPr>
            <w:tcW w:w="3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6940" w:type="dxa"/>
            <w:vAlign w:val="bottom"/>
          </w:tcPr>
          <w:p>
            <w:pPr>
              <w:ind w:left="4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308,002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304,205</w:t>
            </w: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Income retained in the business</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750,038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718,512</w:t>
            </w: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Treasury stock — 1,845,886 and 2,175,771 shares, respectively of Class A nonvoting</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stock, at cost</w:t>
            </w:r>
          </w:p>
        </w:tc>
        <w:tc>
          <w:tcPr>
            <w:tcW w:w="3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(56,069)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(66,314)</w:t>
            </w: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79,674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50,905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79"/>
          </w:cols>
          <w:pgMar w:left="580" w:top="931"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940" w:type="dxa"/>
            <w:vAlign w:val="bottom"/>
          </w:tcPr>
          <w:p>
            <w:pPr>
              <w:ind w:left="400"/>
              <w:spacing w:after="0"/>
              <w:rPr>
                <w:sz w:val="20"/>
                <w:szCs w:val="20"/>
                <w:color w:val="auto"/>
              </w:rPr>
            </w:pPr>
            <w:r>
              <w:rPr>
                <w:rFonts w:ascii="Arial" w:cs="Arial" w:eastAsia="Arial" w:hAnsi="Arial"/>
                <w:sz w:val="18"/>
                <w:szCs w:val="18"/>
                <w:b w:val="1"/>
                <w:bCs w:val="1"/>
                <w:color w:val="auto"/>
              </w:rPr>
              <w:t>Total stockholders’ investment</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1,077,457</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1,005,027</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1,823,180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1,746,531</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017"/>
        </w:trPr>
        <w:tc>
          <w:tcPr>
            <w:tcW w:w="340" w:type="dxa"/>
            <w:vAlign w:val="bottom"/>
            <w:tcBorders>
              <w:bottom w:val="single" w:sz="8" w:color="808080"/>
            </w:tcBorders>
          </w:tcPr>
          <w:p>
            <w:pPr>
              <w:spacing w:after="0"/>
              <w:rPr>
                <w:sz w:val="24"/>
                <w:szCs w:val="24"/>
                <w:color w:val="auto"/>
              </w:rPr>
            </w:pPr>
          </w:p>
        </w:tc>
        <w:tc>
          <w:tcPr>
            <w:tcW w:w="6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center"/>
              <w:ind w:left="410"/>
              <w:spacing w:after="0"/>
              <w:rPr>
                <w:sz w:val="20"/>
                <w:szCs w:val="20"/>
                <w:color w:val="auto"/>
              </w:rPr>
            </w:pPr>
            <w:r>
              <w:rPr>
                <w:rFonts w:ascii="Arial" w:cs="Arial" w:eastAsia="Arial" w:hAnsi="Arial"/>
                <w:sz w:val="18"/>
                <w:szCs w:val="18"/>
                <w:color w:val="auto"/>
                <w:w w:val="93"/>
              </w:rPr>
              <w:t>(Unaudited)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6"/>
          </w:tcPr>
          <w:p>
            <w:pPr>
              <w:jc w:val="center"/>
              <w:ind w:right="280"/>
              <w:spacing w:after="0"/>
              <w:rPr>
                <w:sz w:val="20"/>
                <w:szCs w:val="20"/>
                <w:color w:val="auto"/>
              </w:rPr>
            </w:pPr>
            <w:r>
              <w:rPr>
                <w:rFonts w:ascii="Arial" w:cs="Arial" w:eastAsia="Arial" w:hAnsi="Arial"/>
                <w:sz w:val="18"/>
                <w:szCs w:val="18"/>
                <w:color w:val="auto"/>
                <w:w w:val="91"/>
              </w:rPr>
              <w:t>Six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89"/>
              </w:rPr>
              <w:t>January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50,480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36,669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25,502</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27,366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portion of restructuring charges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Non-cash portion of stock-based compensation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6,869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5,156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the sale of business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(4,394)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(4,926)</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of effects of business acquisitions/divestitures):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(11,938)</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(10,300)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(879)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2,384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(13,792)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6,589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57,609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68,033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(7,970)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(20,299)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(979)</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Divestiture of business, net of cash retained in business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12,979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(9,045)</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(14,974)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30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(35,843)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Payment of dividends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(18,954)</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(18,344)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w w:val="96"/>
              </w:rPr>
              <w:t>Income tax benefit from the exercise of stock options and deferred compensation distribution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(13,686)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9,048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47,462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314,840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188,156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362,302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00" w:type="dxa"/>
            <w:vAlign w:val="bottom"/>
            <w:vMerge w:val="restart"/>
          </w:tcPr>
          <w:p>
            <w:pPr>
              <w:spacing w:after="0"/>
              <w:rPr>
                <w:sz w:val="20"/>
                <w:szCs w:val="20"/>
                <w:color w:val="auto"/>
              </w:rPr>
            </w:pPr>
            <w:r>
              <w:rPr>
                <w:rFonts w:ascii="Arial" w:cs="Arial" w:eastAsia="Arial" w:hAnsi="Arial"/>
                <w:sz w:val="18"/>
                <w:szCs w:val="18"/>
                <w:color w:val="auto"/>
              </w:rPr>
              <w:t>Supplemental disclosures: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Interest, net of capitalized interest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9,138</w:t>
            </w:r>
          </w:p>
        </w:tc>
        <w:tc>
          <w:tcPr>
            <w:tcW w:w="3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17,398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of assets acquired, net of cash</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(1,446)</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(2,678)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300" w:type="dxa"/>
            <w:vAlign w:val="bottom"/>
          </w:tcPr>
          <w:p>
            <w:pPr>
              <w:ind w:left="800"/>
              <w:spacing w:after="0"/>
              <w:rPr>
                <w:sz w:val="20"/>
                <w:szCs w:val="20"/>
                <w:color w:val="auto"/>
              </w:rPr>
            </w:pPr>
            <w:r>
              <w:rPr>
                <w:rFonts w:ascii="Arial" w:cs="Arial" w:eastAsia="Arial" w:hAnsi="Arial"/>
                <w:sz w:val="18"/>
                <w:szCs w:val="18"/>
                <w:color w:val="auto"/>
              </w:rPr>
              <w:t>Net cash paid for acquisitions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7"/>
        </w:trPr>
        <w:tc>
          <w:tcPr>
            <w:tcW w:w="340" w:type="dxa"/>
            <w:vAlign w:val="bottom"/>
            <w:tcBorders>
              <w:bottom w:val="single" w:sz="8" w:color="808080"/>
            </w:tcBorders>
          </w:tcPr>
          <w:p>
            <w:pPr>
              <w:spacing w:after="0"/>
              <w:rPr>
                <w:sz w:val="24"/>
                <w:szCs w:val="24"/>
                <w:color w:val="auto"/>
              </w:rPr>
            </w:pPr>
          </w:p>
        </w:tc>
        <w:tc>
          <w:tcPr>
            <w:tcW w:w="7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Information by regional segment for the three and six months ended January 31, 2011 and 2010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Corporate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Asia-</w:t>
            </w: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and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Americas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Europe</w:t>
            </w: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Pacific</w:t>
            </w: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Region</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Eliminations</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SALES TO EXTERNAL CUSTOMERS</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136,011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88,957</w:t>
            </w:r>
          </w:p>
        </w:tc>
        <w:tc>
          <w:tcPr>
            <w:tcW w:w="11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4"/>
              </w:rPr>
              <w:t>$ 329,009</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$ 329,009</w:t>
            </w:r>
          </w:p>
        </w:tc>
      </w:tr>
      <w:tr>
        <w:trPr>
          <w:trHeight w:val="230"/>
        </w:trPr>
        <w:tc>
          <w:tcPr>
            <w:tcW w:w="3480" w:type="dxa"/>
            <w:vAlign w:val="bottom"/>
          </w:tcPr>
          <w:p>
            <w:pPr>
              <w:ind w:left="200"/>
              <w:spacing w:after="0"/>
              <w:rPr>
                <w:sz w:val="20"/>
                <w:szCs w:val="20"/>
                <w:color w:val="auto"/>
              </w:rPr>
            </w:pPr>
            <w:r>
              <w:rPr>
                <w:rFonts w:ascii="Arial" w:cs="Arial" w:eastAsia="Arial" w:hAnsi="Arial"/>
                <w:sz w:val="18"/>
                <w:szCs w:val="18"/>
                <w:color w:val="auto"/>
              </w:rPr>
              <w:t>January 31, 2010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121,603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96,614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77,612</w:t>
            </w: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$ 295,829</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$ 295,829</w:t>
            </w:r>
          </w:p>
        </w:tc>
      </w:tr>
      <w:tr>
        <w:trPr>
          <w:trHeight w:val="202"/>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January 31, 2011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281,999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196,091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180,507</w:t>
            </w:r>
          </w:p>
        </w:tc>
        <w:tc>
          <w:tcPr>
            <w:tcW w:w="1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$ 658,597</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$ 658,597</w:t>
            </w:r>
          </w:p>
        </w:tc>
      </w:tr>
      <w:tr>
        <w:trPr>
          <w:trHeight w:val="216"/>
        </w:trPr>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257,842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190,949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165,524</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4"/>
              </w:rPr>
              <w:t>$ 614,315</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$ 614,315</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SALES GROWTH INFORMATION</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January 31, 2011: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Base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Acquisitions/Divestitures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Six months ended January 31, 2011:</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Currency</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Acquisitions/Divestitures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32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7.2%</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31,015</w:t>
            </w: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71,704</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(5,088)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66,616</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January 31, 2010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23,546</w:t>
            </w:r>
          </w:p>
        </w:tc>
        <w:tc>
          <w:tcPr>
            <w:tcW w:w="20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25,947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rPr>
              <w:t>10,687</w:t>
            </w: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4"/>
          </w:tcPr>
          <w:p>
            <w:pPr>
              <w:jc w:val="right"/>
              <w:ind w:right="110"/>
              <w:spacing w:after="0"/>
              <w:rPr>
                <w:sz w:val="20"/>
                <w:szCs w:val="20"/>
                <w:color w:val="auto"/>
              </w:rPr>
            </w:pPr>
            <w:r>
              <w:rPr>
                <w:rFonts w:ascii="Arial" w:cs="Arial" w:eastAsia="Arial" w:hAnsi="Arial"/>
                <w:sz w:val="18"/>
                <w:szCs w:val="18"/>
                <w:color w:val="auto"/>
              </w:rPr>
              <w:t>60,180</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gridSpan w:val="5"/>
          </w:tcPr>
          <w:p>
            <w:pPr>
              <w:jc w:val="right"/>
              <w:ind w:right="50"/>
              <w:spacing w:after="0"/>
              <w:rPr>
                <w:sz w:val="20"/>
                <w:szCs w:val="20"/>
                <w:color w:val="auto"/>
              </w:rPr>
            </w:pPr>
            <w:r>
              <w:rPr>
                <w:rFonts w:ascii="Arial" w:cs="Arial" w:eastAsia="Arial" w:hAnsi="Arial"/>
                <w:sz w:val="18"/>
                <w:szCs w:val="18"/>
                <w:color w:val="auto"/>
              </w:rPr>
              <w:t>(3,683)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56,497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Percentage increase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Six months ended:</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70,374</w:t>
            </w: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28,353</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w w:val="92"/>
              </w:rPr>
              <w:t>151,953</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(8,525)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143,428</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January 31, 2010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56,347</w:t>
            </w:r>
          </w:p>
        </w:tc>
        <w:tc>
          <w:tcPr>
            <w:tcW w:w="20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50,809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rPr>
              <w:t>25,814</w:t>
            </w: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4"/>
          </w:tcPr>
          <w:p>
            <w:pPr>
              <w:jc w:val="right"/>
              <w:ind w:right="110"/>
              <w:spacing w:after="0"/>
              <w:rPr>
                <w:sz w:val="20"/>
                <w:szCs w:val="20"/>
                <w:color w:val="auto"/>
              </w:rPr>
            </w:pPr>
            <w:r>
              <w:rPr>
                <w:rFonts w:ascii="Arial" w:cs="Arial" w:eastAsia="Arial" w:hAnsi="Arial"/>
                <w:sz w:val="18"/>
                <w:szCs w:val="18"/>
                <w:color w:val="auto"/>
                <w:w w:val="92"/>
              </w:rPr>
              <w:t>132,970</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gridSpan w:val="5"/>
          </w:tcPr>
          <w:p>
            <w:pPr>
              <w:jc w:val="right"/>
              <w:ind w:right="50"/>
              <w:spacing w:after="0"/>
              <w:rPr>
                <w:sz w:val="20"/>
                <w:szCs w:val="20"/>
                <w:color w:val="auto"/>
              </w:rPr>
            </w:pPr>
            <w:r>
              <w:rPr>
                <w:rFonts w:ascii="Arial" w:cs="Arial" w:eastAsia="Arial" w:hAnsi="Arial"/>
                <w:sz w:val="18"/>
                <w:szCs w:val="18"/>
                <w:color w:val="auto"/>
              </w:rPr>
              <w:t>(6,603)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126,367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Percentage increase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9"/>
          </w:tcPr>
          <w:p>
            <w:pPr>
              <w:jc w:val="right"/>
              <w:ind w:right="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9"/>
          </w:tcPr>
          <w:p>
            <w:pPr>
              <w:jc w:val="right"/>
              <w:ind w:right="580"/>
              <w:spacing w:after="0"/>
              <w:rPr>
                <w:sz w:val="20"/>
                <w:szCs w:val="20"/>
                <w:color w:val="auto"/>
              </w:rPr>
            </w:pPr>
            <w:r>
              <w:rPr>
                <w:rFonts w:ascii="Arial" w:cs="Arial" w:eastAsia="Arial" w:hAnsi="Arial"/>
                <w:sz w:val="18"/>
                <w:szCs w:val="18"/>
                <w:color w:val="auto"/>
                <w:w w:val="93"/>
              </w:rPr>
              <w:t>Six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tcBorders>
            <w:gridSpan w:val="5"/>
          </w:tcPr>
          <w:p>
            <w:pPr>
              <w:jc w:val="right"/>
              <w:ind w:right="140"/>
              <w:spacing w:after="0" w:line="195" w:lineRule="exact"/>
              <w:rPr>
                <w:sz w:val="20"/>
                <w:szCs w:val="20"/>
                <w:color w:val="auto"/>
              </w:rPr>
            </w:pPr>
            <w:r>
              <w:rPr>
                <w:rFonts w:ascii="Arial" w:cs="Arial" w:eastAsia="Arial" w:hAnsi="Arial"/>
                <w:sz w:val="18"/>
                <w:szCs w:val="18"/>
                <w:color w:val="auto"/>
                <w:w w:val="91"/>
              </w:rPr>
              <w:t>January 31,</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6"/>
          </w:tcPr>
          <w:p>
            <w:pPr>
              <w:jc w:val="center"/>
              <w:spacing w:after="0" w:line="195" w:lineRule="exact"/>
              <w:rPr>
                <w:sz w:val="20"/>
                <w:szCs w:val="20"/>
                <w:color w:val="auto"/>
              </w:rPr>
            </w:pPr>
            <w:r>
              <w:rPr>
                <w:rFonts w:ascii="Arial" w:cs="Arial" w:eastAsia="Arial" w:hAnsi="Arial"/>
                <w:sz w:val="18"/>
                <w:szCs w:val="18"/>
                <w:color w:val="auto"/>
                <w:w w:val="87"/>
              </w:rPr>
              <w:t>January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Borders>
              <w:top w:val="single" w:sz="8" w:color="auto"/>
            </w:tcBorders>
            <w:gridSpan w:val="5"/>
          </w:tcPr>
          <w:p>
            <w:pPr>
              <w:jc w:val="right"/>
              <w:ind w:right="160"/>
              <w:spacing w:after="0" w:line="195" w:lineRule="exact"/>
              <w:rPr>
                <w:sz w:val="20"/>
                <w:szCs w:val="20"/>
                <w:color w:val="auto"/>
              </w:rPr>
            </w:pPr>
            <w:r>
              <w:rPr>
                <w:rFonts w:ascii="Arial" w:cs="Arial" w:eastAsia="Arial" w:hAnsi="Arial"/>
                <w:sz w:val="18"/>
                <w:szCs w:val="18"/>
                <w:color w:val="auto"/>
                <w:w w:val="93"/>
              </w:rPr>
              <w:t>January 31,</w:t>
            </w: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4"/>
          </w:tcPr>
          <w:p>
            <w:pPr>
              <w:jc w:val="right"/>
              <w:ind w:right="60"/>
              <w:spacing w:after="0" w:line="195" w:lineRule="exact"/>
              <w:rPr>
                <w:sz w:val="20"/>
                <w:szCs w:val="20"/>
                <w:color w:val="auto"/>
              </w:rPr>
            </w:pPr>
            <w:r>
              <w:rPr>
                <w:rFonts w:ascii="Arial" w:cs="Arial" w:eastAsia="Arial" w:hAnsi="Arial"/>
                <w:sz w:val="18"/>
                <w:szCs w:val="18"/>
                <w:color w:val="auto"/>
                <w:w w:val="93"/>
              </w:rPr>
              <w:t>January 31,</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2010</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2010</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profit for reportable segments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71,704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60,180</w:t>
            </w: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151,953</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132,970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5"/>
          </w:tcPr>
          <w:p>
            <w:pPr>
              <w:jc w:val="right"/>
              <w:ind w:right="85"/>
              <w:spacing w:after="0"/>
              <w:rPr>
                <w:sz w:val="20"/>
                <w:szCs w:val="20"/>
                <w:color w:val="auto"/>
              </w:rPr>
            </w:pPr>
            <w:r>
              <w:rPr>
                <w:rFonts w:ascii="Arial" w:cs="Arial" w:eastAsia="Arial" w:hAnsi="Arial"/>
                <w:sz w:val="18"/>
                <w:szCs w:val="18"/>
                <w:color w:val="auto"/>
              </w:rPr>
              <w:t>(5,088)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6"/>
          </w:tcPr>
          <w:p>
            <w:pPr>
              <w:jc w:val="right"/>
              <w:ind w:right="40"/>
              <w:spacing w:after="0"/>
              <w:rPr>
                <w:sz w:val="20"/>
                <w:szCs w:val="20"/>
                <w:color w:val="auto"/>
              </w:rPr>
            </w:pPr>
            <w:r>
              <w:rPr>
                <w:rFonts w:ascii="Arial" w:cs="Arial" w:eastAsia="Arial" w:hAnsi="Arial"/>
                <w:sz w:val="18"/>
                <w:szCs w:val="18"/>
                <w:color w:val="auto"/>
              </w:rPr>
              <w:t>(3,683)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($8,525)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(6,603)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5"/>
          </w:tcPr>
          <w:p>
            <w:pPr>
              <w:jc w:val="right"/>
              <w:ind w:right="85"/>
              <w:spacing w:after="0"/>
              <w:rPr>
                <w:sz w:val="20"/>
                <w:szCs w:val="20"/>
                <w:color w:val="auto"/>
              </w:rPr>
            </w:pPr>
            <w:r>
              <w:rPr>
                <w:rFonts w:ascii="Arial" w:cs="Arial" w:eastAsia="Arial" w:hAnsi="Arial"/>
                <w:sz w:val="18"/>
                <w:szCs w:val="18"/>
                <w:color w:val="auto"/>
              </w:rPr>
              <w:t>(27,402)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6"/>
          </w:tcPr>
          <w:p>
            <w:pPr>
              <w:jc w:val="right"/>
              <w:ind w:right="40"/>
              <w:spacing w:after="0"/>
              <w:rPr>
                <w:sz w:val="20"/>
                <w:szCs w:val="20"/>
                <w:color w:val="auto"/>
              </w:rPr>
            </w:pPr>
            <w:r>
              <w:rPr>
                <w:rFonts w:ascii="Arial" w:cs="Arial" w:eastAsia="Arial" w:hAnsi="Arial"/>
                <w:sz w:val="18"/>
                <w:szCs w:val="18"/>
                <w:color w:val="auto"/>
              </w:rPr>
              <w:t>(28,946)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(58,970)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(59,659)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85"/>
              <w:spacing w:after="0"/>
              <w:rPr>
                <w:sz w:val="20"/>
                <w:szCs w:val="20"/>
                <w:color w:val="auto"/>
              </w:rPr>
            </w:pPr>
            <w:r>
              <w:rPr>
                <w:rFonts w:ascii="Arial" w:cs="Arial" w:eastAsia="Arial" w:hAnsi="Arial"/>
                <w:sz w:val="18"/>
                <w:szCs w:val="18"/>
                <w:color w:val="auto"/>
              </w:rPr>
              <w:t>(2,134)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(3,649)</w:t>
            </w: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1,174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4"/>
          </w:tcPr>
          <w:p>
            <w:pPr>
              <w:jc w:val="right"/>
              <w:ind w:right="100"/>
              <w:spacing w:after="0"/>
              <w:rPr>
                <w:sz w:val="20"/>
                <w:szCs w:val="20"/>
                <w:color w:val="auto"/>
              </w:rPr>
            </w:pPr>
            <w:r>
              <w:rPr>
                <w:rFonts w:ascii="Arial" w:cs="Arial" w:eastAsia="Arial" w:hAnsi="Arial"/>
                <w:sz w:val="18"/>
                <w:szCs w:val="18"/>
                <w:color w:val="auto"/>
                <w:w w:val="84"/>
              </w:rPr>
              <w:t>1,104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1,153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85"/>
              <w:spacing w:after="0"/>
              <w:rPr>
                <w:sz w:val="20"/>
                <w:szCs w:val="20"/>
                <w:color w:val="auto"/>
              </w:rPr>
            </w:pPr>
            <w:r>
              <w:rPr>
                <w:rFonts w:ascii="Arial" w:cs="Arial" w:eastAsia="Arial" w:hAnsi="Arial"/>
                <w:sz w:val="18"/>
                <w:szCs w:val="18"/>
                <w:color w:val="auto"/>
              </w:rPr>
              <w:t>(5,850)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(5,163)</w:t>
            </w: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(11,537)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32,404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5"/>
          </w:tcPr>
          <w:p>
            <w:pPr>
              <w:jc w:val="center"/>
              <w:ind w:left="310"/>
              <w:spacing w:after="0"/>
              <w:rPr>
                <w:sz w:val="20"/>
                <w:szCs w:val="20"/>
                <w:color w:val="auto"/>
              </w:rPr>
            </w:pPr>
            <w:r>
              <w:rPr>
                <w:rFonts w:ascii="Arial" w:cs="Arial" w:eastAsia="Arial" w:hAnsi="Arial"/>
                <w:sz w:val="18"/>
                <w:szCs w:val="18"/>
                <w:color w:val="auto"/>
                <w:w w:val="87"/>
              </w:rPr>
              <w:t>19,843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68,610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50,286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85"/>
              <w:spacing w:after="0"/>
              <w:rPr>
                <w:sz w:val="20"/>
                <w:szCs w:val="20"/>
                <w:color w:val="auto"/>
              </w:rPr>
            </w:pPr>
            <w:r>
              <w:rPr>
                <w:rFonts w:ascii="Arial" w:cs="Arial" w:eastAsia="Arial" w:hAnsi="Arial"/>
                <w:sz w:val="18"/>
                <w:szCs w:val="18"/>
                <w:color w:val="auto"/>
              </w:rPr>
              <w:t>(8,205)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(4,842)</w:t>
            </w: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(18,130)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24,199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5"/>
          </w:tcPr>
          <w:p>
            <w:pPr>
              <w:jc w:val="center"/>
              <w:ind w:left="310"/>
              <w:spacing w:after="0"/>
              <w:rPr>
                <w:sz w:val="20"/>
                <w:szCs w:val="20"/>
                <w:color w:val="auto"/>
              </w:rPr>
            </w:pPr>
            <w:r>
              <w:rPr>
                <w:rFonts w:ascii="Arial" w:cs="Arial" w:eastAsia="Arial" w:hAnsi="Arial"/>
                <w:sz w:val="18"/>
                <w:szCs w:val="18"/>
                <w:color w:val="auto"/>
                <w:w w:val="87"/>
              </w:rPr>
              <w:t>15,001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50,480</w:t>
            </w:r>
          </w:p>
        </w:tc>
        <w:tc>
          <w:tcPr>
            <w:tcW w:w="1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36,669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left="8" w:right="4019"/>
        <w:spacing w:after="0" w:line="282"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2011</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Q1</w:t>
            </w:r>
          </w:p>
        </w:tc>
        <w:tc>
          <w:tcPr>
            <w:tcW w:w="2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Q2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Q3</w:t>
            </w: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Q4</w:t>
            </w:r>
          </w:p>
        </w:tc>
        <w:tc>
          <w:tcPr>
            <w:tcW w:w="20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26,281</w:t>
            </w:r>
          </w:p>
        </w:tc>
        <w:tc>
          <w:tcPr>
            <w:tcW w:w="4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24,199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50,480</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11,537</w:t>
            </w:r>
          </w:p>
        </w:tc>
      </w:tr>
      <w:tr>
        <w:trPr>
          <w:trHeight w:val="216"/>
        </w:trPr>
        <w:tc>
          <w:tcPr>
            <w:tcW w:w="32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18,130</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25,502</w:t>
            </w:r>
          </w:p>
        </w:tc>
      </w:tr>
      <w:tr>
        <w:trPr>
          <w:trHeight w:val="20"/>
        </w:trPr>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22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54,487</w:t>
            </w:r>
          </w:p>
        </w:tc>
        <w:tc>
          <w:tcPr>
            <w:tcW w:w="42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51,162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105,649</w:t>
            </w:r>
          </w:p>
        </w:tc>
      </w:tr>
      <w:tr>
        <w:trPr>
          <w:trHeight w:val="20"/>
        </w:trPr>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2010</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Q1</w:t>
            </w:r>
          </w:p>
        </w:tc>
        <w:tc>
          <w:tcPr>
            <w:tcW w:w="2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Q2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Q3</w:t>
            </w: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Q4</w:t>
            </w:r>
          </w:p>
        </w:tc>
        <w:tc>
          <w:tcPr>
            <w:tcW w:w="20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21,668</w:t>
            </w:r>
          </w:p>
        </w:tc>
        <w:tc>
          <w:tcPr>
            <w:tcW w:w="4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15,001</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23,695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21,592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81,956</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21,222</w:t>
            </w:r>
          </w:p>
        </w:tc>
      </w:tr>
      <w:tr>
        <w:trPr>
          <w:trHeight w:val="216"/>
        </w:trPr>
        <w:tc>
          <w:tcPr>
            <w:tcW w:w="32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8,775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4,842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7,193</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6,636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27,446</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53,022</w:t>
            </w:r>
          </w:p>
        </w:tc>
      </w:tr>
      <w:tr>
        <w:trPr>
          <w:trHeight w:val="20"/>
        </w:trPr>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22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49,422</w:t>
            </w:r>
          </w:p>
        </w:tc>
        <w:tc>
          <w:tcPr>
            <w:tcW w:w="42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38,555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48,945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46,724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183,646</w:t>
            </w:r>
          </w:p>
        </w:tc>
      </w:tr>
      <w:tr>
        <w:trPr>
          <w:trHeight w:val="20"/>
        </w:trPr>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388" w:right="159" w:hanging="388"/>
        <w:spacing w:after="0" w:line="291" w:lineRule="auto"/>
        <w:tabs>
          <w:tab w:leader="none" w:pos="388" w:val="left"/>
        </w:tabs>
        <w:numPr>
          <w:ilvl w:val="0"/>
          <w:numId w:val="2"/>
        </w:numPr>
        <w:rPr>
          <w:rFonts w:ascii="Arial" w:cs="Arial" w:eastAsia="Arial" w:hAnsi="Arial"/>
          <w:sz w:val="16"/>
          <w:szCs w:val="16"/>
          <w:color w:val="auto"/>
        </w:rPr>
      </w:pPr>
      <w:r>
        <w:rPr>
          <w:rFonts w:ascii="Arial" w:cs="Arial" w:eastAsia="Arial" w:hAnsi="Arial"/>
          <w:sz w:val="16"/>
          <w:szCs w:val="16"/>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9887"/>
      </w:cols>
      <w:pgMar w:left="572"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2019-12-10T06:13:23Z</dcterms:created>
  <dcterms:modified xsi:type="dcterms:W3CDTF">2019-12-10T06:13:23Z</dcterms:modified>
</cp:coreProperties>
</file>