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9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901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right"/>
              <w:ind w:right="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10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Self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94,716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JMN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25,770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64,998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17,327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52.28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47,671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15,069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10,131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52,609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-2742565</wp:posOffset>
            </wp:positionV>
            <wp:extent cx="7033895" cy="508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25,770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25,770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09/25/2025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15,069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15,069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09/25/2025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Previous to the transaction date, 66,967 shares of Class A Common Stock were transferred from direct ownership into the reporting owner's living trust.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25,770 options were exercised, resulting in a net gain of 8,443 shares (15,931 gross shares less payroll tax withholding of 7,488 shares).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15,069 options were exercised, resulting in a net gain of 4,938 shares (9,318 gross shares less payroll tax withholding of 4,380 shares).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90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26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2020-06-05T08:34:04Z</dcterms:created>
  <dcterms:modified xsi:type="dcterms:W3CDTF">2020-06-05T08:34:04Z</dcterms:modified>
</cp:coreProperties>
</file>