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153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53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ALLENDER PATRICK W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2733 MARIE ANTOINETTE ST.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HENDERSON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NV</w:t>
            </w: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89044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BRADY CORP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BRC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04/08/2024</w:t>
            </w: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3.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Indirect (I)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04/08/2024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471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59.57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91,897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60" w:type="dxa"/>
            <w:vAlign w:val="bottom"/>
            <w:gridSpan w:val="1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4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the shares acquired from the reporting owner's contributions into the deferred compensation plan. The reporting owner is paid quarterly for his services as a Director and has elected to defer these earnings.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Heidi Knueppel, Attorney-In-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6"/>
          <w:szCs w:val="26"/>
          <w:color w:val="0000FF"/>
          <w:vertAlign w:val="subscript"/>
        </w:rPr>
        <w:t>04/09/2024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-10160</wp:posOffset>
            </wp:positionV>
            <wp:extent cx="13106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20526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2024-04-09T09:48:23Z</dcterms:created>
  <dcterms:modified xsi:type="dcterms:W3CDTF">2024-04-09T09:48:23Z</dcterms:modified>
</cp:coreProperties>
</file>