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8"/>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8"/>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8"/>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192405</wp:posOffset>
            </wp:positionV>
            <wp:extent cx="16008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43" w:lineRule="exact"/>
        <w:rPr>
          <w:sz w:val="24"/>
          <w:szCs w:val="24"/>
          <w:color w:val="auto"/>
        </w:rPr>
      </w:pPr>
    </w:p>
    <w:p>
      <w:pPr>
        <w:jc w:val="center"/>
        <w:ind w:right="-58"/>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163830</wp:posOffset>
            </wp:positionV>
            <wp:extent cx="16008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1" w:lineRule="exact"/>
        <w:rPr>
          <w:sz w:val="24"/>
          <w:szCs w:val="24"/>
          <w:color w:val="auto"/>
        </w:rPr>
      </w:pPr>
    </w:p>
    <w:p>
      <w:pPr>
        <w:jc w:val="center"/>
        <w:ind w:right="-58"/>
        <w:spacing w:after="0"/>
        <w:rPr>
          <w:sz w:val="20"/>
          <w:szCs w:val="20"/>
          <w:color w:val="auto"/>
        </w:rPr>
      </w:pPr>
      <w:r>
        <w:rPr>
          <w:rFonts w:ascii="Arial" w:cs="Arial" w:eastAsia="Arial" w:hAnsi="Arial"/>
          <w:sz w:val="23"/>
          <w:szCs w:val="23"/>
          <w:b w:val="1"/>
          <w:bCs w:val="1"/>
          <w:color w:val="auto"/>
        </w:rPr>
        <w:t>CURRENT REPORT</w:t>
      </w:r>
    </w:p>
    <w:p>
      <w:pPr>
        <w:spacing w:after="0" w:line="154"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Pursuant to Section 13 or 15(d) of the</w:t>
      </w:r>
    </w:p>
    <w:p>
      <w:pPr>
        <w:spacing w:after="0" w:line="33"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Securities Exchange Act of 1934</w:t>
      </w:r>
    </w:p>
    <w:p>
      <w:pPr>
        <w:spacing w:after="0" w:line="133"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Date of Report (Date of earliest event reported): February 20,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198755</wp:posOffset>
            </wp:positionV>
            <wp:extent cx="16008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52" w:lineRule="exact"/>
        <w:rPr>
          <w:sz w:val="24"/>
          <w:szCs w:val="24"/>
          <w:color w:val="auto"/>
        </w:rPr>
      </w:pPr>
    </w:p>
    <w:tbl>
      <w:tblPr>
        <w:tblLayout w:type="fixed"/>
        <w:tblInd w:w="2379" w:type="dxa"/>
        <w:tblCellMar>
          <w:top w:w="0" w:type="dxa"/>
          <w:left w:w="0" w:type="dxa"/>
          <w:bottom w:w="0" w:type="dxa"/>
          <w:right w:w="0" w:type="dxa"/>
        </w:tblCellMar>
      </w:tblPr>
      <w:tr>
        <w:trPr>
          <w:trHeight w:val="468"/>
        </w:trPr>
        <w:tc>
          <w:tcPr>
            <w:tcW w:w="960" w:type="dxa"/>
            <w:vAlign w:val="bottom"/>
          </w:tcPr>
          <w:p>
            <w:pPr>
              <w:spacing w:after="0"/>
              <w:rPr>
                <w:sz w:val="24"/>
                <w:szCs w:val="2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39"/>
                <w:szCs w:val="39"/>
                <w:b w:val="1"/>
                <w:bCs w:val="1"/>
                <w:color w:val="auto"/>
                <w:w w:val="99"/>
              </w:rPr>
              <w:t>BRADY CORPORATION</w:t>
            </w:r>
          </w:p>
        </w:tc>
      </w:tr>
      <w:tr>
        <w:trPr>
          <w:trHeight w:val="209"/>
        </w:trPr>
        <w:tc>
          <w:tcPr>
            <w:tcW w:w="960" w:type="dxa"/>
            <w:vAlign w:val="bottom"/>
          </w:tcPr>
          <w:p>
            <w:pPr>
              <w:spacing w:after="0"/>
              <w:rPr>
                <w:sz w:val="18"/>
                <w:szCs w:val="18"/>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r>
      <w:tr>
        <w:trPr>
          <w:trHeight w:val="229"/>
        </w:trPr>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2220" w:type="dxa"/>
            <w:vAlign w:val="bottom"/>
          </w:tcPr>
          <w:p>
            <w:pPr>
              <w:spacing w:after="0"/>
              <w:rPr>
                <w:sz w:val="19"/>
                <w:szCs w:val="19"/>
                <w:color w:val="auto"/>
              </w:rPr>
            </w:pPr>
          </w:p>
        </w:tc>
      </w:tr>
      <w:tr>
        <w:trPr>
          <w:trHeight w:val="257"/>
        </w:trPr>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1"/>
              </w:rPr>
              <w:t>Commission File Number 1-14959</w:t>
            </w:r>
          </w:p>
        </w:tc>
      </w:tr>
      <w:tr>
        <w:trPr>
          <w:trHeight w:val="627"/>
        </w:trPr>
        <w:tc>
          <w:tcPr>
            <w:tcW w:w="960" w:type="dxa"/>
            <w:vAlign w:val="bottom"/>
          </w:tcPr>
          <w:p>
            <w:pPr>
              <w:jc w:val="center"/>
              <w:ind w:right="90"/>
              <w:spacing w:after="0"/>
              <w:rPr>
                <w:sz w:val="20"/>
                <w:szCs w:val="20"/>
                <w:color w:val="auto"/>
              </w:rPr>
            </w:pPr>
            <w:r>
              <w:rPr>
                <w:rFonts w:ascii="Arial" w:cs="Arial" w:eastAsia="Arial" w:hAnsi="Arial"/>
                <w:sz w:val="16"/>
                <w:szCs w:val="16"/>
                <w:b w:val="1"/>
                <w:bCs w:val="1"/>
                <w:color w:val="auto"/>
                <w:w w:val="89"/>
              </w:rPr>
              <w:t>Wisconsin</w:t>
            </w:r>
          </w:p>
        </w:tc>
        <w:tc>
          <w:tcPr>
            <w:tcW w:w="5840" w:type="dxa"/>
            <w:vAlign w:val="bottom"/>
            <w:gridSpan w:val="3"/>
          </w:tcPr>
          <w:p>
            <w:pPr>
              <w:jc w:val="center"/>
              <w:ind w:left="4720"/>
              <w:spacing w:after="0"/>
              <w:rPr>
                <w:sz w:val="20"/>
                <w:szCs w:val="20"/>
                <w:color w:val="auto"/>
              </w:rPr>
            </w:pPr>
            <w:r>
              <w:rPr>
                <w:rFonts w:ascii="Arial" w:cs="Arial" w:eastAsia="Arial" w:hAnsi="Arial"/>
                <w:sz w:val="16"/>
                <w:szCs w:val="16"/>
                <w:b w:val="1"/>
                <w:bCs w:val="1"/>
                <w:color w:val="auto"/>
                <w:w w:val="91"/>
              </w:rPr>
              <w:t>39-0971239</w:t>
            </w:r>
          </w:p>
        </w:tc>
      </w:tr>
      <w:tr>
        <w:trPr>
          <w:trHeight w:val="161"/>
        </w:trPr>
        <w:tc>
          <w:tcPr>
            <w:tcW w:w="960" w:type="dxa"/>
            <w:vAlign w:val="bottom"/>
          </w:tcPr>
          <w:p>
            <w:pPr>
              <w:jc w:val="center"/>
              <w:ind w:right="70"/>
              <w:spacing w:after="0"/>
              <w:rPr>
                <w:sz w:val="20"/>
                <w:szCs w:val="20"/>
                <w:color w:val="auto"/>
              </w:rPr>
            </w:pPr>
            <w:r>
              <w:rPr>
                <w:rFonts w:ascii="Arial" w:cs="Arial" w:eastAsia="Arial" w:hAnsi="Arial"/>
                <w:sz w:val="13"/>
                <w:szCs w:val="13"/>
                <w:b w:val="1"/>
                <w:bCs w:val="1"/>
                <w:color w:val="auto"/>
                <w:w w:val="88"/>
              </w:rPr>
              <w:t>(State of</w:t>
            </w:r>
          </w:p>
        </w:tc>
        <w:tc>
          <w:tcPr>
            <w:tcW w:w="1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(IRS Employer</w:t>
            </w:r>
          </w:p>
        </w:tc>
      </w:tr>
      <w:tr>
        <w:trPr>
          <w:trHeight w:val="160"/>
        </w:trPr>
        <w:tc>
          <w:tcPr>
            <w:tcW w:w="960" w:type="dxa"/>
            <w:vAlign w:val="bottom"/>
          </w:tcPr>
          <w:p>
            <w:pPr>
              <w:jc w:val="center"/>
              <w:ind w:right="90"/>
              <w:spacing w:after="0"/>
              <w:rPr>
                <w:sz w:val="20"/>
                <w:szCs w:val="20"/>
                <w:color w:val="auto"/>
              </w:rPr>
            </w:pPr>
            <w:r>
              <w:rPr>
                <w:rFonts w:ascii="Arial" w:cs="Arial" w:eastAsia="Arial" w:hAnsi="Arial"/>
                <w:sz w:val="13"/>
                <w:szCs w:val="13"/>
                <w:b w:val="1"/>
                <w:bCs w:val="1"/>
                <w:color w:val="auto"/>
                <w:w w:val="90"/>
              </w:rPr>
              <w:t>Incorporation)</w:t>
            </w:r>
          </w:p>
        </w:tc>
        <w:tc>
          <w:tcPr>
            <w:tcW w:w="1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Identification No.)</w:t>
            </w:r>
          </w:p>
        </w:tc>
      </w:tr>
      <w:tr>
        <w:trPr>
          <w:trHeight w:val="193"/>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6555 West Good Hope Road</w:t>
            </w:r>
          </w:p>
        </w:tc>
      </w:tr>
      <w:tr>
        <w:trPr>
          <w:trHeight w:val="190"/>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Milwaukee, Wisconsin 53223</w:t>
            </w:r>
          </w:p>
        </w:tc>
      </w:tr>
      <w:tr>
        <w:trPr>
          <w:trHeight w:val="167"/>
        </w:trPr>
        <w:tc>
          <w:tcPr>
            <w:tcW w:w="960" w:type="dxa"/>
            <w:vAlign w:val="bottom"/>
          </w:tcPr>
          <w:p>
            <w:pPr>
              <w:spacing w:after="0"/>
              <w:rPr>
                <w:sz w:val="14"/>
                <w:szCs w:val="1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3"/>
                <w:szCs w:val="13"/>
                <w:b w:val="1"/>
                <w:bCs w:val="1"/>
                <w:color w:val="auto"/>
                <w:w w:val="89"/>
              </w:rPr>
              <w:t>(Address of Principal Executive Offices and Zip Code)</w:t>
            </w:r>
          </w:p>
        </w:tc>
      </w:tr>
      <w:tr>
        <w:trPr>
          <w:trHeight w:val="336"/>
        </w:trPr>
        <w:tc>
          <w:tcPr>
            <w:tcW w:w="960" w:type="dxa"/>
            <w:vAlign w:val="bottom"/>
          </w:tcPr>
          <w:p>
            <w:pPr>
              <w:spacing w:after="0"/>
              <w:rPr>
                <w:sz w:val="24"/>
                <w:szCs w:val="24"/>
                <w:color w:val="auto"/>
              </w:rPr>
            </w:pPr>
          </w:p>
        </w:tc>
        <w:tc>
          <w:tcPr>
            <w:tcW w:w="3620" w:type="dxa"/>
            <w:vAlign w:val="bottom"/>
            <w:gridSpan w:val="2"/>
          </w:tcPr>
          <w:p>
            <w:pPr>
              <w:jc w:val="center"/>
              <w:ind w:left="1000"/>
              <w:spacing w:after="0"/>
              <w:rPr>
                <w:sz w:val="20"/>
                <w:szCs w:val="20"/>
                <w:color w:val="auto"/>
              </w:rPr>
            </w:pPr>
            <w:r>
              <w:rPr>
                <w:rFonts w:ascii="Arial" w:cs="Arial" w:eastAsia="Arial" w:hAnsi="Arial"/>
                <w:sz w:val="16"/>
                <w:szCs w:val="16"/>
                <w:b w:val="1"/>
                <w:bCs w:val="1"/>
                <w:color w:val="auto"/>
                <w:w w:val="91"/>
              </w:rPr>
              <w:t>(414) 358-6600</w:t>
            </w:r>
          </w:p>
        </w:tc>
        <w:tc>
          <w:tcPr>
            <w:tcW w:w="2220" w:type="dxa"/>
            <w:vAlign w:val="bottom"/>
          </w:tcPr>
          <w:p>
            <w:pPr>
              <w:spacing w:after="0"/>
              <w:rPr>
                <w:sz w:val="24"/>
                <w:szCs w:val="24"/>
                <w:color w:val="auto"/>
              </w:rPr>
            </w:pPr>
          </w:p>
        </w:tc>
      </w:tr>
      <w:tr>
        <w:trPr>
          <w:trHeight w:val="171"/>
        </w:trPr>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40" w:type="dxa"/>
            <w:vAlign w:val="bottom"/>
            <w:gridSpan w:val="2"/>
          </w:tcPr>
          <w:p>
            <w:pPr>
              <w:jc w:val="center"/>
              <w:ind w:right="2156"/>
              <w:spacing w:after="0"/>
              <w:rPr>
                <w:sz w:val="20"/>
                <w:szCs w:val="20"/>
                <w:color w:val="auto"/>
              </w:rPr>
            </w:pPr>
            <w:r>
              <w:rPr>
                <w:rFonts w:ascii="Arial" w:cs="Arial" w:eastAsia="Arial" w:hAnsi="Arial"/>
                <w:sz w:val="13"/>
                <w:szCs w:val="13"/>
                <w:b w:val="1"/>
                <w:bCs w:val="1"/>
                <w:color w:val="auto"/>
                <w:w w:val="89"/>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159385</wp:posOffset>
            </wp:positionV>
            <wp:extent cx="16008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3" w:lineRule="exact"/>
        <w:rPr>
          <w:sz w:val="24"/>
          <w:szCs w:val="24"/>
          <w:color w:val="auto"/>
        </w:rPr>
      </w:pPr>
    </w:p>
    <w:p>
      <w:pPr>
        <w:ind w:left="479"/>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319"/>
          </w:cols>
          <w:pgMar w:left="261" w:top="670" w:right="319" w:bottom="1440" w:gutter="0" w:footer="0" w:header="0"/>
        </w:sectPr>
      </w:pPr>
    </w:p>
    <w:bookmarkStart w:id="1" w:name="page2"/>
    <w:bookmarkEnd w:id="1"/>
    <w:p>
      <w:pPr>
        <w:ind w:left="20"/>
        <w:spacing w:after="0"/>
        <w:tabs>
          <w:tab w:leader="none" w:pos="940" w:val="left"/>
        </w:tabs>
        <w:rPr>
          <w:sz w:val="20"/>
          <w:szCs w:val="20"/>
          <w:color w:val="auto"/>
        </w:rPr>
      </w:pPr>
      <w:r>
        <w:rPr>
          <w:rFonts w:ascii="Arial" w:cs="Arial" w:eastAsia="Arial" w:hAnsi="Arial"/>
          <w:sz w:val="16"/>
          <w:szCs w:val="16"/>
          <w:color w:val="auto"/>
        </w:rPr>
        <w:t>Item 2.02</w:t>
      </w:r>
      <w:r>
        <w:rPr>
          <w:sz w:val="20"/>
          <w:szCs w:val="20"/>
          <w:color w:val="auto"/>
        </w:rPr>
        <w:tab/>
      </w:r>
      <w:r>
        <w:rPr>
          <w:rFonts w:ascii="Arial" w:cs="Arial" w:eastAsia="Arial" w:hAnsi="Arial"/>
          <w:sz w:val="15"/>
          <w:szCs w:val="15"/>
          <w:color w:val="auto"/>
        </w:rPr>
        <w:t>RESULTS OF OPERATIONS AND FINANCIAL CONDITION</w:t>
      </w:r>
    </w:p>
    <w:p>
      <w:pPr>
        <w:spacing w:after="0" w:line="226" w:lineRule="exact"/>
        <w:rPr>
          <w:sz w:val="20"/>
          <w:szCs w:val="20"/>
          <w:color w:val="auto"/>
        </w:rPr>
      </w:pPr>
    </w:p>
    <w:p>
      <w:pPr>
        <w:ind w:right="20" w:firstLine="290"/>
        <w:spacing w:after="0" w:line="279" w:lineRule="auto"/>
        <w:rPr>
          <w:sz w:val="20"/>
          <w:szCs w:val="20"/>
          <w:color w:val="auto"/>
        </w:rPr>
      </w:pPr>
      <w:r>
        <w:rPr>
          <w:rFonts w:ascii="Arial" w:cs="Arial" w:eastAsia="Arial" w:hAnsi="Arial"/>
          <w:sz w:val="16"/>
          <w:szCs w:val="16"/>
          <w:color w:val="auto"/>
        </w:rPr>
        <w:t>On February 20, 2014, Brady Corporation (the “Company”) issued a press release announcing its fiscal 2014 second quarter financial results. A copy of the press release is being furnished to the Securities and Exchange Commission as Exhibit 99.1 attached hereto and is incorporated herein by reference.</w:t>
      </w:r>
    </w:p>
    <w:p>
      <w:pPr>
        <w:spacing w:after="0" w:line="103"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9.01</w:t>
      </w:r>
      <w:r>
        <w:rPr>
          <w:sz w:val="20"/>
          <w:szCs w:val="20"/>
          <w:color w:val="auto"/>
        </w:rPr>
        <w:tab/>
      </w:r>
      <w:r>
        <w:rPr>
          <w:rFonts w:ascii="Arial" w:cs="Arial" w:eastAsia="Arial" w:hAnsi="Arial"/>
          <w:sz w:val="15"/>
          <w:szCs w:val="15"/>
          <w:color w:val="auto"/>
        </w:rPr>
        <w:t>FINANCIAL STATEMENTS AND EXHIBITS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filed as Exhibits to this Report.</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Exhibit No. 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29210</wp:posOffset>
            </wp:positionV>
            <wp:extent cx="55149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4975" cy="7620"/>
                    </a:xfrm>
                    <a:prstGeom prst="rect">
                      <a:avLst/>
                    </a:prstGeom>
                    <a:noFill/>
                  </pic:spPr>
                </pic:pic>
              </a:graphicData>
            </a:graphic>
          </wp:anchor>
        </w:drawing>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560" w:type="dxa"/>
            <w:vAlign w:val="bottom"/>
          </w:tcPr>
          <w:p>
            <w:pPr>
              <w:jc w:val="right"/>
              <w:ind w:right="200"/>
              <w:spacing w:after="0"/>
              <w:rPr>
                <w:sz w:val="20"/>
                <w:szCs w:val="20"/>
                <w:color w:val="auto"/>
              </w:rPr>
            </w:pPr>
            <w:r>
              <w:rPr>
                <w:rFonts w:ascii="Arial" w:cs="Arial" w:eastAsia="Arial" w:hAnsi="Arial"/>
                <w:sz w:val="16"/>
                <w:szCs w:val="16"/>
                <w:color w:val="auto"/>
                <w:w w:val="83"/>
              </w:rPr>
              <w:t>99.1</w:t>
            </w:r>
          </w:p>
        </w:tc>
        <w:tc>
          <w:tcPr>
            <w:tcW w:w="7820" w:type="dxa"/>
            <w:vAlign w:val="bottom"/>
          </w:tcPr>
          <w:p>
            <w:pPr>
              <w:ind w:left="280"/>
              <w:spacing w:after="0"/>
              <w:rPr>
                <w:sz w:val="20"/>
                <w:szCs w:val="20"/>
                <w:color w:val="auto"/>
              </w:rPr>
            </w:pPr>
            <w:r>
              <w:rPr>
                <w:rFonts w:ascii="Arial" w:cs="Arial" w:eastAsia="Arial" w:hAnsi="Arial"/>
                <w:sz w:val="16"/>
                <w:szCs w:val="16"/>
                <w:color w:val="auto"/>
                <w:w w:val="90"/>
              </w:rPr>
              <w:t>Press Release of Brady Corporation, dated February 20, 2014, relating to second quarter fiscal 2014 financial results.</w:t>
            </w:r>
          </w:p>
        </w:tc>
      </w:tr>
      <w:tr>
        <w:trPr>
          <w:trHeight w:val="422"/>
        </w:trPr>
        <w:tc>
          <w:tcPr>
            <w:tcW w:w="560" w:type="dxa"/>
            <w:vAlign w:val="bottom"/>
          </w:tcPr>
          <w:p>
            <w:pPr>
              <w:jc w:val="right"/>
              <w:ind w:right="200"/>
              <w:spacing w:after="0"/>
              <w:rPr>
                <w:sz w:val="20"/>
                <w:szCs w:val="20"/>
                <w:color w:val="auto"/>
              </w:rPr>
            </w:pPr>
            <w:r>
              <w:rPr>
                <w:rFonts w:ascii="Arial" w:cs="Arial" w:eastAsia="Arial" w:hAnsi="Arial"/>
                <w:sz w:val="16"/>
                <w:szCs w:val="16"/>
                <w:color w:val="auto"/>
                <w:w w:val="83"/>
              </w:rPr>
              <w:t>99.2</w:t>
            </w:r>
          </w:p>
        </w:tc>
        <w:tc>
          <w:tcPr>
            <w:tcW w:w="7820" w:type="dxa"/>
            <w:vAlign w:val="bottom"/>
          </w:tcPr>
          <w:p>
            <w:pPr>
              <w:ind w:left="280"/>
              <w:spacing w:after="0"/>
              <w:rPr>
                <w:sz w:val="20"/>
                <w:szCs w:val="20"/>
                <w:color w:val="auto"/>
              </w:rPr>
            </w:pPr>
            <w:r>
              <w:rPr>
                <w:rFonts w:ascii="Arial" w:cs="Arial" w:eastAsia="Arial" w:hAnsi="Arial"/>
                <w:sz w:val="16"/>
                <w:szCs w:val="16"/>
                <w:color w:val="auto"/>
                <w:w w:val="92"/>
              </w:rPr>
              <w:t>Informational slides provided by Brady Corporation, dated February 20, 2014, relating to second quarter fiscal 2014</w:t>
            </w:r>
          </w:p>
        </w:tc>
      </w:tr>
      <w:tr>
        <w:trPr>
          <w:trHeight w:val="205"/>
        </w:trPr>
        <w:tc>
          <w:tcPr>
            <w:tcW w:w="560" w:type="dxa"/>
            <w:vAlign w:val="bottom"/>
          </w:tcPr>
          <w:p>
            <w:pPr>
              <w:spacing w:after="0"/>
              <w:rPr>
                <w:sz w:val="17"/>
                <w:szCs w:val="17"/>
                <w:color w:val="auto"/>
              </w:rPr>
            </w:pPr>
          </w:p>
        </w:tc>
        <w:tc>
          <w:tcPr>
            <w:tcW w:w="7820" w:type="dxa"/>
            <w:vAlign w:val="bottom"/>
          </w:tcPr>
          <w:p>
            <w:pPr>
              <w:ind w:left="280"/>
              <w:spacing w:after="0"/>
              <w:rPr>
                <w:sz w:val="20"/>
                <w:szCs w:val="20"/>
                <w:color w:val="auto"/>
              </w:rPr>
            </w:pPr>
            <w:r>
              <w:rPr>
                <w:rFonts w:ascii="Arial" w:cs="Arial" w:eastAsia="Arial" w:hAnsi="Arial"/>
                <w:sz w:val="16"/>
                <w:szCs w:val="16"/>
                <w:color w:val="auto"/>
              </w:rPr>
              <w:t>financial results.</w:t>
            </w:r>
          </w:p>
        </w:tc>
      </w:tr>
    </w:tbl>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7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5940" w:val="left"/>
        </w:tabs>
        <w:rPr>
          <w:sz w:val="20"/>
          <w:szCs w:val="20"/>
          <w:color w:val="auto"/>
        </w:rPr>
      </w:pPr>
      <w:r>
        <w:rPr>
          <w:rFonts w:ascii="Arial" w:cs="Arial" w:eastAsia="Arial" w:hAnsi="Arial"/>
          <w:sz w:val="16"/>
          <w:szCs w:val="16"/>
          <w:color w:val="auto"/>
        </w:rPr>
        <w:t>Date: February 20, 2014</w:t>
      </w:r>
      <w:r>
        <w:rPr>
          <w:sz w:val="20"/>
          <w:szCs w:val="20"/>
          <w:color w:val="auto"/>
        </w:rPr>
        <w:tab/>
      </w:r>
      <w:r>
        <w:rPr>
          <w:rFonts w:ascii="Arial" w:cs="Arial" w:eastAsia="Arial" w:hAnsi="Arial"/>
          <w:sz w:val="14"/>
          <w:szCs w:val="14"/>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29210</wp:posOffset>
            </wp:positionV>
            <wp:extent cx="34848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84880" cy="7620"/>
                    </a:xfrm>
                    <a:prstGeom prst="rect">
                      <a:avLst/>
                    </a:prstGeom>
                    <a:noFill/>
                  </pic:spPr>
                </pic:pic>
              </a:graphicData>
            </a:graphic>
          </wp:anchor>
        </w:drawing>
      </w:r>
    </w:p>
    <w:p>
      <w:pPr>
        <w:spacing w:after="0" w:line="4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Thomas J. Felmer</w:t>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Interim President &amp; Chief Executive Officer and Chief Financial Officer</w:t>
      </w:r>
    </w:p>
    <w:p>
      <w:pPr>
        <w:sectPr>
          <w:pgSz w:w="11900" w:h="16838" w:orient="portrait"/>
          <w:cols w:equalWidth="0" w:num="1">
            <w:col w:w="11440"/>
          </w:cols>
          <w:pgMar w:left="240" w:top="682"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900" w:type="dxa"/>
            <w:vAlign w:val="bottom"/>
          </w:tcPr>
          <w:p>
            <w:pPr>
              <w:spacing w:after="0"/>
              <w:rPr>
                <w:sz w:val="17"/>
                <w:szCs w:val="17"/>
                <w:color w:val="auto"/>
              </w:rPr>
            </w:pPr>
          </w:p>
        </w:tc>
        <w:tc>
          <w:tcPr>
            <w:tcW w:w="7780" w:type="dxa"/>
            <w:vAlign w:val="bottom"/>
          </w:tcPr>
          <w:p>
            <w:pPr>
              <w:ind w:left="4220"/>
              <w:spacing w:after="0"/>
              <w:rPr>
                <w:sz w:val="20"/>
                <w:szCs w:val="20"/>
                <w:color w:val="auto"/>
              </w:rPr>
            </w:pPr>
            <w:r>
              <w:rPr>
                <w:rFonts w:ascii="Arial" w:cs="Arial" w:eastAsia="Arial" w:hAnsi="Arial"/>
                <w:sz w:val="16"/>
                <w:szCs w:val="16"/>
                <w:color w:val="auto"/>
              </w:rPr>
              <w:t>EXHIBIT INDEX</w:t>
            </w:r>
          </w:p>
        </w:tc>
        <w:tc>
          <w:tcPr>
            <w:tcW w:w="0" w:type="dxa"/>
            <w:vAlign w:val="bottom"/>
          </w:tcPr>
          <w:p>
            <w:pPr>
              <w:spacing w:after="0"/>
              <w:rPr>
                <w:sz w:val="1"/>
                <w:szCs w:val="1"/>
                <w:color w:val="auto"/>
              </w:rPr>
            </w:pPr>
          </w:p>
        </w:tc>
      </w:tr>
      <w:tr>
        <w:trPr>
          <w:trHeight w:val="511"/>
        </w:trPr>
        <w:tc>
          <w:tcPr>
            <w:tcW w:w="900" w:type="dxa"/>
            <w:vAlign w:val="bottom"/>
          </w:tcPr>
          <w:p>
            <w:pPr>
              <w:ind w:left="20"/>
              <w:spacing w:after="0"/>
              <w:rPr>
                <w:sz w:val="20"/>
                <w:szCs w:val="20"/>
                <w:color w:val="auto"/>
              </w:rPr>
            </w:pPr>
            <w:r>
              <w:rPr>
                <w:rFonts w:ascii="Arial" w:cs="Arial" w:eastAsia="Arial" w:hAnsi="Arial"/>
                <w:sz w:val="14"/>
                <w:szCs w:val="14"/>
                <w:color w:val="auto"/>
              </w:rPr>
              <w:t>EXHIBIT</w:t>
            </w:r>
          </w:p>
        </w:tc>
        <w:tc>
          <w:tcPr>
            <w:tcW w:w="7780" w:type="dxa"/>
            <w:vAlign w:val="bottom"/>
            <w:vMerge w:val="restart"/>
          </w:tcPr>
          <w:p>
            <w:pPr>
              <w:ind w:left="24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189"/>
        </w:trPr>
        <w:tc>
          <w:tcPr>
            <w:tcW w:w="900" w:type="dxa"/>
            <w:vAlign w:val="bottom"/>
          </w:tcPr>
          <w:p>
            <w:pPr>
              <w:ind w:left="20"/>
              <w:spacing w:after="0"/>
              <w:rPr>
                <w:sz w:val="20"/>
                <w:szCs w:val="20"/>
                <w:color w:val="auto"/>
              </w:rPr>
            </w:pPr>
            <w:r>
              <w:rPr>
                <w:rFonts w:ascii="Arial" w:cs="Arial" w:eastAsia="Arial" w:hAnsi="Arial"/>
                <w:sz w:val="14"/>
                <w:szCs w:val="14"/>
                <w:color w:val="auto"/>
              </w:rPr>
              <w:t>NUMBER</w:t>
            </w:r>
          </w:p>
        </w:tc>
        <w:tc>
          <w:tcPr>
            <w:tcW w:w="7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00" w:type="dxa"/>
            <w:vAlign w:val="bottom"/>
            <w:tcBorders>
              <w:bottom w:val="single" w:sz="8" w:color="auto"/>
            </w:tcBorders>
          </w:tcPr>
          <w:p>
            <w:pPr>
              <w:spacing w:after="0"/>
              <w:rPr>
                <w:sz w:val="2"/>
                <w:szCs w:val="2"/>
                <w:color w:val="auto"/>
              </w:rPr>
            </w:pPr>
          </w:p>
        </w:tc>
        <w:tc>
          <w:tcPr>
            <w:tcW w:w="7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900" w:type="dxa"/>
            <w:vAlign w:val="bottom"/>
          </w:tcPr>
          <w:p>
            <w:pPr>
              <w:ind w:left="20"/>
              <w:spacing w:after="0"/>
              <w:rPr>
                <w:sz w:val="20"/>
                <w:szCs w:val="20"/>
                <w:color w:val="auto"/>
              </w:rPr>
            </w:pPr>
            <w:r>
              <w:rPr>
                <w:rFonts w:ascii="Arial" w:cs="Arial" w:eastAsia="Arial" w:hAnsi="Arial"/>
                <w:sz w:val="16"/>
                <w:szCs w:val="16"/>
                <w:color w:val="auto"/>
              </w:rPr>
              <w:t>99.1</w:t>
            </w:r>
          </w:p>
        </w:tc>
        <w:tc>
          <w:tcPr>
            <w:tcW w:w="7780" w:type="dxa"/>
            <w:vAlign w:val="bottom"/>
          </w:tcPr>
          <w:p>
            <w:pPr>
              <w:ind w:left="240"/>
              <w:spacing w:after="0"/>
              <w:rPr>
                <w:sz w:val="20"/>
                <w:szCs w:val="20"/>
                <w:color w:val="auto"/>
              </w:rPr>
            </w:pPr>
            <w:r>
              <w:rPr>
                <w:rFonts w:ascii="Arial" w:cs="Arial" w:eastAsia="Arial" w:hAnsi="Arial"/>
                <w:sz w:val="16"/>
                <w:szCs w:val="16"/>
                <w:color w:val="auto"/>
                <w:w w:val="97"/>
              </w:rPr>
              <w:t>Press Release of Brady Corporation, dated February 20, 2014, relating to second quarter fiscal 2014 financial</w:t>
            </w:r>
          </w:p>
        </w:tc>
        <w:tc>
          <w:tcPr>
            <w:tcW w:w="0" w:type="dxa"/>
            <w:vAlign w:val="bottom"/>
          </w:tcPr>
          <w:p>
            <w:pPr>
              <w:spacing w:after="0"/>
              <w:rPr>
                <w:sz w:val="1"/>
                <w:szCs w:val="1"/>
                <w:color w:val="auto"/>
              </w:rPr>
            </w:pPr>
          </w:p>
        </w:tc>
      </w:tr>
      <w:tr>
        <w:trPr>
          <w:trHeight w:val="205"/>
        </w:trPr>
        <w:tc>
          <w:tcPr>
            <w:tcW w:w="900" w:type="dxa"/>
            <w:vAlign w:val="bottom"/>
          </w:tcPr>
          <w:p>
            <w:pPr>
              <w:spacing w:after="0"/>
              <w:rPr>
                <w:sz w:val="17"/>
                <w:szCs w:val="17"/>
                <w:color w:val="auto"/>
              </w:rPr>
            </w:pPr>
          </w:p>
        </w:tc>
        <w:tc>
          <w:tcPr>
            <w:tcW w:w="7780" w:type="dxa"/>
            <w:vAlign w:val="bottom"/>
          </w:tcPr>
          <w:p>
            <w:pPr>
              <w:ind w:left="240"/>
              <w:spacing w:after="0"/>
              <w:rPr>
                <w:sz w:val="20"/>
                <w:szCs w:val="20"/>
                <w:color w:val="auto"/>
              </w:rPr>
            </w:pPr>
            <w:r>
              <w:rPr>
                <w:rFonts w:ascii="Arial" w:cs="Arial" w:eastAsia="Arial" w:hAnsi="Arial"/>
                <w:sz w:val="16"/>
                <w:szCs w:val="16"/>
                <w:color w:val="auto"/>
              </w:rPr>
              <w:t>results.</w:t>
            </w:r>
          </w:p>
        </w:tc>
        <w:tc>
          <w:tcPr>
            <w:tcW w:w="0" w:type="dxa"/>
            <w:vAlign w:val="bottom"/>
          </w:tcPr>
          <w:p>
            <w:pPr>
              <w:spacing w:after="0"/>
              <w:rPr>
                <w:sz w:val="1"/>
                <w:szCs w:val="1"/>
                <w:color w:val="auto"/>
              </w:rPr>
            </w:pPr>
          </w:p>
        </w:tc>
      </w:tr>
      <w:tr>
        <w:trPr>
          <w:trHeight w:val="229"/>
        </w:trPr>
        <w:tc>
          <w:tcPr>
            <w:tcW w:w="900" w:type="dxa"/>
            <w:vAlign w:val="bottom"/>
          </w:tcPr>
          <w:p>
            <w:pPr>
              <w:ind w:left="20"/>
              <w:spacing w:after="0"/>
              <w:rPr>
                <w:sz w:val="20"/>
                <w:szCs w:val="20"/>
                <w:color w:val="auto"/>
              </w:rPr>
            </w:pPr>
            <w:r>
              <w:rPr>
                <w:rFonts w:ascii="Arial" w:cs="Arial" w:eastAsia="Arial" w:hAnsi="Arial"/>
                <w:sz w:val="16"/>
                <w:szCs w:val="16"/>
                <w:color w:val="auto"/>
              </w:rPr>
              <w:t>99.2</w:t>
            </w:r>
          </w:p>
        </w:tc>
        <w:tc>
          <w:tcPr>
            <w:tcW w:w="7780" w:type="dxa"/>
            <w:vAlign w:val="bottom"/>
          </w:tcPr>
          <w:p>
            <w:pPr>
              <w:ind w:left="240"/>
              <w:spacing w:after="0"/>
              <w:rPr>
                <w:sz w:val="20"/>
                <w:szCs w:val="20"/>
                <w:color w:val="auto"/>
              </w:rPr>
            </w:pPr>
            <w:r>
              <w:rPr>
                <w:rFonts w:ascii="Arial" w:cs="Arial" w:eastAsia="Arial" w:hAnsi="Arial"/>
                <w:sz w:val="16"/>
                <w:szCs w:val="16"/>
                <w:color w:val="auto"/>
                <w:w w:val="92"/>
              </w:rPr>
              <w:t>Informational slides provided by Brady Corporation, dated February 20, 2014, relating to second quarter fiscal 2014</w:t>
            </w:r>
          </w:p>
        </w:tc>
        <w:tc>
          <w:tcPr>
            <w:tcW w:w="0" w:type="dxa"/>
            <w:vAlign w:val="bottom"/>
          </w:tcPr>
          <w:p>
            <w:pPr>
              <w:spacing w:after="0"/>
              <w:rPr>
                <w:sz w:val="1"/>
                <w:szCs w:val="1"/>
                <w:color w:val="auto"/>
              </w:rPr>
            </w:pPr>
          </w:p>
        </w:tc>
      </w:tr>
      <w:tr>
        <w:trPr>
          <w:trHeight w:val="205"/>
        </w:trPr>
        <w:tc>
          <w:tcPr>
            <w:tcW w:w="900" w:type="dxa"/>
            <w:vAlign w:val="bottom"/>
          </w:tcPr>
          <w:p>
            <w:pPr>
              <w:spacing w:after="0"/>
              <w:rPr>
                <w:sz w:val="17"/>
                <w:szCs w:val="17"/>
                <w:color w:val="auto"/>
              </w:rPr>
            </w:pPr>
          </w:p>
        </w:tc>
        <w:tc>
          <w:tcPr>
            <w:tcW w:w="7780" w:type="dxa"/>
            <w:vAlign w:val="bottom"/>
          </w:tcPr>
          <w:p>
            <w:pPr>
              <w:ind w:left="240"/>
              <w:spacing w:after="0"/>
              <w:rPr>
                <w:sz w:val="20"/>
                <w:szCs w:val="20"/>
                <w:color w:val="auto"/>
              </w:rPr>
            </w:pPr>
            <w:r>
              <w:rPr>
                <w:rFonts w:ascii="Arial" w:cs="Arial" w:eastAsia="Arial" w:hAnsi="Arial"/>
                <w:sz w:val="16"/>
                <w:szCs w:val="16"/>
                <w:color w:val="auto"/>
              </w:rPr>
              <w:t>financial results.</w:t>
            </w:r>
          </w:p>
        </w:tc>
        <w:tc>
          <w:tcPr>
            <w:tcW w:w="0" w:type="dxa"/>
            <w:vAlign w:val="bottom"/>
          </w:tcPr>
          <w:p>
            <w:pPr>
              <w:spacing w:after="0"/>
              <w:rPr>
                <w:sz w:val="1"/>
                <w:szCs w:val="1"/>
                <w:color w:val="auto"/>
              </w:rPr>
            </w:pPr>
          </w:p>
        </w:tc>
      </w:tr>
    </w:tbl>
    <w:p>
      <w:pPr>
        <w:sectPr>
          <w:pgSz w:w="11900" w:h="16838" w:orient="portrait"/>
          <w:cols w:equalWidth="0" w:num="1">
            <w:col w:w="10219"/>
          </w:cols>
          <w:pgMar w:left="240" w:top="73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237" w:lineRule="auto"/>
        <w:rPr>
          <w:sz w:val="20"/>
          <w:szCs w:val="20"/>
          <w:color w:val="auto"/>
        </w:rPr>
      </w:pPr>
      <w:r>
        <w:rPr>
          <w:rFonts w:ascii="Arial" w:cs="Arial" w:eastAsia="Arial" w:hAnsi="Arial"/>
          <w:sz w:val="18"/>
          <w:szCs w:val="18"/>
          <w:color w:val="auto"/>
        </w:rPr>
        <w:t>Investor contact: Aaron Pearce 414-438-6895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414-438-6882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2014 Second Quarter Results</w:t>
      </w:r>
    </w:p>
    <w:p>
      <w:pPr>
        <w:spacing w:after="0" w:line="245" w:lineRule="exact"/>
        <w:rPr>
          <w:sz w:val="20"/>
          <w:szCs w:val="20"/>
          <w:color w:val="auto"/>
        </w:rPr>
      </w:pPr>
    </w:p>
    <w:p>
      <w:pPr>
        <w:ind w:right="300"/>
        <w:spacing w:after="0" w:line="368" w:lineRule="auto"/>
        <w:rPr>
          <w:sz w:val="20"/>
          <w:szCs w:val="20"/>
          <w:color w:val="auto"/>
        </w:rPr>
      </w:pPr>
      <w:r>
        <w:rPr>
          <w:rFonts w:ascii="Arial" w:cs="Arial" w:eastAsia="Arial" w:hAnsi="Arial"/>
          <w:sz w:val="18"/>
          <w:szCs w:val="18"/>
          <w:color w:val="auto"/>
        </w:rPr>
        <w:t>MILWAUKEE (February 20, 2014)--Brady Corporation (NYSE: BRC) (“Brady” or “Company”), a world leader in identification solutions, today reported its financial results for the fiscal 2014 second quarter ended January 31, 2014.</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January 31, 2014 Financial Results:</w:t>
      </w:r>
    </w:p>
    <w:p>
      <w:pPr>
        <w:spacing w:after="0" w:line="101" w:lineRule="exact"/>
        <w:rPr>
          <w:sz w:val="20"/>
          <w:szCs w:val="20"/>
          <w:color w:val="auto"/>
        </w:rPr>
      </w:pPr>
    </w:p>
    <w:p>
      <w:pPr>
        <w:ind w:right="60" w:firstLine="579"/>
        <w:spacing w:after="0" w:line="349" w:lineRule="auto"/>
        <w:rPr>
          <w:sz w:val="20"/>
          <w:szCs w:val="20"/>
          <w:color w:val="auto"/>
        </w:rPr>
      </w:pPr>
      <w:r>
        <w:rPr>
          <w:rFonts w:ascii="Arial" w:cs="Arial" w:eastAsia="Arial" w:hAnsi="Arial"/>
          <w:sz w:val="18"/>
          <w:szCs w:val="18"/>
          <w:color w:val="auto"/>
        </w:rPr>
        <w:t>Sales from continuing operations for the quarter ended January 31, 2014 were up 6.8 percent to $291.2 million compared to $272.7 million in the second quarter of fiscal 2013. Organic sales were down 1.1 percent, the acquisition of Precision Dynamics Corporation (“PDC”) added 8.5 percent to sales, and the impact of foreign currency translation decreased sales by 0.6 percent. By segment, organic sales were up 2.5 percent in Identification Solutions and down 6.8 percent in Workplace Safety.</w:t>
      </w:r>
    </w:p>
    <w:p>
      <w:pPr>
        <w:spacing w:after="0" w:line="2" w:lineRule="exact"/>
        <w:rPr>
          <w:sz w:val="20"/>
          <w:szCs w:val="20"/>
          <w:color w:val="auto"/>
        </w:rPr>
      </w:pPr>
    </w:p>
    <w:p>
      <w:pPr>
        <w:ind w:right="60" w:firstLine="579"/>
        <w:spacing w:after="0" w:line="349" w:lineRule="auto"/>
        <w:rPr>
          <w:sz w:val="20"/>
          <w:szCs w:val="20"/>
          <w:color w:val="auto"/>
        </w:rPr>
      </w:pPr>
      <w:r>
        <w:rPr>
          <w:rFonts w:ascii="Arial" w:cs="Arial" w:eastAsia="Arial" w:hAnsi="Arial"/>
          <w:sz w:val="18"/>
          <w:szCs w:val="18"/>
          <w:color w:val="auto"/>
        </w:rPr>
        <w:t>Net earnings for the quarter ended January 31, 2014 were $16.4 million compared to a net loss of $8.7 million in the same quarter last year. Net earnings from continuing operations for the quarter ended January 31, 2014, were $10.5 million compared to a loss of $10.7 million in the same quarter last year. Non-GAAP net earnings from continuing operations* for the fiscal 2014 second quarter ended January 31, 2014, were $13.4 million compared to $19.6 million in the same quarter last year.</w:t>
      </w:r>
    </w:p>
    <w:p>
      <w:pPr>
        <w:spacing w:after="0" w:line="2" w:lineRule="exact"/>
        <w:rPr>
          <w:sz w:val="20"/>
          <w:szCs w:val="20"/>
          <w:color w:val="auto"/>
        </w:rPr>
      </w:pPr>
    </w:p>
    <w:p>
      <w:pPr>
        <w:ind w:right="160" w:firstLine="579"/>
        <w:spacing w:after="0" w:line="381" w:lineRule="auto"/>
        <w:rPr>
          <w:sz w:val="20"/>
          <w:szCs w:val="20"/>
          <w:color w:val="auto"/>
        </w:rPr>
      </w:pPr>
      <w:r>
        <w:rPr>
          <w:rFonts w:ascii="Arial" w:cs="Arial" w:eastAsia="Arial" w:hAnsi="Arial"/>
          <w:sz w:val="17"/>
          <w:szCs w:val="17"/>
          <w:color w:val="auto"/>
        </w:rPr>
        <w:t>Net earnings (loss) per Class A Nonvoting Common Share were $0.31 for the second quarter ended January 31, 2014 compared to $(0.17) in the same quarter last year. Earnings (loss) from continuing operations per diluted Class A Nonvoting Common Share were $0.20 for the second quarter of fiscal 2014 compared to $(0.21) in the same quarter last year. Non-GAAP earnings from continuing operations per diluted Class A Nonvoting Common Share* were $0.25 in the second quarter of fiscal 2014 and $0.38 per share in the second quarter of fiscal 2013.</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Six-Month Period Ended January 31, 2014 Financial Results:</w:t>
      </w:r>
    </w:p>
    <w:p>
      <w:pPr>
        <w:spacing w:after="0" w:line="101" w:lineRule="exact"/>
        <w:rPr>
          <w:sz w:val="20"/>
          <w:szCs w:val="20"/>
          <w:color w:val="auto"/>
        </w:rPr>
      </w:pPr>
    </w:p>
    <w:p>
      <w:pPr>
        <w:ind w:right="20" w:firstLine="579"/>
        <w:spacing w:after="0" w:line="349" w:lineRule="auto"/>
        <w:rPr>
          <w:sz w:val="20"/>
          <w:szCs w:val="20"/>
          <w:color w:val="auto"/>
        </w:rPr>
      </w:pPr>
      <w:r>
        <w:rPr>
          <w:rFonts w:ascii="Arial" w:cs="Arial" w:eastAsia="Arial" w:hAnsi="Arial"/>
          <w:sz w:val="18"/>
          <w:szCs w:val="18"/>
          <w:color w:val="auto"/>
        </w:rPr>
        <w:t>Sales from continuing operations for the six-month period ended January 31, 2014 were up 9.9 percent to $598.7 million compared to $544.7 million in the same period in fiscal 2013. Organic sales were down 1.6 percent, the acquisition of Precision Dynamics Corporation (“PDC”) added 12.0 percent to sales, and the impact of foreign currency translation decreased sales by 0.5 percent. By segment, organic sales were up 2.9 percent in Identification Solutions and down 8.4 percent in Workplace Safety.</w:t>
      </w:r>
    </w:p>
    <w:p>
      <w:pPr>
        <w:spacing w:after="0" w:line="2" w:lineRule="exact"/>
        <w:rPr>
          <w:sz w:val="20"/>
          <w:szCs w:val="20"/>
          <w:color w:val="auto"/>
        </w:rPr>
      </w:pPr>
    </w:p>
    <w:p>
      <w:pPr>
        <w:ind w:right="100" w:firstLine="579"/>
        <w:spacing w:after="0" w:line="359" w:lineRule="auto"/>
        <w:rPr>
          <w:sz w:val="20"/>
          <w:szCs w:val="20"/>
          <w:color w:val="auto"/>
        </w:rPr>
      </w:pPr>
      <w:r>
        <w:rPr>
          <w:rFonts w:ascii="Arial" w:cs="Arial" w:eastAsia="Arial" w:hAnsi="Arial"/>
          <w:sz w:val="18"/>
          <w:szCs w:val="18"/>
          <w:color w:val="auto"/>
        </w:rPr>
        <w:t>Net earnings for the six-month period ended January 31, 2014 were $40.4 million compared to $18.5 million in the same six-month period last year. Net earnings from continuing operations for the six-month period ended January 31, 2014, were $28.7 million compared to $15.6 million in the same six-month period last year.</w:t>
      </w:r>
    </w:p>
    <w:p>
      <w:pPr>
        <w:sectPr>
          <w:pgSz w:w="11900" w:h="16838" w:orient="portrait"/>
          <w:cols w:equalWidth="0" w:num="1">
            <w:col w:w="11440"/>
          </w:cols>
          <w:pgMar w:left="240" w:top="734" w:right="219" w:bottom="1440" w:gutter="0" w:footer="0" w:header="0"/>
        </w:sectPr>
      </w:pPr>
    </w:p>
    <w:bookmarkStart w:id="4" w:name="page5"/>
    <w:bookmarkEnd w:id="4"/>
    <w:p>
      <w:pPr>
        <w:ind w:right="280"/>
        <w:spacing w:after="0" w:line="349" w:lineRule="auto"/>
        <w:rPr>
          <w:sz w:val="20"/>
          <w:szCs w:val="20"/>
          <w:color w:val="auto"/>
        </w:rPr>
      </w:pPr>
      <w:r>
        <w:rPr>
          <w:rFonts w:ascii="Arial" w:cs="Arial" w:eastAsia="Arial" w:hAnsi="Arial"/>
          <w:sz w:val="18"/>
          <w:szCs w:val="18"/>
          <w:color w:val="auto"/>
        </w:rPr>
        <w:t>Non-GAAP net earnings from continuing operations* for the six-month period ended January 31, 2014, were $36.2 million compared to $45.8 million in the same six-month period last year.</w:t>
      </w:r>
    </w:p>
    <w:p>
      <w:pPr>
        <w:spacing w:after="0" w:line="1" w:lineRule="exact"/>
        <w:rPr>
          <w:sz w:val="20"/>
          <w:szCs w:val="20"/>
          <w:color w:val="auto"/>
        </w:rPr>
      </w:pPr>
    </w:p>
    <w:p>
      <w:pPr>
        <w:ind w:right="100" w:firstLine="579"/>
        <w:spacing w:after="0" w:line="443" w:lineRule="auto"/>
        <w:rPr>
          <w:sz w:val="20"/>
          <w:szCs w:val="20"/>
          <w:color w:val="auto"/>
        </w:rPr>
      </w:pPr>
      <w:r>
        <w:rPr>
          <w:rFonts w:ascii="Arial" w:cs="Arial" w:eastAsia="Arial" w:hAnsi="Arial"/>
          <w:sz w:val="15"/>
          <w:szCs w:val="15"/>
          <w:color w:val="auto"/>
        </w:rPr>
        <w:t>Net earnings per Class A Nonvoting Common Share were $0.77 for the six-month period ended January 31, 2014 compared to $0.36 in the same six-month period last year. Earnings from continuing operations per diluted Class A Nonvoting Common Share were $0.55 for the six-month period ended January 31, 2014 compared to $0.30 in the same six-month period last year. Non-GAAP earnings from continuing operations per diluted Class A Nonvoting Common Share* were $0.69 in the six-month period ended January 31, 2014 and $0.89 per share in the six-month period ended January 31, 2013.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Commentary and Guidance:</w:t>
      </w:r>
    </w:p>
    <w:p>
      <w:pPr>
        <w:spacing w:after="0" w:line="101" w:lineRule="exact"/>
        <w:rPr>
          <w:sz w:val="20"/>
          <w:szCs w:val="20"/>
          <w:color w:val="auto"/>
        </w:rPr>
      </w:pPr>
    </w:p>
    <w:p>
      <w:pPr>
        <w:ind w:right="160" w:firstLine="579"/>
        <w:spacing w:after="0" w:line="419" w:lineRule="auto"/>
        <w:rPr>
          <w:sz w:val="20"/>
          <w:szCs w:val="20"/>
          <w:color w:val="auto"/>
        </w:rPr>
      </w:pPr>
      <w:r>
        <w:rPr>
          <w:rFonts w:ascii="Arial" w:cs="Arial" w:eastAsia="Arial" w:hAnsi="Arial"/>
          <w:sz w:val="15"/>
          <w:szCs w:val="15"/>
          <w:color w:val="auto"/>
        </w:rPr>
        <w:t>“Our Identification Solutions business continued its steady revenue performance in the second quarter with 2.5 percent organic sales growth and 15.8 percent growth including sales from the PDC acquisition. During the quarter, sales in our Workplace Safety platform were down 7.7 percent which was below our expectations. We have been accelerating investments in our Workplace Safety business to drive organic sales growth. These investments are aimed at improving our e-commerce capabilities, expanding our product offerings and enhancing our overall value proposition which has resulted in an increase in new customers for the group. While we are investing to increase our competitiveness, we are balancing our investments to ensure more profitable growth over the long term,” said Brady’s Chief Financial Officer and Interim President and Chief Executive Officer, Thomas J. Felmer. “We have seen improvements in our Asian and European Identification Solutions’ results and continue to see growth opportunities driven by our new product pipeline and increased focus on industries such as healthcare; food and beverage; chemical, oil and gas; and aerospace and mass transit.”</w:t>
      </w:r>
    </w:p>
    <w:p>
      <w:pPr>
        <w:spacing w:after="0" w:line="3" w:lineRule="exact"/>
        <w:rPr>
          <w:sz w:val="20"/>
          <w:szCs w:val="20"/>
          <w:color w:val="auto"/>
        </w:rPr>
      </w:pPr>
    </w:p>
    <w:p>
      <w:pPr>
        <w:ind w:right="80" w:firstLine="579"/>
        <w:spacing w:after="0" w:line="349" w:lineRule="auto"/>
        <w:rPr>
          <w:sz w:val="20"/>
          <w:szCs w:val="20"/>
          <w:color w:val="auto"/>
        </w:rPr>
      </w:pPr>
      <w:r>
        <w:rPr>
          <w:rFonts w:ascii="Arial" w:cs="Arial" w:eastAsia="Arial" w:hAnsi="Arial"/>
          <w:sz w:val="18"/>
          <w:szCs w:val="18"/>
          <w:color w:val="auto"/>
        </w:rPr>
        <w:t>The Company anticipates organic sales from continuing operations to range from a slight contraction to low single-digit growth for the full year ending July 31, 2014. The Company anticipates its earnings from continuing operations per diluted Class A Nonvoting Common Share to range from $1.55 to $1.75, exclusive of restructuring charges. This guidance is based on current exchange rates, a full-year income tax rate in the mid-to-upper 20 percent range, depreciation and amortization of approximately $45 to $50 million, and approximately $22 million of restructuring charges in fiscal 2014. Our guidance also includes capital expenditures of approximately $40 million in fiscal 2014.</w:t>
      </w:r>
    </w:p>
    <w:p>
      <w:pPr>
        <w:spacing w:after="0" w:line="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A webcast regarding Brady’s fiscal 2014 second quarter financial results will be available at </w:t>
      </w:r>
      <w:r>
        <w:rPr>
          <w:rFonts w:ascii="Arial" w:cs="Arial" w:eastAsia="Arial" w:hAnsi="Arial"/>
          <w:sz w:val="15"/>
          <w:szCs w:val="15"/>
          <w:u w:val="single" w:color="auto"/>
          <w:color w:val="0000FF"/>
        </w:rPr>
        <w:t>www.bradycorp.com</w:t>
      </w:r>
      <w:r>
        <w:rPr>
          <w:rFonts w:ascii="Arial" w:cs="Arial" w:eastAsia="Arial" w:hAnsi="Arial"/>
          <w:sz w:val="15"/>
          <w:szCs w:val="15"/>
          <w:color w:val="auto"/>
        </w:rPr>
        <w:t xml:space="preserve"> beginning at 9:30 a.m. Central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today.</w:t>
      </w:r>
    </w:p>
    <w:p>
      <w:pPr>
        <w:spacing w:after="0" w:line="95" w:lineRule="exact"/>
        <w:rPr>
          <w:sz w:val="20"/>
          <w:szCs w:val="20"/>
          <w:color w:val="auto"/>
        </w:rPr>
      </w:pPr>
    </w:p>
    <w:p>
      <w:pPr>
        <w:ind w:firstLine="579"/>
        <w:spacing w:after="0" w:line="437" w:lineRule="auto"/>
        <w:rPr>
          <w:sz w:val="20"/>
          <w:szCs w:val="20"/>
          <w:color w:val="auto"/>
        </w:rPr>
      </w:pPr>
      <w:r>
        <w:rPr>
          <w:rFonts w:ascii="Arial" w:cs="Arial" w:eastAsia="Arial" w:hAnsi="Arial"/>
          <w:sz w:val="15"/>
          <w:szCs w:val="15"/>
          <w:color w:val="auto"/>
        </w:rPr>
        <w:t>Brady Corporation is an international manufacturer and marketer of complete solutions that identify and protect premises, products and people. Brady’s products help customers increase safety, security, productivity and performance and include high-performance labels, signs, safety devices, printing systems and software, and precision die-cut materials. Founded in 1914, the company has a diverse customer base in electronics, telecommunications, manufacturing, electrical, construction, education, medical and a variety of other industries. Brady is headquartered in Milwaukee, Wisconsin and as of July 31, 2013, employed approximately 7,400 people in its worldwide businesses. Brady’s fiscal 2013 sales were approximately $1.15 billion. Brady stock trades on the</w:t>
      </w:r>
    </w:p>
    <w:p>
      <w:pPr>
        <w:sectPr>
          <w:pgSz w:w="11900" w:h="16838" w:orient="portrait"/>
          <w:cols w:equalWidth="0" w:num="1">
            <w:col w:w="11360"/>
          </w:cols>
          <w:pgMar w:left="240" w:top="583" w:right="29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 xml:space="preserve">New York Stock Exchange under the symbol BRC. More information is available on the Internet at </w:t>
      </w:r>
      <w:r>
        <w:rPr>
          <w:rFonts w:ascii="Arial" w:cs="Arial" w:eastAsia="Arial" w:hAnsi="Arial"/>
          <w:sz w:val="18"/>
          <w:szCs w:val="18"/>
          <w:u w:val="single" w:color="auto"/>
          <w:color w:val="0000FF"/>
        </w:rPr>
        <w:t>www.bradycorp.com.</w:t>
      </w:r>
    </w:p>
    <w:p>
      <w:pPr>
        <w:spacing w:after="0" w:line="37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See accompanying notes for non-GAAP measures.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63" w:lineRule="exact"/>
        <w:rPr>
          <w:sz w:val="20"/>
          <w:szCs w:val="20"/>
          <w:color w:val="auto"/>
        </w:rPr>
      </w:pPr>
    </w:p>
    <w:p>
      <w:pPr>
        <w:spacing w:after="0" w:line="292" w:lineRule="auto"/>
        <w:rPr>
          <w:sz w:val="20"/>
          <w:szCs w:val="20"/>
          <w:color w:val="auto"/>
        </w:rPr>
      </w:pPr>
      <w:r>
        <w:rPr>
          <w:rFonts w:ascii="Arial" w:cs="Arial" w:eastAsia="Arial" w:hAnsi="Arial"/>
          <w:sz w:val="14"/>
          <w:szCs w:val="14"/>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Implementation of the Workplace Safety strategy; the length or severity of the current worldwide economic downturn or timing or strength of a subsequent recovery; future financial performance of major markets Brady serves, which include, without limitation, telecommunications, hard disk drive, manufacturing, electrical, construction, laboratory, education, governmental, public utility, computer, healthcare and transportation; future competition; changes in the supply of, or price for, parts and components; increased price pressure from suppliers and customers; Brady's ability to retain significant contracts and customers; fluctuations in currency rates versus the U.S. dollar; risks associated with international operations; difficulties associated with exports; risks associated with obtaining governmental approvals and maintaining regulatory compliance; Brady's ability to develop and successfully market new products; risks associated with identifying, completing, and integrating acquisitions; risks associated with divestitures and businesses held for sale; risks associated with restructuring plans; environmental, health and safety compliance costs and liabilities; risk associated with loss of key talent; risk associated with product liability claims; technology changes and potential security violations to the Company's information technology systems; Brady's ability to maintain compliance with its debt covenants; increase in our level of debt; potential write-offs of Brady's substantial intangible assets; unforeseen tax consequences; risk, associated with our ownership structure;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2013.</w:t>
      </w:r>
    </w:p>
    <w:p>
      <w:pPr>
        <w:spacing w:after="0" w:line="150"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20"/>
          </w:cols>
          <w:pgMar w:left="240" w:top="583" w:right="2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EARNINGS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 except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3"/>
          </w:tcPr>
          <w:p>
            <w:pPr>
              <w:jc w:val="center"/>
              <w:ind w:left="528"/>
              <w:spacing w:after="0"/>
              <w:rPr>
                <w:sz w:val="20"/>
                <w:szCs w:val="20"/>
                <w:color w:val="auto"/>
              </w:rPr>
            </w:pPr>
            <w:r>
              <w:rPr>
                <w:rFonts w:ascii="Arial" w:cs="Arial" w:eastAsia="Arial" w:hAnsi="Arial"/>
                <w:sz w:val="14"/>
                <w:szCs w:val="14"/>
                <w:color w:val="auto"/>
                <w:w w:val="95"/>
              </w:rPr>
              <w:t>(Unaudited)</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(Unaudited)</w:t>
            </w:r>
          </w:p>
        </w:tc>
        <w:tc>
          <w:tcPr>
            <w:tcW w:w="720" w:type="dxa"/>
            <w:vAlign w:val="bottom"/>
          </w:tcPr>
          <w:p>
            <w:pPr>
              <w:spacing w:after="0"/>
              <w:rPr>
                <w:sz w:val="15"/>
                <w:szCs w:val="15"/>
                <w:color w:val="auto"/>
              </w:rPr>
            </w:pPr>
          </w:p>
        </w:tc>
      </w:tr>
      <w:tr>
        <w:trPr>
          <w:trHeight w:val="30"/>
        </w:trPr>
        <w:tc>
          <w:tcPr>
            <w:tcW w:w="4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r>
      <w:tr>
        <w:trPr>
          <w:trHeight w:val="191"/>
        </w:trPr>
        <w:tc>
          <w:tcPr>
            <w:tcW w:w="4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5"/>
          </w:tcPr>
          <w:p>
            <w:pPr>
              <w:jc w:val="center"/>
              <w:ind w:right="220"/>
              <w:spacing w:after="0"/>
              <w:rPr>
                <w:sz w:val="20"/>
                <w:szCs w:val="20"/>
                <w:color w:val="auto"/>
              </w:rPr>
            </w:pPr>
            <w:r>
              <w:rPr>
                <w:rFonts w:ascii="Arial" w:cs="Arial" w:eastAsia="Arial" w:hAnsi="Arial"/>
                <w:sz w:val="14"/>
                <w:szCs w:val="14"/>
                <w:color w:val="auto"/>
                <w:w w:val="92"/>
              </w:rPr>
              <w:t>Three months ended January 31,</w:t>
            </w:r>
          </w:p>
        </w:tc>
        <w:tc>
          <w:tcPr>
            <w:tcW w:w="180" w:type="dxa"/>
            <w:vAlign w:val="bottom"/>
          </w:tcPr>
          <w:p>
            <w:pPr>
              <w:spacing w:after="0"/>
              <w:rPr>
                <w:sz w:val="16"/>
                <w:szCs w:val="16"/>
                <w:color w:val="auto"/>
              </w:rPr>
            </w:pPr>
          </w:p>
        </w:tc>
        <w:tc>
          <w:tcPr>
            <w:tcW w:w="2060" w:type="dxa"/>
            <w:vAlign w:val="bottom"/>
            <w:gridSpan w:val="4"/>
          </w:tcPr>
          <w:p>
            <w:pPr>
              <w:jc w:val="right"/>
              <w:ind w:right="168"/>
              <w:spacing w:after="0"/>
              <w:rPr>
                <w:sz w:val="20"/>
                <w:szCs w:val="20"/>
                <w:color w:val="auto"/>
              </w:rPr>
            </w:pPr>
            <w:r>
              <w:rPr>
                <w:rFonts w:ascii="Arial" w:cs="Arial" w:eastAsia="Arial" w:hAnsi="Arial"/>
                <w:sz w:val="14"/>
                <w:szCs w:val="14"/>
                <w:color w:val="auto"/>
                <w:w w:val="95"/>
              </w:rPr>
              <w:t>Six months ended January 31,</w:t>
            </w:r>
          </w:p>
        </w:tc>
      </w:tr>
      <w:tr>
        <w:trPr>
          <w:trHeight w:val="30"/>
        </w:trPr>
        <w:tc>
          <w:tcPr>
            <w:tcW w:w="4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3"/>
        </w:trPr>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328"/>
              <w:spacing w:after="0"/>
              <w:rPr>
                <w:sz w:val="20"/>
                <w:szCs w:val="20"/>
                <w:color w:val="auto"/>
              </w:rPr>
            </w:pPr>
            <w:r>
              <w:rPr>
                <w:rFonts w:ascii="Arial" w:cs="Arial" w:eastAsia="Arial" w:hAnsi="Arial"/>
                <w:sz w:val="14"/>
                <w:szCs w:val="14"/>
                <w:color w:val="auto"/>
              </w:rPr>
              <w:t>2014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328"/>
              <w:spacing w:after="0"/>
              <w:rPr>
                <w:sz w:val="20"/>
                <w:szCs w:val="20"/>
                <w:color w:val="auto"/>
              </w:rPr>
            </w:pPr>
            <w:r>
              <w:rPr>
                <w:rFonts w:ascii="Arial" w:cs="Arial" w:eastAsia="Arial" w:hAnsi="Arial"/>
                <w:sz w:val="14"/>
                <w:szCs w:val="14"/>
                <w:color w:val="auto"/>
                <w:w w:val="96"/>
              </w:rPr>
              <w:t>2013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color w:val="auto"/>
              </w:rPr>
              <w:t>2014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328"/>
              <w:spacing w:after="0"/>
              <w:rPr>
                <w:sz w:val="20"/>
                <w:szCs w:val="20"/>
                <w:color w:val="auto"/>
              </w:rPr>
            </w:pPr>
            <w:r>
              <w:rPr>
                <w:rFonts w:ascii="Arial" w:cs="Arial" w:eastAsia="Arial" w:hAnsi="Arial"/>
                <w:sz w:val="14"/>
                <w:szCs w:val="14"/>
                <w:color w:val="auto"/>
                <w:w w:val="96"/>
              </w:rPr>
              <w:t>2013</w:t>
            </w:r>
          </w:p>
        </w:tc>
      </w:tr>
      <w:tr>
        <w:trPr>
          <w:trHeight w:val="30"/>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291,194</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272,702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598,724</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544,717</w:t>
            </w: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Cost of products sold</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148,658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130,811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298,341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252,641</w:t>
            </w:r>
          </w:p>
        </w:tc>
      </w:tr>
      <w:tr>
        <w:trPr>
          <w:trHeight w:val="30"/>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Gross margin</w:t>
            </w: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142,536</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141,891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300,383</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292,076</w:t>
            </w: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Research and development</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8,440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8,213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17,027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16,100</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Selling, general and administrative</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111,426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109,948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224,159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209,010</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Restructuring charges</w:t>
            </w: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4,324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11,163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1,933</w:t>
            </w:r>
          </w:p>
        </w:tc>
      </w:tr>
      <w:tr>
        <w:trPr>
          <w:trHeight w:val="191"/>
        </w:trPr>
        <w:tc>
          <w:tcPr>
            <w:tcW w:w="410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124,190</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120,094</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252,349</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227,043</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18,346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21,797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48,034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65,033</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Other income and (expense):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Investment and other income</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898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1,017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1,294</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(3,676)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(7,397)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(8,569)</w:t>
            </w:r>
          </w:p>
        </w:tc>
      </w:tr>
      <w:tr>
        <w:trPr>
          <w:trHeight w:val="30"/>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5"/>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Earnings from continuing operations before income taxes</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14,925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18,289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41,654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57,758</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4,408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28,960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13,002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42,138</w:t>
            </w:r>
          </w:p>
        </w:tc>
      </w:tr>
      <w:tr>
        <w:trPr>
          <w:trHeight w:val="30"/>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5"/>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Earnings (loss) from continuing operations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10,517</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(10,671)</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28,652</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15,620</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Earnings from discontinued operations, net of income taxes</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5,907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1,987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11,701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2,884</w:t>
            </w:r>
          </w:p>
        </w:tc>
      </w:tr>
      <w:tr>
        <w:trPr>
          <w:trHeight w:val="30"/>
        </w:trPr>
        <w:tc>
          <w:tcPr>
            <w:tcW w:w="4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5"/>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61"/>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earnings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16,424</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40,353</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18,504</w:t>
            </w:r>
          </w:p>
        </w:tc>
      </w:tr>
      <w:tr>
        <w:trPr>
          <w:trHeight w:val="177"/>
        </w:trPr>
        <w:tc>
          <w:tcPr>
            <w:tcW w:w="4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color w:val="auto"/>
              </w:rPr>
              <w:t>Earnings (loss) from continuing operations per Class A Nonvoting</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83"/>
        </w:trPr>
        <w:tc>
          <w:tcPr>
            <w:tcW w:w="4100" w:type="dxa"/>
            <w:vAlign w:val="bottom"/>
          </w:tcPr>
          <w:p>
            <w:pPr>
              <w:ind w:left="20"/>
              <w:spacing w:after="0"/>
              <w:rPr>
                <w:sz w:val="20"/>
                <w:szCs w:val="20"/>
                <w:color w:val="auto"/>
              </w:rPr>
            </w:pPr>
            <w:r>
              <w:rPr>
                <w:rFonts w:ascii="Arial" w:cs="Arial" w:eastAsia="Arial" w:hAnsi="Arial"/>
                <w:sz w:val="14"/>
                <w:szCs w:val="14"/>
                <w:color w:val="auto"/>
              </w:rPr>
              <w:t>Common Share:</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0.55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0.30</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0.20</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(0.21)</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0.55</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0.30</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color w:val="auto"/>
              </w:rPr>
              <w:t>Earnings (loss) from continuing operations per Class B Voting</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83"/>
        </w:trPr>
        <w:tc>
          <w:tcPr>
            <w:tcW w:w="4100" w:type="dxa"/>
            <w:vAlign w:val="bottom"/>
          </w:tcPr>
          <w:p>
            <w:pPr>
              <w:ind w:left="20"/>
              <w:spacing w:after="0"/>
              <w:rPr>
                <w:sz w:val="20"/>
                <w:szCs w:val="20"/>
                <w:color w:val="auto"/>
              </w:rPr>
            </w:pPr>
            <w:r>
              <w:rPr>
                <w:rFonts w:ascii="Arial" w:cs="Arial" w:eastAsia="Arial" w:hAnsi="Arial"/>
                <w:sz w:val="14"/>
                <w:szCs w:val="14"/>
                <w:color w:val="auto"/>
              </w:rPr>
              <w:t>Common Share:</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0.53</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0.29</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0.20</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(0.21)</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0.53</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0.29</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color w:val="auto"/>
              </w:rPr>
              <w:t>Earnings from discontinued operations per Class A Nonvoting</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83"/>
        </w:trPr>
        <w:tc>
          <w:tcPr>
            <w:tcW w:w="4100" w:type="dxa"/>
            <w:vAlign w:val="bottom"/>
          </w:tcPr>
          <w:p>
            <w:pPr>
              <w:ind w:left="20"/>
              <w:spacing w:after="0"/>
              <w:rPr>
                <w:sz w:val="20"/>
                <w:szCs w:val="20"/>
                <w:color w:val="auto"/>
              </w:rPr>
            </w:pPr>
            <w:r>
              <w:rPr>
                <w:rFonts w:ascii="Arial" w:cs="Arial" w:eastAsia="Arial" w:hAnsi="Arial"/>
                <w:sz w:val="14"/>
                <w:szCs w:val="14"/>
                <w:color w:val="auto"/>
              </w:rPr>
              <w:t>Common Share:</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0.22</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0.06</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0.11</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0.22</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0.06</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color w:val="auto"/>
                <w:w w:val="96"/>
              </w:rPr>
              <w:t>Earnings from discontinued operations per Class B Voting Common</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83"/>
        </w:trPr>
        <w:tc>
          <w:tcPr>
            <w:tcW w:w="4100" w:type="dxa"/>
            <w:vAlign w:val="bottom"/>
          </w:tcPr>
          <w:p>
            <w:pPr>
              <w:ind w:left="20"/>
              <w:spacing w:after="0"/>
              <w:rPr>
                <w:sz w:val="20"/>
                <w:szCs w:val="20"/>
                <w:color w:val="auto"/>
              </w:rPr>
            </w:pPr>
            <w:r>
              <w:rPr>
                <w:rFonts w:ascii="Arial" w:cs="Arial" w:eastAsia="Arial" w:hAnsi="Arial"/>
                <w:sz w:val="14"/>
                <w:szCs w:val="14"/>
                <w:color w:val="auto"/>
              </w:rPr>
              <w:t>Share:</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0.23</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0.05</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0.11</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0.22</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0.05</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Net earnings (loss) per Class A Nonvoting Common Share:</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0.77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0.36</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0.31</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(0.17)</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0.77</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0.36</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Dividends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0.195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0.38</w:t>
            </w:r>
          </w:p>
        </w:tc>
      </w:tr>
      <w:tr>
        <w:trPr>
          <w:trHeight w:val="193"/>
        </w:trPr>
        <w:tc>
          <w:tcPr>
            <w:tcW w:w="4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(loss) per Class B Voting Common Share:</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Basic</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0.31</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(0.17)</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0.76</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0.34</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0.75</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0.34</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Dividends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0.195</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0.19</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0.373</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0.36</w:t>
            </w: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 (in thousands):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52,208</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51,177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52,140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51,108</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52,494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51,177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52,457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51,507</w:t>
            </w:r>
          </w:p>
        </w:tc>
      </w:tr>
    </w:tbl>
    <w:p>
      <w:pPr>
        <w:sectPr>
          <w:pgSz w:w="11900" w:h="16838" w:orient="portrait"/>
          <w:cols w:equalWidth="0" w:num="1">
            <w:col w:w="10219"/>
          </w:cols>
          <w:pgMar w:left="240" w:top="537" w:right="1440"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4"/>
          </w:tcPr>
          <w:p>
            <w:pPr>
              <w:jc w:val="right"/>
              <w:ind w:right="868"/>
              <w:spacing w:after="0"/>
              <w:rPr>
                <w:sz w:val="20"/>
                <w:szCs w:val="20"/>
                <w:color w:val="auto"/>
              </w:rPr>
            </w:pPr>
            <w:r>
              <w:rPr>
                <w:rFonts w:ascii="Arial" w:cs="Arial" w:eastAsia="Arial" w:hAnsi="Arial"/>
                <w:sz w:val="14"/>
                <w:szCs w:val="14"/>
                <w:color w:val="auto"/>
              </w:rPr>
              <w:t>(Unaudited)</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color w:val="auto"/>
              </w:rPr>
              <w:t>January 31, 2014</w:t>
            </w:r>
          </w:p>
        </w:tc>
        <w:tc>
          <w:tcPr>
            <w:tcW w:w="160" w:type="dxa"/>
            <w:vAlign w:val="bottom"/>
          </w:tcPr>
          <w:p>
            <w:pPr>
              <w:spacing w:after="0"/>
              <w:rPr>
                <w:sz w:val="17"/>
                <w:szCs w:val="17"/>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July 31, 2013</w:t>
            </w:r>
          </w:p>
        </w:tc>
        <w:tc>
          <w:tcPr>
            <w:tcW w:w="0" w:type="dxa"/>
            <w:vAlign w:val="bottom"/>
          </w:tcPr>
          <w:p>
            <w:pPr>
              <w:spacing w:after="0"/>
              <w:rPr>
                <w:sz w:val="1"/>
                <w:szCs w:val="1"/>
                <w:color w:val="auto"/>
              </w:rPr>
            </w:pPr>
          </w:p>
        </w:tc>
      </w:tr>
      <w:tr>
        <w:trPr>
          <w:trHeight w:val="30"/>
        </w:trPr>
        <w:tc>
          <w:tcPr>
            <w:tcW w:w="1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3260" w:type="dxa"/>
            <w:vAlign w:val="bottom"/>
            <w:gridSpan w:val="3"/>
            <w:shd w:val="clear" w:color="auto" w:fill="CCEEFF"/>
          </w:tcPr>
          <w:p>
            <w:pPr>
              <w:jc w:val="center"/>
              <w:ind w:right="2720"/>
              <w:spacing w:after="0" w:line="149" w:lineRule="exact"/>
              <w:rPr>
                <w:sz w:val="20"/>
                <w:szCs w:val="20"/>
                <w:color w:val="auto"/>
              </w:rPr>
            </w:pPr>
            <w:r>
              <w:rPr>
                <w:rFonts w:ascii="Arial" w:cs="Arial" w:eastAsia="Arial" w:hAnsi="Arial"/>
                <w:sz w:val="14"/>
                <w:szCs w:val="14"/>
                <w:b w:val="1"/>
                <w:bCs w:val="1"/>
                <w:color w:val="auto"/>
                <w:w w:val="96"/>
              </w:rPr>
              <w:t>ASSETS</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20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Current assets:</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1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79,116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91,058</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Accounts receivable—net</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168,037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169,261</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gridSpan w:val="5"/>
          </w:tcPr>
          <w:p>
            <w:pPr>
              <w:ind w:left="620"/>
              <w:spacing w:after="0"/>
              <w:rPr>
                <w:sz w:val="20"/>
                <w:szCs w:val="20"/>
                <w:color w:val="auto"/>
              </w:rPr>
            </w:pPr>
            <w:r>
              <w:rPr>
                <w:rFonts w:ascii="Arial" w:cs="Arial" w:eastAsia="Arial" w:hAnsi="Arial"/>
                <w:sz w:val="14"/>
                <w:szCs w:val="14"/>
                <w:color w:val="auto"/>
              </w:rPr>
              <w:t>Finished products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68,170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64,544</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620"/>
              <w:spacing w:after="0"/>
              <w:rPr>
                <w:sz w:val="20"/>
                <w:szCs w:val="20"/>
                <w:color w:val="auto"/>
              </w:rPr>
            </w:pPr>
            <w:r>
              <w:rPr>
                <w:rFonts w:ascii="Arial" w:cs="Arial" w:eastAsia="Arial" w:hAnsi="Arial"/>
                <w:sz w:val="14"/>
                <w:szCs w:val="14"/>
                <w:color w:val="auto"/>
              </w:rPr>
              <w:t>Work-in-process</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16,077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14,776</w:t>
            </w:r>
          </w:p>
        </w:tc>
        <w:tc>
          <w:tcPr>
            <w:tcW w:w="0" w:type="dxa"/>
            <w:vAlign w:val="bottom"/>
          </w:tcPr>
          <w:p>
            <w:pPr>
              <w:spacing w:after="0"/>
              <w:rPr>
                <w:sz w:val="1"/>
                <w:szCs w:val="1"/>
                <w:color w:val="auto"/>
              </w:rPr>
            </w:pPr>
          </w:p>
        </w:tc>
      </w:tr>
      <w:tr>
        <w:trPr>
          <w:trHeight w:val="211"/>
        </w:trPr>
        <w:tc>
          <w:tcPr>
            <w:tcW w:w="5960" w:type="dxa"/>
            <w:vAlign w:val="bottom"/>
            <w:gridSpan w:val="5"/>
          </w:tcPr>
          <w:p>
            <w:pPr>
              <w:ind w:left="620"/>
              <w:spacing w:after="0"/>
              <w:rPr>
                <w:sz w:val="20"/>
                <w:szCs w:val="20"/>
                <w:color w:val="auto"/>
              </w:rPr>
            </w:pPr>
            <w:r>
              <w:rPr>
                <w:rFonts w:ascii="Arial" w:cs="Arial" w:eastAsia="Arial" w:hAnsi="Arial"/>
                <w:sz w:val="14"/>
                <w:szCs w:val="14"/>
                <w:color w:val="auto"/>
              </w:rPr>
              <w:t>Raw materials and supplies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19,869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15,387</w:t>
            </w:r>
          </w:p>
        </w:tc>
        <w:tc>
          <w:tcPr>
            <w:tcW w:w="0" w:type="dxa"/>
            <w:vAlign w:val="bottom"/>
          </w:tcPr>
          <w:p>
            <w:pPr>
              <w:spacing w:after="0"/>
              <w:rPr>
                <w:sz w:val="1"/>
                <w:szCs w:val="1"/>
                <w:color w:val="auto"/>
              </w:rPr>
            </w:pPr>
          </w:p>
        </w:tc>
      </w:tr>
      <w:tr>
        <w:trPr>
          <w:trHeight w:val="30"/>
        </w:trPr>
        <w:tc>
          <w:tcPr>
            <w:tcW w:w="1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960" w:type="dxa"/>
            <w:vAlign w:val="bottom"/>
            <w:tcBorders>
              <w:bottom w:val="single" w:sz="8" w:color="CCEEFF"/>
            </w:tcBorders>
            <w:gridSpan w:val="5"/>
            <w:shd w:val="clear" w:color="auto" w:fill="CCEEFF"/>
          </w:tcPr>
          <w:p>
            <w:pPr>
              <w:ind w:left="1000"/>
              <w:spacing w:after="0"/>
              <w:rPr>
                <w:sz w:val="20"/>
                <w:szCs w:val="20"/>
                <w:color w:val="auto"/>
              </w:rPr>
            </w:pPr>
            <w:r>
              <w:rPr>
                <w:rFonts w:ascii="Arial" w:cs="Arial" w:eastAsia="Arial" w:hAnsi="Arial"/>
                <w:sz w:val="14"/>
                <w:szCs w:val="14"/>
                <w:color w:val="auto"/>
              </w:rPr>
              <w:t>Total inventories</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104,116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94,707</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Assets held for sale</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124,508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119,864</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44,120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37,600</w:t>
            </w:r>
          </w:p>
        </w:tc>
        <w:tc>
          <w:tcPr>
            <w:tcW w:w="0" w:type="dxa"/>
            <w:vAlign w:val="bottom"/>
          </w:tcPr>
          <w:p>
            <w:pPr>
              <w:spacing w:after="0"/>
              <w:rPr>
                <w:sz w:val="1"/>
                <w:szCs w:val="1"/>
                <w:color w:val="auto"/>
              </w:rPr>
            </w:pPr>
          </w:p>
        </w:tc>
      </w:tr>
      <w:tr>
        <w:trPr>
          <w:trHeight w:val="191"/>
        </w:trPr>
        <w:tc>
          <w:tcPr>
            <w:tcW w:w="5960" w:type="dxa"/>
            <w:vAlign w:val="bottom"/>
            <w:gridSpan w:val="5"/>
          </w:tcPr>
          <w:p>
            <w:pPr>
              <w:ind w:left="620"/>
              <w:spacing w:after="0"/>
              <w:rPr>
                <w:sz w:val="20"/>
                <w:szCs w:val="20"/>
                <w:color w:val="auto"/>
              </w:rPr>
            </w:pPr>
            <w:r>
              <w:rPr>
                <w:rFonts w:ascii="Arial" w:cs="Arial" w:eastAsia="Arial" w:hAnsi="Arial"/>
                <w:sz w:val="14"/>
                <w:szCs w:val="14"/>
                <w:b w:val="1"/>
                <w:bCs w:val="1"/>
                <w:color w:val="auto"/>
              </w:rPr>
              <w:t>Total current assets</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519,897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512,490</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Other assets:</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615,404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617,236</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Other intangible assets</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146,859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156,851</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Deferred income taxes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9,449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8,623</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21,915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21,325</w:t>
            </w:r>
          </w:p>
        </w:tc>
        <w:tc>
          <w:tcPr>
            <w:tcW w:w="0" w:type="dxa"/>
            <w:vAlign w:val="bottom"/>
          </w:tcPr>
          <w:p>
            <w:pPr>
              <w:spacing w:after="0"/>
              <w:rPr>
                <w:sz w:val="1"/>
                <w:szCs w:val="1"/>
                <w:color w:val="auto"/>
              </w:rPr>
            </w:pPr>
          </w:p>
        </w:tc>
      </w:tr>
      <w:tr>
        <w:trPr>
          <w:trHeight w:val="199"/>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Property, plant and equipment:</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1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Cost:</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gridSpan w:val="5"/>
          </w:tcPr>
          <w:p>
            <w:pPr>
              <w:ind w:left="620"/>
              <w:spacing w:after="0"/>
              <w:rPr>
                <w:sz w:val="20"/>
                <w:szCs w:val="20"/>
                <w:color w:val="auto"/>
              </w:rPr>
            </w:pPr>
            <w:r>
              <w:rPr>
                <w:rFonts w:ascii="Arial" w:cs="Arial" w:eastAsia="Arial" w:hAnsi="Arial"/>
                <w:sz w:val="14"/>
                <w:szCs w:val="14"/>
                <w:color w:val="auto"/>
              </w:rPr>
              <w:t>Land</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7,738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7,861</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620"/>
              <w:spacing w:after="0"/>
              <w:rPr>
                <w:sz w:val="20"/>
                <w:szCs w:val="20"/>
                <w:color w:val="auto"/>
              </w:rPr>
            </w:pPr>
            <w:r>
              <w:rPr>
                <w:rFonts w:ascii="Arial" w:cs="Arial" w:eastAsia="Arial" w:hAnsi="Arial"/>
                <w:sz w:val="14"/>
                <w:szCs w:val="14"/>
                <w:color w:val="auto"/>
              </w:rPr>
              <w:t>Buildings and improvements</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92,886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91,471</w:t>
            </w:r>
          </w:p>
        </w:tc>
        <w:tc>
          <w:tcPr>
            <w:tcW w:w="0" w:type="dxa"/>
            <w:vAlign w:val="bottom"/>
          </w:tcPr>
          <w:p>
            <w:pPr>
              <w:spacing w:after="0"/>
              <w:rPr>
                <w:sz w:val="1"/>
                <w:szCs w:val="1"/>
                <w:color w:val="auto"/>
              </w:rPr>
            </w:pPr>
          </w:p>
        </w:tc>
      </w:tr>
      <w:tr>
        <w:trPr>
          <w:trHeight w:val="211"/>
        </w:trPr>
        <w:tc>
          <w:tcPr>
            <w:tcW w:w="5960" w:type="dxa"/>
            <w:vAlign w:val="bottom"/>
            <w:gridSpan w:val="5"/>
          </w:tcPr>
          <w:p>
            <w:pPr>
              <w:ind w:left="620"/>
              <w:spacing w:after="0"/>
              <w:rPr>
                <w:sz w:val="20"/>
                <w:szCs w:val="20"/>
                <w:color w:val="auto"/>
              </w:rPr>
            </w:pPr>
            <w:r>
              <w:rPr>
                <w:rFonts w:ascii="Arial" w:cs="Arial" w:eastAsia="Arial" w:hAnsi="Arial"/>
                <w:sz w:val="14"/>
                <w:szCs w:val="14"/>
                <w:color w:val="auto"/>
              </w:rPr>
              <w:t>Machinery and equipment</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272,128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266,787</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960" w:type="dxa"/>
            <w:vAlign w:val="bottom"/>
            <w:tcBorders>
              <w:bottom w:val="single" w:sz="8" w:color="CCEEFF"/>
            </w:tcBorders>
            <w:gridSpan w:val="5"/>
            <w:shd w:val="clear" w:color="auto" w:fill="CCEEFF"/>
          </w:tcPr>
          <w:p>
            <w:pPr>
              <w:ind w:left="620"/>
              <w:spacing w:after="0"/>
              <w:rPr>
                <w:sz w:val="20"/>
                <w:szCs w:val="20"/>
                <w:color w:val="auto"/>
              </w:rPr>
            </w:pPr>
            <w:r>
              <w:rPr>
                <w:rFonts w:ascii="Arial" w:cs="Arial" w:eastAsia="Arial" w:hAnsi="Arial"/>
                <w:sz w:val="14"/>
                <w:szCs w:val="14"/>
                <w:color w:val="auto"/>
              </w:rPr>
              <w:t>Construction in progress</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15,931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11,842</w:t>
            </w:r>
          </w:p>
        </w:tc>
        <w:tc>
          <w:tcPr>
            <w:tcW w:w="0" w:type="dxa"/>
            <w:vAlign w:val="bottom"/>
          </w:tcPr>
          <w:p>
            <w:pPr>
              <w:spacing w:after="0"/>
              <w:rPr>
                <w:sz w:val="1"/>
                <w:szCs w:val="1"/>
                <w:color w:val="auto"/>
              </w:rPr>
            </w:pPr>
          </w:p>
        </w:tc>
      </w:tr>
      <w:tr>
        <w:trPr>
          <w:trHeight w:val="191"/>
        </w:trPr>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388,683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377,961</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Less accumulated depreciation</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264,167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255,803</w:t>
            </w:r>
          </w:p>
        </w:tc>
        <w:tc>
          <w:tcPr>
            <w:tcW w:w="0" w:type="dxa"/>
            <w:vAlign w:val="bottom"/>
          </w:tcPr>
          <w:p>
            <w:pPr>
              <w:spacing w:after="0"/>
              <w:rPr>
                <w:sz w:val="1"/>
                <w:szCs w:val="1"/>
                <w:color w:val="auto"/>
              </w:rPr>
            </w:pPr>
          </w:p>
        </w:tc>
      </w:tr>
      <w:tr>
        <w:trPr>
          <w:trHeight w:val="191"/>
        </w:trPr>
        <w:tc>
          <w:tcPr>
            <w:tcW w:w="5960" w:type="dxa"/>
            <w:vAlign w:val="bottom"/>
            <w:gridSpan w:val="5"/>
          </w:tcPr>
          <w:p>
            <w:pPr>
              <w:ind w:left="620"/>
              <w:spacing w:after="0"/>
              <w:rPr>
                <w:sz w:val="20"/>
                <w:szCs w:val="20"/>
                <w:color w:val="auto"/>
              </w:rPr>
            </w:pPr>
            <w:r>
              <w:rPr>
                <w:rFonts w:ascii="Arial" w:cs="Arial" w:eastAsia="Arial" w:hAnsi="Arial"/>
                <w:sz w:val="14"/>
                <w:szCs w:val="14"/>
                <w:b w:val="1"/>
                <w:bCs w:val="1"/>
                <w:color w:val="auto"/>
              </w:rPr>
              <w:t>Property, plant and equipment—net</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124,516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122,158</w:t>
            </w:r>
          </w:p>
        </w:tc>
        <w:tc>
          <w:tcPr>
            <w:tcW w:w="0" w:type="dxa"/>
            <w:vAlign w:val="bottom"/>
          </w:tcPr>
          <w:p>
            <w:pPr>
              <w:spacing w:after="0"/>
              <w:rPr>
                <w:sz w:val="1"/>
                <w:szCs w:val="1"/>
                <w:color w:val="auto"/>
              </w:rPr>
            </w:pPr>
          </w:p>
        </w:tc>
      </w:tr>
      <w:tr>
        <w:trPr>
          <w:trHeight w:val="30"/>
        </w:trPr>
        <w:tc>
          <w:tcPr>
            <w:tcW w:w="1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9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1,438,040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1,438,683</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bottom w:val="single" w:sz="8" w:color="CCEEFF"/>
            </w:tcBorders>
            <w:vMerge w:val="restart"/>
          </w:tcPr>
          <w:p>
            <w:pPr>
              <w:spacing w:after="0" w:line="20" w:lineRule="exact"/>
              <w:rPr>
                <w:sz w:val="1"/>
                <w:szCs w:val="1"/>
                <w:color w:val="auto"/>
              </w:rPr>
            </w:pPr>
          </w:p>
        </w:tc>
        <w:tc>
          <w:tcPr>
            <w:tcW w:w="4760" w:type="dxa"/>
            <w:vAlign w:val="bottom"/>
            <w:tcBorders>
              <w:top w:val="single" w:sz="8" w:color="CCEEFF"/>
              <w:bottom w:val="single" w:sz="8" w:color="CCEEFF"/>
            </w:tcBorders>
            <w:gridSpan w:val="4"/>
            <w:vMerge w:val="restart"/>
          </w:tcPr>
          <w:p>
            <w:pPr>
              <w:jc w:val="center"/>
              <w:ind w:right="1200"/>
              <w:spacing w:after="0"/>
              <w:rPr>
                <w:sz w:val="20"/>
                <w:szCs w:val="20"/>
                <w:color w:val="auto"/>
              </w:rPr>
            </w:pPr>
            <w:r>
              <w:rPr>
                <w:rFonts w:ascii="Arial" w:cs="Arial" w:eastAsia="Arial" w:hAnsi="Arial"/>
                <w:sz w:val="14"/>
                <w:szCs w:val="14"/>
                <w:b w:val="1"/>
                <w:bCs w:val="1"/>
                <w:color w:val="auto"/>
              </w:rPr>
              <w:t>LIABILITIES AND STOCKHOLDERS’ INVESTMENT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476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00" w:type="dxa"/>
            <w:vAlign w:val="bottom"/>
          </w:tcPr>
          <w:p>
            <w:pPr>
              <w:spacing w:after="0"/>
              <w:rPr>
                <w:sz w:val="6"/>
                <w:szCs w:val="6"/>
                <w:color w:val="auto"/>
              </w:rPr>
            </w:pPr>
          </w:p>
        </w:tc>
        <w:tc>
          <w:tcPr>
            <w:tcW w:w="15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520" w:type="dxa"/>
            <w:vAlign w:val="bottom"/>
            <w:tcBorders>
              <w:top w:val="single" w:sz="8" w:color="auto"/>
            </w:tcBorders>
          </w:tcPr>
          <w:p>
            <w:pPr>
              <w:spacing w:after="0"/>
              <w:rPr>
                <w:sz w:val="6"/>
                <w:szCs w:val="6"/>
                <w:color w:val="auto"/>
              </w:rPr>
            </w:pPr>
          </w:p>
        </w:tc>
        <w:tc>
          <w:tcPr>
            <w:tcW w:w="1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Notes payable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23,946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50,613</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86,918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82,519</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Wages and amounts withheld from employees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36,386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42,413</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Liabilities held for sale</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31,755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34,583</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Taxes, other than income taxes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7,028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8,243</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Accrued income taxes</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5,383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7,056</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Other current liabilities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36,971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36,806</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Current maturities on long-term debt</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61,264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61,264</w:t>
            </w:r>
          </w:p>
        </w:tc>
        <w:tc>
          <w:tcPr>
            <w:tcW w:w="0" w:type="dxa"/>
            <w:vAlign w:val="bottom"/>
          </w:tcPr>
          <w:p>
            <w:pPr>
              <w:spacing w:after="0"/>
              <w:rPr>
                <w:sz w:val="1"/>
                <w:szCs w:val="1"/>
                <w:color w:val="auto"/>
              </w:rPr>
            </w:pPr>
          </w:p>
        </w:tc>
      </w:tr>
      <w:tr>
        <w:trPr>
          <w:trHeight w:val="191"/>
        </w:trPr>
        <w:tc>
          <w:tcPr>
            <w:tcW w:w="5960" w:type="dxa"/>
            <w:vAlign w:val="bottom"/>
            <w:gridSpan w:val="5"/>
          </w:tcPr>
          <w:p>
            <w:pPr>
              <w:ind w:left="620"/>
              <w:spacing w:after="0"/>
              <w:rPr>
                <w:sz w:val="20"/>
                <w:szCs w:val="20"/>
                <w:color w:val="auto"/>
              </w:rPr>
            </w:pPr>
            <w:r>
              <w:rPr>
                <w:rFonts w:ascii="Arial" w:cs="Arial" w:eastAsia="Arial" w:hAnsi="Arial"/>
                <w:sz w:val="14"/>
                <w:szCs w:val="14"/>
                <w:b w:val="1"/>
                <w:bCs w:val="1"/>
                <w:color w:val="auto"/>
              </w:rPr>
              <w:t>Total current liabilities</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289,651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323,497</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Long-term obligations, less current maturities</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203,063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201,150</w:t>
            </w:r>
          </w:p>
        </w:tc>
        <w:tc>
          <w:tcPr>
            <w:tcW w:w="0" w:type="dxa"/>
            <w:vAlign w:val="bottom"/>
          </w:tcPr>
          <w:p>
            <w:pPr>
              <w:spacing w:after="0"/>
              <w:rPr>
                <w:sz w:val="1"/>
                <w:szCs w:val="1"/>
                <w:color w:val="auto"/>
              </w:rPr>
            </w:pPr>
          </w:p>
        </w:tc>
      </w:tr>
      <w:tr>
        <w:trPr>
          <w:trHeight w:val="211"/>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Other liabilities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81,896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83,239</w:t>
            </w:r>
          </w:p>
        </w:tc>
        <w:tc>
          <w:tcPr>
            <w:tcW w:w="0" w:type="dxa"/>
            <w:vAlign w:val="bottom"/>
          </w:tcPr>
          <w:p>
            <w:pPr>
              <w:spacing w:after="0"/>
              <w:rPr>
                <w:sz w:val="1"/>
                <w:szCs w:val="1"/>
                <w:color w:val="auto"/>
              </w:rPr>
            </w:pPr>
          </w:p>
        </w:tc>
      </w:tr>
      <w:tr>
        <w:trPr>
          <w:trHeight w:val="30"/>
        </w:trPr>
        <w:tc>
          <w:tcPr>
            <w:tcW w:w="1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960" w:type="dxa"/>
            <w:vAlign w:val="bottom"/>
            <w:tcBorders>
              <w:bottom w:val="single" w:sz="8" w:color="CCEEFF"/>
            </w:tcBorders>
            <w:gridSpan w:val="5"/>
            <w:shd w:val="clear" w:color="auto" w:fill="CCEEFF"/>
          </w:tcPr>
          <w:p>
            <w:pPr>
              <w:ind w:left="62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574,610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607,886</w:t>
            </w:r>
          </w:p>
        </w:tc>
        <w:tc>
          <w:tcPr>
            <w:tcW w:w="0" w:type="dxa"/>
            <w:vAlign w:val="bottom"/>
          </w:tcPr>
          <w:p>
            <w:pPr>
              <w:spacing w:after="0"/>
              <w:rPr>
                <w:sz w:val="1"/>
                <w:szCs w:val="1"/>
                <w:color w:val="auto"/>
              </w:rPr>
            </w:pPr>
          </w:p>
        </w:tc>
      </w:tr>
      <w:tr>
        <w:trPr>
          <w:trHeight w:val="199"/>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Stockholders’ investment:</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1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5960" w:type="dxa"/>
            <w:vAlign w:val="bottom"/>
            <w:gridSpan w:val="5"/>
            <w:shd w:val="clear" w:color="auto" w:fill="CCEEFF"/>
          </w:tcPr>
          <w:p>
            <w:pPr>
              <w:ind w:left="340"/>
              <w:spacing w:after="0"/>
              <w:rPr>
                <w:sz w:val="20"/>
                <w:szCs w:val="20"/>
                <w:color w:val="auto"/>
              </w:rPr>
            </w:pPr>
            <w:r>
              <w:rPr>
                <w:rFonts w:ascii="Arial" w:cs="Arial" w:eastAsia="Arial" w:hAnsi="Arial"/>
                <w:sz w:val="14"/>
                <w:szCs w:val="14"/>
                <w:color w:val="auto"/>
                <w:w w:val="94"/>
              </w:rPr>
              <w:t>Class A nonvoting common stock—Issued 51,261,487 and 51,261,487 shares, respectively and</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outstanding 48,828,416 and 48,408,544 shares, respectively</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Class B voting common stock—Issued and outstanding, 3,538,628 shares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313,963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306,191</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Earnings retained in the business</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558,494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538,512</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gridSpan w:val="5"/>
            <w:shd w:val="clear" w:color="auto" w:fill="CCEEFF"/>
          </w:tcPr>
          <w:p>
            <w:pPr>
              <w:ind w:left="340"/>
              <w:spacing w:after="0"/>
              <w:rPr>
                <w:sz w:val="20"/>
                <w:szCs w:val="20"/>
                <w:color w:val="auto"/>
              </w:rPr>
            </w:pPr>
            <w:r>
              <w:rPr>
                <w:rFonts w:ascii="Arial" w:cs="Arial" w:eastAsia="Arial" w:hAnsi="Arial"/>
                <w:sz w:val="14"/>
                <w:szCs w:val="14"/>
                <w:color w:val="auto"/>
              </w:rPr>
              <w:t>Treasury stock—2,353,071 and 2,626,276 shares, respectively of Class A nonvoting</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common stock, at cost</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(64,346)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(69,797)</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Accumulated other comprehensive income</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54,427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56,063</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344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91"/>
        </w:trPr>
        <w:tc>
          <w:tcPr>
            <w:tcW w:w="5960" w:type="dxa"/>
            <w:vAlign w:val="bottom"/>
            <w:gridSpan w:val="5"/>
          </w:tcPr>
          <w:p>
            <w:pPr>
              <w:ind w:left="620"/>
              <w:spacing w:after="0"/>
              <w:rPr>
                <w:sz w:val="20"/>
                <w:szCs w:val="20"/>
                <w:color w:val="auto"/>
              </w:rPr>
            </w:pPr>
            <w:r>
              <w:rPr>
                <w:rFonts w:ascii="Arial" w:cs="Arial" w:eastAsia="Arial" w:hAnsi="Arial"/>
                <w:sz w:val="14"/>
                <w:szCs w:val="14"/>
                <w:b w:val="1"/>
                <w:bCs w:val="1"/>
                <w:color w:val="auto"/>
              </w:rPr>
              <w:t>Total stockholders’ investment</w:t>
            </w: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863,430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830,797</w:t>
            </w:r>
          </w:p>
        </w:tc>
        <w:tc>
          <w:tcPr>
            <w:tcW w:w="0" w:type="dxa"/>
            <w:vAlign w:val="bottom"/>
          </w:tcPr>
          <w:p>
            <w:pPr>
              <w:spacing w:after="0"/>
              <w:rPr>
                <w:sz w:val="1"/>
                <w:szCs w:val="1"/>
                <w:color w:val="auto"/>
              </w:rPr>
            </w:pPr>
          </w:p>
        </w:tc>
      </w:tr>
      <w:tr>
        <w:trPr>
          <w:trHeight w:val="30"/>
        </w:trPr>
        <w:tc>
          <w:tcPr>
            <w:tcW w:w="1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9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1,438,040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1,438,683</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(Unaudited)</w:t>
            </w:r>
          </w:p>
        </w:tc>
        <w:tc>
          <w:tcPr>
            <w:tcW w:w="720" w:type="dxa"/>
            <w:vAlign w:val="bottom"/>
          </w:tcPr>
          <w:p>
            <w:pPr>
              <w:spacing w:after="0"/>
              <w:rPr>
                <w:sz w:val="15"/>
                <w:szCs w:val="15"/>
                <w:color w:val="auto"/>
              </w:rPr>
            </w:pPr>
          </w:p>
        </w:tc>
      </w:tr>
      <w:tr>
        <w:trPr>
          <w:trHeight w:val="30"/>
        </w:trPr>
        <w:tc>
          <w:tcPr>
            <w:tcW w:w="6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r>
      <w:tr>
        <w:trPr>
          <w:trHeight w:val="191"/>
        </w:trPr>
        <w:tc>
          <w:tcPr>
            <w:tcW w:w="6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4"/>
          </w:tcPr>
          <w:p>
            <w:pPr>
              <w:jc w:val="right"/>
              <w:ind w:right="168"/>
              <w:spacing w:after="0"/>
              <w:rPr>
                <w:sz w:val="20"/>
                <w:szCs w:val="20"/>
                <w:color w:val="auto"/>
              </w:rPr>
            </w:pPr>
            <w:r>
              <w:rPr>
                <w:rFonts w:ascii="Arial" w:cs="Arial" w:eastAsia="Arial" w:hAnsi="Arial"/>
                <w:sz w:val="14"/>
                <w:szCs w:val="14"/>
                <w:color w:val="auto"/>
                <w:w w:val="95"/>
              </w:rPr>
              <w:t>Six months ended January 31,</w:t>
            </w:r>
          </w:p>
        </w:tc>
      </w:tr>
      <w:tr>
        <w:trPr>
          <w:trHeight w:val="30"/>
        </w:trPr>
        <w:tc>
          <w:tcPr>
            <w:tcW w:w="6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3"/>
        </w:trPr>
        <w:tc>
          <w:tcPr>
            <w:tcW w:w="6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color w:val="auto"/>
              </w:rPr>
              <w:t>2014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jc w:val="right"/>
              <w:ind w:right="328"/>
              <w:spacing w:after="0"/>
              <w:rPr>
                <w:sz w:val="20"/>
                <w:szCs w:val="20"/>
                <w:color w:val="auto"/>
              </w:rPr>
            </w:pPr>
            <w:r>
              <w:rPr>
                <w:rFonts w:ascii="Arial" w:cs="Arial" w:eastAsia="Arial" w:hAnsi="Arial"/>
                <w:sz w:val="14"/>
                <w:szCs w:val="14"/>
                <w:color w:val="auto"/>
                <w:w w:val="96"/>
              </w:rPr>
              <w:t>2013</w:t>
            </w:r>
          </w:p>
        </w:tc>
      </w:tr>
      <w:tr>
        <w:trPr>
          <w:trHeight w:val="30"/>
        </w:trPr>
        <w:tc>
          <w:tcPr>
            <w:tcW w:w="6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4"/>
                <w:szCs w:val="14"/>
                <w:color w:val="auto"/>
              </w:rPr>
              <w:t>Net earnings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40,353</w:t>
            </w:r>
          </w:p>
        </w:tc>
        <w:tc>
          <w:tcPr>
            <w:tcW w:w="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18,504</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22,342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22,046</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Non-cash portion of stock-based compensation expense</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4,377</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6,868</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Non-cash portion of restructuring charges</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200</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Loss on sales of businesses</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3,138</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(2,402)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26,050</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w w:val="99"/>
              </w:rPr>
              <w:t>Changes in operating assets and liabilities (net of effects of business acquisitions/divestitures):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1000"/>
              <w:spacing w:after="0"/>
              <w:rPr>
                <w:sz w:val="20"/>
                <w:szCs w:val="20"/>
                <w:color w:val="auto"/>
              </w:rPr>
            </w:pPr>
            <w:r>
              <w:rPr>
                <w:rFonts w:ascii="Arial" w:cs="Arial" w:eastAsia="Arial" w:hAnsi="Arial"/>
                <w:sz w:val="14"/>
                <w:szCs w:val="14"/>
                <w:color w:val="auto"/>
              </w:rPr>
              <w:t>Accounts receivable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(1,418)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(5,418)</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Inventories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(8,754)</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(4,475)</w:t>
            </w:r>
          </w:p>
        </w:tc>
      </w:tr>
      <w:tr>
        <w:trPr>
          <w:trHeight w:val="211"/>
        </w:trPr>
        <w:tc>
          <w:tcPr>
            <w:tcW w:w="6440" w:type="dxa"/>
            <w:vAlign w:val="bottom"/>
          </w:tcPr>
          <w:p>
            <w:pPr>
              <w:ind w:left="1000"/>
              <w:spacing w:after="0"/>
              <w:rPr>
                <w:sz w:val="20"/>
                <w:szCs w:val="20"/>
                <w:color w:val="auto"/>
              </w:rPr>
            </w:pPr>
            <w:r>
              <w:rPr>
                <w:rFonts w:ascii="Arial" w:cs="Arial" w:eastAsia="Arial" w:hAnsi="Arial"/>
                <w:sz w:val="14"/>
                <w:szCs w:val="14"/>
                <w:color w:val="auto"/>
              </w:rPr>
              <w:t>Prepaid expenses and other assets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(3,505)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(2,772)</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Accounts payable and accrued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(7,263)</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(13,629)</w:t>
            </w:r>
          </w:p>
        </w:tc>
      </w:tr>
      <w:tr>
        <w:trPr>
          <w:trHeight w:val="211"/>
        </w:trPr>
        <w:tc>
          <w:tcPr>
            <w:tcW w:w="6440" w:type="dxa"/>
            <w:vAlign w:val="bottom"/>
          </w:tcPr>
          <w:p>
            <w:pPr>
              <w:ind w:left="1000"/>
              <w:spacing w:after="0"/>
              <w:rPr>
                <w:sz w:val="20"/>
                <w:szCs w:val="20"/>
                <w:color w:val="auto"/>
              </w:rPr>
            </w:pPr>
            <w:r>
              <w:rPr>
                <w:rFonts w:ascii="Arial" w:cs="Arial" w:eastAsia="Arial" w:hAnsi="Arial"/>
                <w:sz w:val="14"/>
                <w:szCs w:val="14"/>
                <w:color w:val="auto"/>
              </w:rPr>
              <w:t>Income taxes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(6,318)</w:t>
            </w:r>
          </w:p>
        </w:tc>
      </w:tr>
      <w:tr>
        <w:trPr>
          <w:trHeight w:val="30"/>
        </w:trPr>
        <w:tc>
          <w:tcPr>
            <w:tcW w:w="6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1"/>
        </w:trPr>
        <w:tc>
          <w:tcPr>
            <w:tcW w:w="644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41,777</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44,194</w:t>
            </w:r>
          </w:p>
        </w:tc>
      </w:tr>
      <w:tr>
        <w:trPr>
          <w:trHeight w:val="253"/>
        </w:trPr>
        <w:tc>
          <w:tcPr>
            <w:tcW w:w="6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Purchases of property, plant and equipment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(17,607)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(15,667)</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Acquisition of business, net of cash acquired</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(300,757)</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Sales of businesses, net of cash retained</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10,178</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(549)</w:t>
            </w:r>
          </w:p>
        </w:tc>
      </w:tr>
      <w:tr>
        <w:trPr>
          <w:trHeight w:val="191"/>
        </w:trPr>
        <w:tc>
          <w:tcPr>
            <w:tcW w:w="6440" w:type="dxa"/>
            <w:vAlign w:val="bottom"/>
          </w:tcPr>
          <w:p>
            <w:pPr>
              <w:ind w:left="1400"/>
              <w:spacing w:after="0"/>
              <w:rPr>
                <w:sz w:val="20"/>
                <w:szCs w:val="20"/>
                <w:color w:val="auto"/>
              </w:rPr>
            </w:pPr>
            <w:r>
              <w:rPr>
                <w:rFonts w:ascii="Arial" w:cs="Arial" w:eastAsia="Arial" w:hAnsi="Arial"/>
                <w:sz w:val="14"/>
                <w:szCs w:val="14"/>
                <w:color w:val="auto"/>
              </w:rPr>
              <w:t>Net cash used in investing activities</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(17,518)</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(306,795)</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3"/>
        </w:trPr>
        <w:tc>
          <w:tcPr>
            <w:tcW w:w="64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199"/>
        </w:trPr>
        <w:tc>
          <w:tcPr>
            <w:tcW w:w="6440" w:type="dxa"/>
            <w:vAlign w:val="bottom"/>
          </w:tcPr>
          <w:p>
            <w:pPr>
              <w:ind w:left="20"/>
              <w:spacing w:after="0"/>
              <w:rPr>
                <w:sz w:val="20"/>
                <w:szCs w:val="20"/>
                <w:color w:val="auto"/>
              </w:rPr>
            </w:pPr>
            <w:r>
              <w:rPr>
                <w:rFonts w:ascii="Arial" w:cs="Arial" w:eastAsia="Arial" w:hAnsi="Arial"/>
                <w:sz w:val="14"/>
                <w:szCs w:val="14"/>
                <w:color w:val="auto"/>
              </w:rPr>
              <w:t>Financing activities: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2"/>
        </w:trPr>
        <w:tc>
          <w:tcPr>
            <w:tcW w:w="6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Payment of dividends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(20,370)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(19,499)</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Proceeds from issuance of common stock</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10,894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4,409</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Purchase of treasury stock</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(5,121)</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Proceeds from borrowing on notes payable</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220,000</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Repayment of borrowing on notes payable</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(112,472)</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Proceeds from borrowings on line of credit</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3,187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w w:val="98"/>
              </w:rPr>
              <w:t>Income tax on the exercise of stock options and deferred compensation distributions, and other</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1,273</w:t>
            </w:r>
          </w:p>
        </w:tc>
      </w:tr>
      <w:tr>
        <w:trPr>
          <w:trHeight w:val="191"/>
        </w:trPr>
        <w:tc>
          <w:tcPr>
            <w:tcW w:w="6440" w:type="dxa"/>
            <w:vAlign w:val="bottom"/>
          </w:tcPr>
          <w:p>
            <w:pPr>
              <w:ind w:left="1400"/>
              <w:spacing w:after="0"/>
              <w:rPr>
                <w:sz w:val="20"/>
                <w:szCs w:val="20"/>
                <w:color w:val="auto"/>
              </w:rPr>
            </w:pPr>
            <w:r>
              <w:rPr>
                <w:rFonts w:ascii="Arial" w:cs="Arial" w:eastAsia="Arial" w:hAnsi="Arial"/>
                <w:sz w:val="14"/>
                <w:szCs w:val="14"/>
                <w:color w:val="auto"/>
              </w:rPr>
              <w:t>Net cash (used in) provided by financing activities</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(37,273)</w:t>
            </w:r>
          </w:p>
        </w:tc>
        <w:tc>
          <w:tcPr>
            <w:tcW w:w="8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88,590</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3"/>
        </w:trPr>
        <w:tc>
          <w:tcPr>
            <w:tcW w:w="64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11"/>
        </w:trPr>
        <w:tc>
          <w:tcPr>
            <w:tcW w:w="6440" w:type="dxa"/>
            <w:vAlign w:val="bottom"/>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1,072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9,422</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3"/>
        </w:trPr>
        <w:tc>
          <w:tcPr>
            <w:tcW w:w="64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11"/>
        </w:trPr>
        <w:tc>
          <w:tcPr>
            <w:tcW w:w="6440" w:type="dxa"/>
            <w:vAlign w:val="bottom"/>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(11,942)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(164,589)</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91,058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305,900</w:t>
            </w:r>
          </w:p>
        </w:tc>
      </w:tr>
      <w:tr>
        <w:trPr>
          <w:trHeight w:val="245"/>
        </w:trPr>
        <w:tc>
          <w:tcPr>
            <w:tcW w:w="64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r>
      <w:tr>
        <w:trPr>
          <w:trHeight w:val="234"/>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79,116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141,311</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229"/>
        </w:trPr>
        <w:tc>
          <w:tcPr>
            <w:tcW w:w="6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Supplemental disclosures of cash flow information:</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r>
      <w:tr>
        <w:trPr>
          <w:trHeight w:val="199"/>
        </w:trPr>
        <w:tc>
          <w:tcPr>
            <w:tcW w:w="6440" w:type="dxa"/>
            <w:vAlign w:val="bottom"/>
          </w:tcPr>
          <w:p>
            <w:pPr>
              <w:ind w:left="340"/>
              <w:spacing w:after="0"/>
              <w:rPr>
                <w:sz w:val="20"/>
                <w:szCs w:val="20"/>
                <w:color w:val="auto"/>
              </w:rPr>
            </w:pPr>
            <w:r>
              <w:rPr>
                <w:rFonts w:ascii="Arial" w:cs="Arial" w:eastAsia="Arial" w:hAnsi="Arial"/>
                <w:sz w:val="14"/>
                <w:szCs w:val="14"/>
                <w:color w:val="auto"/>
              </w:rPr>
              <w:t>Cash paid during the period for:</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42"/>
        </w:trPr>
        <w:tc>
          <w:tcPr>
            <w:tcW w:w="6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Interest, net of capitalized interest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7,283</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7,866</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Income taxes, net of refunds</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14,083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19,964</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Acquisitions:</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840"/>
              <w:spacing w:after="0"/>
              <w:rPr>
                <w:sz w:val="20"/>
                <w:szCs w:val="20"/>
                <w:color w:val="auto"/>
              </w:rPr>
            </w:pPr>
            <w:r>
              <w:rPr>
                <w:rFonts w:ascii="Arial" w:cs="Arial" w:eastAsia="Arial" w:hAnsi="Arial"/>
                <w:sz w:val="14"/>
                <w:szCs w:val="14"/>
                <w:color w:val="auto"/>
              </w:rPr>
              <w:t>Fair value of assets acquired, net of cash</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168,674</w:t>
            </w:r>
          </w:p>
        </w:tc>
      </w:tr>
      <w:tr>
        <w:trPr>
          <w:trHeight w:val="30"/>
        </w:trPr>
        <w:tc>
          <w:tcPr>
            <w:tcW w:w="6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Liabilities assumed</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(57,859)</w:t>
            </w:r>
          </w:p>
        </w:tc>
      </w:tr>
      <w:tr>
        <w:trPr>
          <w:trHeight w:val="211"/>
        </w:trPr>
        <w:tc>
          <w:tcPr>
            <w:tcW w:w="6440" w:type="dxa"/>
            <w:vAlign w:val="bottom"/>
          </w:tcPr>
          <w:p>
            <w:pPr>
              <w:ind w:left="84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189,942</w:t>
            </w:r>
          </w:p>
        </w:tc>
      </w:tr>
      <w:tr>
        <w:trPr>
          <w:trHeight w:val="30"/>
        </w:trPr>
        <w:tc>
          <w:tcPr>
            <w:tcW w:w="6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6"/>
        </w:trPr>
        <w:tc>
          <w:tcPr>
            <w:tcW w:w="644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4"/>
                <w:szCs w:val="14"/>
                <w:color w:val="auto"/>
              </w:rPr>
              <w:t>Net cash paid for acquisitions</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300,757</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5"/>
          </w:tcPr>
          <w:p>
            <w:pPr>
              <w:ind w:left="80"/>
              <w:spacing w:after="0"/>
              <w:rPr>
                <w:sz w:val="20"/>
                <w:szCs w:val="20"/>
                <w:color w:val="auto"/>
              </w:rPr>
            </w:pPr>
            <w:r>
              <w:rPr>
                <w:rFonts w:ascii="Arial" w:cs="Arial" w:eastAsia="Arial" w:hAnsi="Arial"/>
                <w:sz w:val="14"/>
                <w:szCs w:val="14"/>
                <w:color w:val="auto"/>
              </w:rPr>
              <w:t>Three months ended January 31,</w:t>
            </w:r>
          </w:p>
        </w:tc>
        <w:tc>
          <w:tcPr>
            <w:tcW w:w="220" w:type="dxa"/>
            <w:vAlign w:val="bottom"/>
          </w:tcPr>
          <w:p>
            <w:pPr>
              <w:spacing w:after="0"/>
              <w:rPr>
                <w:sz w:val="15"/>
                <w:szCs w:val="15"/>
                <w:color w:val="auto"/>
              </w:rPr>
            </w:pPr>
          </w:p>
        </w:tc>
        <w:tc>
          <w:tcPr>
            <w:tcW w:w="2180" w:type="dxa"/>
            <w:vAlign w:val="bottom"/>
            <w:gridSpan w:val="4"/>
          </w:tcPr>
          <w:p>
            <w:pPr>
              <w:jc w:val="right"/>
              <w:ind w:right="248"/>
              <w:spacing w:after="0"/>
              <w:rPr>
                <w:sz w:val="20"/>
                <w:szCs w:val="20"/>
                <w:color w:val="auto"/>
              </w:rPr>
            </w:pPr>
            <w:r>
              <w:rPr>
                <w:rFonts w:ascii="Arial" w:cs="Arial" w:eastAsia="Arial" w:hAnsi="Arial"/>
                <w:sz w:val="14"/>
                <w:szCs w:val="14"/>
                <w:color w:val="auto"/>
                <w:w w:val="97"/>
              </w:rPr>
              <w:t>Six months ended January 31,</w:t>
            </w:r>
          </w:p>
        </w:tc>
      </w:tr>
      <w:tr>
        <w:trPr>
          <w:trHeight w:val="30"/>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3"/>
        </w:trPr>
        <w:tc>
          <w:tcPr>
            <w:tcW w:w="3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34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color w:val="auto"/>
              </w:rPr>
              <w:t>2013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2013</w:t>
            </w:r>
          </w:p>
        </w:tc>
      </w:tr>
      <w:tr>
        <w:trPr>
          <w:trHeight w:val="30"/>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SALES TO EXTERNAL CUSTOMERS</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ID Solutions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194,732</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168,234</w:t>
            </w:r>
          </w:p>
        </w:tc>
        <w:tc>
          <w:tcPr>
            <w:tcW w:w="8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404,278</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330,627</w:t>
            </w:r>
          </w:p>
        </w:tc>
      </w:tr>
      <w:tr>
        <w:trPr>
          <w:trHeight w:val="30"/>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Workplace Safety</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96,462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104,468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194,446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214,090</w:t>
            </w: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291,194</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272,702</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598,724</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544,717</w:t>
            </w:r>
          </w:p>
        </w:tc>
      </w:tr>
      <w:tr>
        <w:trPr>
          <w:trHeight w:val="30"/>
        </w:trPr>
        <w:tc>
          <w:tcPr>
            <w:tcW w:w="3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5499735" cy="153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99735" cy="153035"/>
                    </a:xfrm>
                    <a:prstGeom prst="rect">
                      <a:avLst/>
                    </a:prstGeom>
                    <a:noFill/>
                  </pic:spPr>
                </pic:pic>
              </a:graphicData>
            </a:graphic>
          </wp:anchor>
        </w:drawing>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SALES INFORMATION</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ID Solutions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Organic</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Currency</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Acquisitions</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13.8 %</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11.1 %</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5.5 %</w:t>
            </w:r>
          </w:p>
        </w:tc>
        <w:tc>
          <w:tcPr>
            <w:tcW w:w="0" w:type="dxa"/>
            <w:vAlign w:val="bottom"/>
          </w:tcPr>
          <w:p>
            <w:pPr>
              <w:spacing w:after="0"/>
              <w:rPr>
                <w:sz w:val="1"/>
                <w:szCs w:val="1"/>
                <w:color w:val="auto"/>
              </w:rPr>
            </w:pP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12.4 %</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22.3 %</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5.4 %</w:t>
            </w:r>
          </w:p>
        </w:tc>
        <w:tc>
          <w:tcPr>
            <w:tcW w:w="0" w:type="dxa"/>
            <w:vAlign w:val="bottom"/>
          </w:tcPr>
          <w:p>
            <w:pPr>
              <w:spacing w:after="0"/>
              <w:rPr>
                <w:sz w:val="1"/>
                <w:szCs w:val="1"/>
                <w:color w:val="auto"/>
              </w:rPr>
            </w:pPr>
          </w:p>
        </w:tc>
      </w:tr>
      <w:tr>
        <w:trPr>
          <w:trHeight w:val="70"/>
        </w:trPr>
        <w:tc>
          <w:tcPr>
            <w:tcW w:w="378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378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b w:val="1"/>
                <w:bCs w:val="1"/>
                <w:i w:val="1"/>
                <w:iCs w:val="1"/>
                <w:color w:val="auto"/>
              </w:rPr>
              <w:t>Workplace Safety</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Organic</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Currency</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0.4 %</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Acquisitions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5.5 %</w:t>
            </w:r>
          </w:p>
        </w:tc>
        <w:tc>
          <w:tcPr>
            <w:tcW w:w="0" w:type="dxa"/>
            <w:vAlign w:val="bottom"/>
          </w:tcPr>
          <w:p>
            <w:pPr>
              <w:spacing w:after="0"/>
              <w:rPr>
                <w:sz w:val="1"/>
                <w:szCs w:val="1"/>
                <w:color w:val="auto"/>
              </w:rPr>
            </w:pPr>
          </w:p>
        </w:tc>
      </w:tr>
      <w:tr>
        <w:trPr>
          <w:trHeight w:val="30"/>
        </w:trPr>
        <w:tc>
          <w:tcPr>
            <w:tcW w:w="37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i w:val="1"/>
                <w:iCs w:val="1"/>
                <w:color w:val="auto"/>
              </w:rPr>
              <w:t>Total Company</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7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Organic</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Currency</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Acquisitions</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8.5 %</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8.6 %</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5.5 %</w:t>
            </w:r>
          </w:p>
        </w:tc>
        <w:tc>
          <w:tcPr>
            <w:tcW w:w="0" w:type="dxa"/>
            <w:vAlign w:val="bottom"/>
          </w:tcPr>
          <w:p>
            <w:pPr>
              <w:spacing w:after="0"/>
              <w:rPr>
                <w:sz w:val="1"/>
                <w:szCs w:val="1"/>
                <w:color w:val="auto"/>
              </w:rPr>
            </w:pP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6.7 %</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9.9 %</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SEGMENT PROFIT</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ID Solutions</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37,526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34,643</w:t>
            </w:r>
          </w:p>
        </w:tc>
        <w:tc>
          <w:tcPr>
            <w:tcW w:w="8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88,493</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79,223</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Workplace Safety</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14,668</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23,600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33,042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51,429</w:t>
            </w:r>
          </w:p>
        </w:tc>
        <w:tc>
          <w:tcPr>
            <w:tcW w:w="0" w:type="dxa"/>
            <w:vAlign w:val="bottom"/>
          </w:tcPr>
          <w:p>
            <w:pPr>
              <w:spacing w:after="0"/>
              <w:rPr>
                <w:sz w:val="1"/>
                <w:szCs w:val="1"/>
                <w:color w:val="auto"/>
              </w:rPr>
            </w:pP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52,194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58,243</w:t>
            </w:r>
          </w:p>
        </w:tc>
        <w:tc>
          <w:tcPr>
            <w:tcW w:w="80" w:type="dxa"/>
            <w:vAlign w:val="bottom"/>
          </w:tcPr>
          <w:p>
            <w:pPr>
              <w:spacing w:after="0"/>
              <w:rPr>
                <w:sz w:val="16"/>
                <w:szCs w:val="16"/>
                <w:color w:val="auto"/>
              </w:rPr>
            </w:pPr>
          </w:p>
        </w:tc>
        <w:tc>
          <w:tcPr>
            <w:tcW w:w="2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121,535</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130,652</w:t>
            </w:r>
          </w:p>
        </w:tc>
        <w:tc>
          <w:tcPr>
            <w:tcW w:w="0" w:type="dxa"/>
            <w:vAlign w:val="bottom"/>
          </w:tcPr>
          <w:p>
            <w:pPr>
              <w:spacing w:after="0"/>
              <w:rPr>
                <w:sz w:val="1"/>
                <w:szCs w:val="1"/>
                <w:color w:val="auto"/>
              </w:rPr>
            </w:pPr>
          </w:p>
        </w:tc>
      </w:tr>
      <w:tr>
        <w:trPr>
          <w:trHeight w:val="70"/>
        </w:trPr>
        <w:tc>
          <w:tcPr>
            <w:tcW w:w="378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378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b w:val="1"/>
                <w:bCs w:val="1"/>
                <w:color w:val="auto"/>
              </w:rPr>
              <w:t>SEGMENT PROFIT AS A PERCENT OF SALES</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ID Solutions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19.3 %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20.6 %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24.0 %</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Workplace Safety</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15.2 %</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22.6 %</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24.0 %</w:t>
            </w:r>
          </w:p>
        </w:tc>
        <w:tc>
          <w:tcPr>
            <w:tcW w:w="0" w:type="dxa"/>
            <w:vAlign w:val="bottom"/>
          </w:tcPr>
          <w:p>
            <w:pPr>
              <w:spacing w:after="0"/>
              <w:rPr>
                <w:sz w:val="1"/>
                <w:szCs w:val="1"/>
                <w:color w:val="auto"/>
              </w:rPr>
            </w:pP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21.4 %</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20.3 %</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24.0 %</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3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7"/>
          </w:tcPr>
          <w:p>
            <w:pPr>
              <w:ind w:left="80"/>
              <w:spacing w:after="0"/>
              <w:rPr>
                <w:sz w:val="20"/>
                <w:szCs w:val="20"/>
                <w:color w:val="auto"/>
              </w:rPr>
            </w:pPr>
            <w:r>
              <w:rPr>
                <w:rFonts w:ascii="Arial" w:cs="Arial" w:eastAsia="Arial" w:hAnsi="Arial"/>
                <w:sz w:val="14"/>
                <w:szCs w:val="14"/>
                <w:color w:val="auto"/>
              </w:rPr>
              <w:t>Three months ended January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4"/>
          </w:tcPr>
          <w:p>
            <w:pPr>
              <w:jc w:val="right"/>
              <w:ind w:right="228"/>
              <w:spacing w:after="0"/>
              <w:rPr>
                <w:sz w:val="20"/>
                <w:szCs w:val="20"/>
                <w:color w:val="auto"/>
              </w:rPr>
            </w:pPr>
            <w:r>
              <w:rPr>
                <w:rFonts w:ascii="Arial" w:cs="Arial" w:eastAsia="Arial" w:hAnsi="Arial"/>
                <w:sz w:val="14"/>
                <w:szCs w:val="14"/>
                <w:color w:val="auto"/>
                <w:w w:val="97"/>
              </w:rPr>
              <w:t>Six months ended January 31,</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color w:val="auto"/>
              </w:rPr>
              <w:t>2014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2013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4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30"/>
        </w:trPr>
        <w:tc>
          <w:tcPr>
            <w:tcW w:w="37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segment profit</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52,194</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58,243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121,535</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130,652</w:t>
            </w:r>
          </w:p>
        </w:tc>
        <w:tc>
          <w:tcPr>
            <w:tcW w:w="0" w:type="dxa"/>
            <w:vAlign w:val="bottom"/>
          </w:tcPr>
          <w:p>
            <w:pPr>
              <w:spacing w:after="0"/>
              <w:rPr>
                <w:sz w:val="1"/>
                <w:szCs w:val="1"/>
                <w:color w:val="auto"/>
              </w:rPr>
            </w:pPr>
          </w:p>
        </w:tc>
      </w:tr>
      <w:tr>
        <w:trPr>
          <w:trHeight w:val="199"/>
        </w:trPr>
        <w:tc>
          <w:tcPr>
            <w:tcW w:w="3780" w:type="dxa"/>
            <w:vAlign w:val="bottom"/>
          </w:tcPr>
          <w:p>
            <w:pPr>
              <w:ind w:left="20"/>
              <w:spacing w:after="0"/>
              <w:rPr>
                <w:sz w:val="20"/>
                <w:szCs w:val="20"/>
                <w:color w:val="auto"/>
              </w:rPr>
            </w:pPr>
            <w:r>
              <w:rPr>
                <w:rFonts w:ascii="Arial" w:cs="Arial" w:eastAsia="Arial" w:hAnsi="Arial"/>
                <w:sz w:val="14"/>
                <w:szCs w:val="14"/>
                <w:color w:val="auto"/>
              </w:rPr>
              <w:t>Unallocated amounts: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3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Administrative costs</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(29,524)</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(34,513)</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(62,338)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(63,686)</w:t>
            </w: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Restructuring charges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(4,324)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(1,933)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(11,163)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(1,933)</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Investment and other income</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898</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1,294</w:t>
            </w: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Interest expense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(3,676)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(7,397)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(8,569)</w:t>
            </w:r>
          </w:p>
        </w:tc>
        <w:tc>
          <w:tcPr>
            <w:tcW w:w="0" w:type="dxa"/>
            <w:vAlign w:val="bottom"/>
          </w:tcPr>
          <w:p>
            <w:pPr>
              <w:spacing w:after="0"/>
              <w:rPr>
                <w:sz w:val="1"/>
                <w:szCs w:val="1"/>
                <w:color w:val="auto"/>
              </w:rPr>
            </w:pPr>
          </w:p>
        </w:tc>
      </w:tr>
      <w:tr>
        <w:trPr>
          <w:trHeight w:val="30"/>
        </w:trPr>
        <w:tc>
          <w:tcPr>
            <w:tcW w:w="37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Earnings from continuing operations before income taxes</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14,925</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18,289</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41,654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57,758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 BY QUARTER</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Fiscal 2014</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color w:val="auto"/>
                <w:w w:val="92"/>
              </w:rPr>
              <w:t>Fiscal 2013</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0"/>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1"/>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Q1</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Q2</w:t>
            </w:r>
          </w:p>
        </w:tc>
        <w:tc>
          <w:tcPr>
            <w:tcW w:w="16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color w:val="auto"/>
              </w:rPr>
              <w:t>Q2 YTD</w:t>
            </w:r>
          </w:p>
        </w:tc>
        <w:tc>
          <w:tcPr>
            <w:tcW w:w="140" w:type="dxa"/>
            <w:vAlign w:val="bottom"/>
          </w:tcPr>
          <w:p>
            <w:pPr>
              <w:spacing w:after="0"/>
              <w:rPr>
                <w:sz w:val="16"/>
                <w:szCs w:val="16"/>
                <w:color w:val="auto"/>
              </w:rPr>
            </w:pPr>
          </w:p>
        </w:tc>
        <w:tc>
          <w:tcPr>
            <w:tcW w:w="620" w:type="dxa"/>
            <w:vAlign w:val="bottom"/>
          </w:tcPr>
          <w:p>
            <w:pPr>
              <w:jc w:val="center"/>
              <w:ind w:right="8"/>
              <w:spacing w:after="0"/>
              <w:rPr>
                <w:sz w:val="20"/>
                <w:szCs w:val="20"/>
                <w:color w:val="auto"/>
              </w:rPr>
            </w:pPr>
            <w:r>
              <w:rPr>
                <w:rFonts w:ascii="Arial" w:cs="Arial" w:eastAsia="Arial" w:hAnsi="Arial"/>
                <w:sz w:val="14"/>
                <w:szCs w:val="14"/>
                <w:color w:val="auto"/>
                <w:w w:val="96"/>
              </w:rPr>
              <w:t>Q1</w:t>
            </w:r>
          </w:p>
        </w:tc>
        <w:tc>
          <w:tcPr>
            <w:tcW w:w="2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6"/>
              </w:rPr>
              <w:t>Q2</w:t>
            </w:r>
          </w:p>
        </w:tc>
        <w:tc>
          <w:tcPr>
            <w:tcW w:w="220" w:type="dxa"/>
            <w:vAlign w:val="bottom"/>
          </w:tcPr>
          <w:p>
            <w:pPr>
              <w:spacing w:after="0"/>
              <w:rPr>
                <w:sz w:val="16"/>
                <w:szCs w:val="16"/>
                <w:color w:val="auto"/>
              </w:rPr>
            </w:pPr>
          </w:p>
        </w:tc>
        <w:tc>
          <w:tcPr>
            <w:tcW w:w="640" w:type="dxa"/>
            <w:vAlign w:val="bottom"/>
          </w:tcPr>
          <w:p>
            <w:pPr>
              <w:ind w:left="20"/>
              <w:spacing w:after="0"/>
              <w:rPr>
                <w:sz w:val="20"/>
                <w:szCs w:val="20"/>
                <w:color w:val="auto"/>
              </w:rPr>
            </w:pPr>
            <w:r>
              <w:rPr>
                <w:rFonts w:ascii="Arial" w:cs="Arial" w:eastAsia="Arial" w:hAnsi="Arial"/>
                <w:sz w:val="14"/>
                <w:szCs w:val="14"/>
                <w:color w:val="auto"/>
              </w:rPr>
              <w:t>Q2 YTD</w:t>
            </w:r>
          </w:p>
        </w:tc>
        <w:tc>
          <w:tcPr>
            <w:tcW w:w="22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85"/>
              </w:rPr>
              <w:t>Q3</w:t>
            </w:r>
          </w:p>
        </w:tc>
        <w:tc>
          <w:tcPr>
            <w:tcW w:w="240" w:type="dxa"/>
            <w:vAlign w:val="bottom"/>
          </w:tcPr>
          <w:p>
            <w:pPr>
              <w:spacing w:after="0"/>
              <w:rPr>
                <w:sz w:val="16"/>
                <w:szCs w:val="16"/>
                <w:color w:val="auto"/>
              </w:rPr>
            </w:pPr>
          </w:p>
        </w:tc>
        <w:tc>
          <w:tcPr>
            <w:tcW w:w="620" w:type="dxa"/>
            <w:vAlign w:val="bottom"/>
          </w:tcPr>
          <w:p>
            <w:pPr>
              <w:jc w:val="right"/>
              <w:ind w:right="188"/>
              <w:spacing w:after="0"/>
              <w:rPr>
                <w:sz w:val="20"/>
                <w:szCs w:val="20"/>
                <w:color w:val="auto"/>
              </w:rPr>
            </w:pPr>
            <w:r>
              <w:rPr>
                <w:rFonts w:ascii="Arial" w:cs="Arial" w:eastAsia="Arial" w:hAnsi="Arial"/>
                <w:sz w:val="14"/>
                <w:szCs w:val="14"/>
                <w:color w:val="auto"/>
              </w:rPr>
              <w:t>Q4</w:t>
            </w:r>
          </w:p>
        </w:tc>
        <w:tc>
          <w:tcPr>
            <w:tcW w:w="220" w:type="dxa"/>
            <w:vAlign w:val="bottom"/>
          </w:tcPr>
          <w:p>
            <w:pPr>
              <w:spacing w:after="0"/>
              <w:rPr>
                <w:sz w:val="16"/>
                <w:szCs w:val="16"/>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Full Year</w:t>
            </w:r>
          </w:p>
        </w:tc>
      </w:tr>
      <w:tr>
        <w:trPr>
          <w:trHeight w:val="30"/>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54"/>
        </w:trPr>
        <w:tc>
          <w:tcPr>
            <w:tcW w:w="2700" w:type="dxa"/>
            <w:vAlign w:val="bottom"/>
            <w:gridSpan w:val="6"/>
          </w:tcPr>
          <w:p>
            <w:pPr>
              <w:ind w:left="20"/>
              <w:spacing w:after="0"/>
              <w:rPr>
                <w:sz w:val="20"/>
                <w:szCs w:val="20"/>
                <w:color w:val="auto"/>
              </w:rPr>
            </w:pPr>
            <w:r>
              <w:rPr>
                <w:rFonts w:ascii="Arial" w:cs="Arial" w:eastAsia="Arial" w:hAnsi="Arial"/>
                <w:sz w:val="14"/>
                <w:szCs w:val="14"/>
                <w:b w:val="1"/>
                <w:bCs w:val="1"/>
                <w:color w:val="auto"/>
              </w:rPr>
              <w:t>SALES TO EXTERNAL CUSTOMERS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0"/>
        </w:trPr>
        <w:tc>
          <w:tcPr>
            <w:tcW w:w="20" w:type="dxa"/>
            <w:vAlign w:val="bottom"/>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97"/>
        </w:trPr>
        <w:tc>
          <w:tcPr>
            <w:tcW w:w="10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Identification</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3"/>
        </w:trPr>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Solutions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94"/>
              </w:rPr>
              <w:t>209,546</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$ 194,732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404,278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center"/>
              <w:ind w:right="8"/>
              <w:spacing w:after="0"/>
              <w:rPr>
                <w:sz w:val="20"/>
                <w:szCs w:val="20"/>
                <w:color w:val="auto"/>
              </w:rPr>
            </w:pPr>
            <w:r>
              <w:rPr>
                <w:rFonts w:ascii="Arial" w:cs="Arial" w:eastAsia="Arial" w:hAnsi="Arial"/>
                <w:sz w:val="14"/>
                <w:szCs w:val="14"/>
                <w:color w:val="auto"/>
                <w:w w:val="90"/>
              </w:rPr>
              <w:t>162,393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168,234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330,627</w:t>
            </w:r>
          </w:p>
        </w:tc>
        <w:tc>
          <w:tcPr>
            <w:tcW w:w="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4"/>
              </w:rPr>
              <w:t>197,417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8"/>
              </w:rPr>
              <w:t>211,071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739,115</w:t>
            </w:r>
          </w:p>
        </w:tc>
      </w:tr>
      <w:tr>
        <w:trPr>
          <w:trHeight w:val="197"/>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Workplace</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83"/>
        </w:trPr>
        <w:tc>
          <w:tcPr>
            <w:tcW w:w="1060" w:type="dxa"/>
            <w:vAlign w:val="bottom"/>
            <w:gridSpan w:val="2"/>
          </w:tcPr>
          <w:p>
            <w:pPr>
              <w:ind w:left="20"/>
              <w:spacing w:after="0"/>
              <w:rPr>
                <w:sz w:val="20"/>
                <w:szCs w:val="20"/>
                <w:color w:val="auto"/>
              </w:rPr>
            </w:pPr>
            <w:r>
              <w:rPr>
                <w:rFonts w:ascii="Arial" w:cs="Arial" w:eastAsia="Arial" w:hAnsi="Arial"/>
                <w:sz w:val="14"/>
                <w:szCs w:val="14"/>
                <w:color w:val="auto"/>
              </w:rPr>
              <w:t>Safety</w:t>
            </w:r>
          </w:p>
        </w:tc>
        <w:tc>
          <w:tcPr>
            <w:tcW w:w="14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97,984</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96,462</w:t>
            </w:r>
          </w:p>
        </w:tc>
        <w:tc>
          <w:tcPr>
            <w:tcW w:w="16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auto"/>
              </w:rPr>
              <w:t>194,446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center"/>
              <w:ind w:right="8"/>
              <w:spacing w:after="0"/>
              <w:rPr>
                <w:sz w:val="20"/>
                <w:szCs w:val="20"/>
                <w:color w:val="auto"/>
              </w:rPr>
            </w:pPr>
            <w:r>
              <w:rPr>
                <w:rFonts w:ascii="Arial" w:cs="Arial" w:eastAsia="Arial" w:hAnsi="Arial"/>
                <w:sz w:val="14"/>
                <w:szCs w:val="14"/>
                <w:color w:val="auto"/>
                <w:w w:val="90"/>
              </w:rPr>
              <w:t>109,622</w:t>
            </w:r>
          </w:p>
        </w:tc>
        <w:tc>
          <w:tcPr>
            <w:tcW w:w="2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0"/>
              </w:rPr>
              <w:t>104,468</w:t>
            </w:r>
          </w:p>
        </w:tc>
        <w:tc>
          <w:tcPr>
            <w:tcW w:w="220" w:type="dxa"/>
            <w:vAlign w:val="bottom"/>
          </w:tcPr>
          <w:p>
            <w:pPr>
              <w:spacing w:after="0"/>
              <w:rPr>
                <w:sz w:val="15"/>
                <w:szCs w:val="15"/>
                <w:color w:val="auto"/>
              </w:rPr>
            </w:pPr>
          </w:p>
        </w:tc>
        <w:tc>
          <w:tcPr>
            <w:tcW w:w="640" w:type="dxa"/>
            <w:vAlign w:val="bottom"/>
          </w:tcPr>
          <w:p>
            <w:pPr>
              <w:ind w:left="40"/>
              <w:spacing w:after="0"/>
              <w:rPr>
                <w:sz w:val="20"/>
                <w:szCs w:val="20"/>
                <w:color w:val="auto"/>
              </w:rPr>
            </w:pPr>
            <w:r>
              <w:rPr>
                <w:rFonts w:ascii="Arial" w:cs="Arial" w:eastAsia="Arial" w:hAnsi="Arial"/>
                <w:sz w:val="14"/>
                <w:szCs w:val="14"/>
                <w:color w:val="auto"/>
              </w:rPr>
              <w:t>214,090</w:t>
            </w:r>
          </w:p>
        </w:tc>
        <w:tc>
          <w:tcPr>
            <w:tcW w:w="2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4"/>
              </w:rPr>
              <w:t>105,066</w:t>
            </w:r>
          </w:p>
        </w:tc>
        <w:tc>
          <w:tcPr>
            <w:tcW w:w="24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99,521</w:t>
            </w:r>
          </w:p>
        </w:tc>
        <w:tc>
          <w:tcPr>
            <w:tcW w:w="220" w:type="dxa"/>
            <w:vAlign w:val="bottom"/>
          </w:tcPr>
          <w:p>
            <w:pPr>
              <w:spacing w:after="0"/>
              <w:rPr>
                <w:sz w:val="15"/>
                <w:szCs w:val="15"/>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418,677</w:t>
            </w:r>
          </w:p>
        </w:tc>
      </w:tr>
      <w:tr>
        <w:trPr>
          <w:trHeight w:val="30"/>
        </w:trPr>
        <w:tc>
          <w:tcPr>
            <w:tcW w:w="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3"/>
        </w:trPr>
        <w:tc>
          <w:tcPr>
            <w:tcW w:w="1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Company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4"/>
              </w:rPr>
              <w:t>307,530</w:t>
            </w:r>
          </w:p>
        </w:tc>
        <w:tc>
          <w:tcPr>
            <w:tcW w:w="8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$ 291,194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598,724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center"/>
              <w:ind w:right="8"/>
              <w:spacing w:after="0"/>
              <w:rPr>
                <w:sz w:val="20"/>
                <w:szCs w:val="20"/>
                <w:color w:val="auto"/>
              </w:rPr>
            </w:pPr>
            <w:r>
              <w:rPr>
                <w:rFonts w:ascii="Arial" w:cs="Arial" w:eastAsia="Arial" w:hAnsi="Arial"/>
                <w:sz w:val="14"/>
                <w:szCs w:val="14"/>
                <w:color w:val="auto"/>
                <w:w w:val="90"/>
              </w:rPr>
              <w:t>272,015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272,702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544,717</w:t>
            </w:r>
          </w:p>
        </w:tc>
        <w:tc>
          <w:tcPr>
            <w:tcW w:w="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302,483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8"/>
              </w:rPr>
              <w:t>310,592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93"/>
              </w:rPr>
              <w:t>1,157,792</w:t>
            </w: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gridSpan w:val="7"/>
          </w:tcPr>
          <w:p>
            <w:pPr>
              <w:spacing w:after="0"/>
              <w:rPr>
                <w:sz w:val="20"/>
                <w:szCs w:val="20"/>
                <w:color w:val="auto"/>
              </w:rPr>
            </w:pPr>
            <w:r>
              <w:rPr>
                <w:rFonts w:ascii="Arial" w:cs="Arial" w:eastAsia="Arial" w:hAnsi="Arial"/>
                <w:sz w:val="14"/>
                <w:szCs w:val="14"/>
                <w:b w:val="1"/>
                <w:bCs w:val="1"/>
                <w:color w:val="auto"/>
              </w:rPr>
              <w:t>SALES INFORMATION</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560" w:type="dxa"/>
            <w:vAlign w:val="bottom"/>
            <w:tcBorders>
              <w:top w:val="single" w:sz="8" w:color="auto"/>
            </w:tcBorders>
            <w:gridSpan w:val="5"/>
          </w:tcPr>
          <w:p>
            <w:pPr>
              <w:spacing w:after="0"/>
              <w:rPr>
                <w:sz w:val="20"/>
                <w:szCs w:val="20"/>
                <w:color w:val="auto"/>
              </w:rPr>
            </w:pPr>
            <w:r>
              <w:rPr>
                <w:rFonts w:ascii="Arial" w:cs="Arial" w:eastAsia="Arial" w:hAnsi="Arial"/>
                <w:sz w:val="14"/>
                <w:szCs w:val="14"/>
                <w:b w:val="1"/>
                <w:bCs w:val="1"/>
                <w:i w:val="1"/>
                <w:iCs w:val="1"/>
                <w:color w:val="auto"/>
                <w:w w:val="99"/>
              </w:rPr>
              <w:t>Identification Solutions</w:t>
            </w:r>
          </w:p>
        </w:tc>
        <w:tc>
          <w:tcPr>
            <w:tcW w:w="32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Organic</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3.3 %</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0.9 %</w:t>
            </w: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0.8 %</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4"/>
                <w:szCs w:val="14"/>
                <w:color w:val="auto"/>
              </w:rPr>
              <w:t>Currency</w:t>
            </w:r>
          </w:p>
        </w:tc>
        <w:tc>
          <w:tcPr>
            <w:tcW w:w="12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0.2 %</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Acquisitions</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26.0 %</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13.8 %</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19.8 %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0.4 %</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11.1 %</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5.5 %</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25.3 %</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28.2 %</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Total</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4"/>
                <w:szCs w:val="14"/>
                <w:color w:val="auto"/>
              </w:rPr>
              <w:t>29.0 %</w:t>
            </w: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15.8 %</w:t>
            </w: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22.3 %</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12.4 %</w:t>
            </w: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5.4 %</w:t>
            </w: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22.4 %</w:t>
            </w: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30.7 %</w:t>
            </w: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i w:val="1"/>
                <w:iCs w:val="1"/>
                <w:color w:val="auto"/>
                <w:w w:val="89"/>
              </w:rPr>
              <w:t>Workplace Safety</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Organic</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(10.0)%</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4"/>
                <w:szCs w:val="14"/>
                <w:color w:val="auto"/>
              </w:rPr>
              <w:t>Currency</w:t>
            </w:r>
          </w:p>
        </w:tc>
        <w:tc>
          <w:tcPr>
            <w:tcW w:w="12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4"/>
                <w:szCs w:val="14"/>
                <w:color w:val="auto"/>
              </w:rPr>
              <w:t>(0.6)%</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(0.9)%</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0.4 %</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0.1 %</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Acquisitions</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5.8 %</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5.1 %</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5.5 %</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Total</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4"/>
                <w:szCs w:val="14"/>
                <w:color w:val="auto"/>
              </w:rPr>
              <w:t>(10.6)%</w:t>
            </w: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0.2 %</w:t>
            </w: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2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Total Company</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Organic</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(2.1)%</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6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4"/>
                <w:szCs w:val="14"/>
                <w:color w:val="auto"/>
              </w:rPr>
              <w:t>Currency</w:t>
            </w:r>
          </w:p>
        </w:tc>
        <w:tc>
          <w:tcPr>
            <w:tcW w:w="12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4"/>
                <w:szCs w:val="14"/>
                <w:color w:val="auto"/>
              </w:rPr>
              <w:t>(0.4)%</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(0.6)%</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(0.1)%</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0.1 %</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Acquisitions</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15.6 %</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8.5 %</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12.0 %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8.6 %</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5.5 %</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17.0 %</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16.9 %</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Total</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4"/>
          </w:tcPr>
          <w:p>
            <w:pPr>
              <w:jc w:val="right"/>
              <w:ind w:right="40"/>
              <w:spacing w:after="0"/>
              <w:rPr>
                <w:sz w:val="20"/>
                <w:szCs w:val="20"/>
                <w:color w:val="auto"/>
              </w:rPr>
            </w:pPr>
            <w:r>
              <w:rPr>
                <w:rFonts w:ascii="Arial" w:cs="Arial" w:eastAsia="Arial" w:hAnsi="Arial"/>
                <w:sz w:val="14"/>
                <w:szCs w:val="14"/>
                <w:color w:val="auto"/>
              </w:rPr>
              <w:t>13.1 %</w:t>
            </w: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6.8 %</w:t>
            </w: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9.9 %</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6.7 %</w:t>
            </w: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2.9 %</w:t>
            </w: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11.2 %</w:t>
            </w: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14.9 %</w:t>
            </w: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1880" w:type="dxa"/>
            <w:vAlign w:val="bottom"/>
            <w:gridSpan w:val="7"/>
          </w:tcPr>
          <w:p>
            <w:pPr>
              <w:spacing w:after="0"/>
              <w:rPr>
                <w:sz w:val="20"/>
                <w:szCs w:val="20"/>
                <w:color w:val="auto"/>
              </w:rPr>
            </w:pPr>
            <w:r>
              <w:rPr>
                <w:rFonts w:ascii="Arial" w:cs="Arial" w:eastAsia="Arial" w:hAnsi="Arial"/>
                <w:sz w:val="14"/>
                <w:szCs w:val="14"/>
                <w:b w:val="1"/>
                <w:bCs w:val="1"/>
                <w:color w:val="auto"/>
              </w:rPr>
              <w:t>SEGMENT PROFIT</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Identification</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Solutions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50,967</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37,526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88,493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44,581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34,643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79,223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46,787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48,379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174,390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4"/>
                <w:szCs w:val="14"/>
                <w:color w:val="auto"/>
              </w:rPr>
              <w:t>Workplace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Arial" w:cs="Arial" w:eastAsia="Arial" w:hAnsi="Arial"/>
                <w:sz w:val="14"/>
                <w:szCs w:val="14"/>
                <w:color w:val="auto"/>
              </w:rPr>
              <w:t>Safety</w:t>
            </w:r>
          </w:p>
        </w:tc>
        <w:tc>
          <w:tcPr>
            <w:tcW w:w="120" w:type="dxa"/>
            <w:vAlign w:val="bottom"/>
          </w:tcPr>
          <w:p>
            <w:pPr>
              <w:spacing w:after="0"/>
              <w:rPr>
                <w:sz w:val="15"/>
                <w:szCs w:val="15"/>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4"/>
                <w:szCs w:val="14"/>
                <w:color w:val="auto"/>
              </w:rPr>
              <w:t>18,374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14,668</w:t>
            </w:r>
          </w:p>
        </w:tc>
        <w:tc>
          <w:tcPr>
            <w:tcW w:w="140" w:type="dxa"/>
            <w:vAlign w:val="bottom"/>
          </w:tcPr>
          <w:p>
            <w:pPr>
              <w:spacing w:after="0"/>
              <w:rPr>
                <w:sz w:val="15"/>
                <w:szCs w:val="15"/>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4"/>
                <w:szCs w:val="14"/>
                <w:color w:val="auto"/>
              </w:rPr>
              <w:t>33,042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27,829</w:t>
            </w:r>
          </w:p>
        </w:tc>
        <w:tc>
          <w:tcPr>
            <w:tcW w:w="16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23,600</w:t>
            </w:r>
          </w:p>
        </w:tc>
        <w:tc>
          <w:tcPr>
            <w:tcW w:w="14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51,429</w:t>
            </w:r>
          </w:p>
        </w:tc>
        <w:tc>
          <w:tcPr>
            <w:tcW w:w="140" w:type="dxa"/>
            <w:vAlign w:val="bottom"/>
          </w:tcPr>
          <w:p>
            <w:pPr>
              <w:spacing w:after="0"/>
              <w:rPr>
                <w:sz w:val="15"/>
                <w:szCs w:val="15"/>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23,453</w:t>
            </w:r>
          </w:p>
        </w:tc>
        <w:tc>
          <w:tcPr>
            <w:tcW w:w="12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20,359</w:t>
            </w:r>
          </w:p>
        </w:tc>
        <w:tc>
          <w:tcPr>
            <w:tcW w:w="160" w:type="dxa"/>
            <w:vAlign w:val="bottom"/>
          </w:tcPr>
          <w:p>
            <w:pPr>
              <w:spacing w:after="0"/>
              <w:rPr>
                <w:sz w:val="15"/>
                <w:szCs w:val="15"/>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95,241</w:t>
            </w:r>
          </w:p>
        </w:tc>
        <w:tc>
          <w:tcPr>
            <w:tcW w:w="0" w:type="dxa"/>
            <w:vAlign w:val="bottom"/>
          </w:tcPr>
          <w:p>
            <w:pPr>
              <w:spacing w:after="0"/>
              <w:rPr>
                <w:sz w:val="1"/>
                <w:szCs w:val="1"/>
                <w:color w:val="auto"/>
              </w:rPr>
            </w:pPr>
          </w:p>
        </w:tc>
      </w:tr>
      <w:tr>
        <w:trPr>
          <w:trHeight w:val="30"/>
        </w:trPr>
        <w:tc>
          <w:tcPr>
            <w:tcW w:w="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Company</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69,341</w:t>
            </w: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52,194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gridSpan w:val="2"/>
            <w:shd w:val="clear" w:color="auto" w:fill="CCEEFF"/>
          </w:tcPr>
          <w:p>
            <w:pPr>
              <w:jc w:val="right"/>
              <w:ind w:right="128"/>
              <w:spacing w:after="0"/>
              <w:rPr>
                <w:sz w:val="20"/>
                <w:szCs w:val="20"/>
                <w:color w:val="auto"/>
              </w:rPr>
            </w:pPr>
            <w:r>
              <w:rPr>
                <w:rFonts w:ascii="Arial" w:cs="Arial" w:eastAsia="Arial" w:hAnsi="Arial"/>
                <w:sz w:val="14"/>
                <w:szCs w:val="14"/>
                <w:color w:val="auto"/>
                <w:w w:val="98"/>
              </w:rPr>
              <w:t>121,535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72,410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58,243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98"/>
              </w:rPr>
              <w:t>130,652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70,240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68,738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269,631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5"/>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3660" w:type="dxa"/>
            <w:vAlign w:val="bottom"/>
            <w:gridSpan w:val="13"/>
          </w:tcPr>
          <w:p>
            <w:pPr>
              <w:spacing w:after="0"/>
              <w:rPr>
                <w:sz w:val="20"/>
                <w:szCs w:val="20"/>
                <w:color w:val="auto"/>
              </w:rPr>
            </w:pPr>
            <w:r>
              <w:rPr>
                <w:rFonts w:ascii="Arial" w:cs="Arial" w:eastAsia="Arial" w:hAnsi="Arial"/>
                <w:sz w:val="14"/>
                <w:szCs w:val="14"/>
                <w:b w:val="1"/>
                <w:bCs w:val="1"/>
                <w:color w:val="auto"/>
              </w:rPr>
              <w:t>SEGMENT PROFIT AS PERCENT OF SALES</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68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Identification</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Solutions</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24.3 %</w:t>
            </w: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19.3 %</w:t>
            </w: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21.9 %</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27.5 %</w:t>
            </w: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20.6 %</w:t>
            </w: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24.0 %</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23.7 %</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22.9 %</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60" w:type="dxa"/>
            <w:vAlign w:val="bottom"/>
            <w:gridSpan w:val="2"/>
          </w:tcPr>
          <w:p>
            <w:pPr>
              <w:spacing w:after="0"/>
              <w:rPr>
                <w:sz w:val="20"/>
                <w:szCs w:val="20"/>
                <w:color w:val="auto"/>
              </w:rPr>
            </w:pPr>
            <w:r>
              <w:rPr>
                <w:rFonts w:ascii="Arial" w:cs="Arial" w:eastAsia="Arial" w:hAnsi="Arial"/>
                <w:sz w:val="14"/>
                <w:szCs w:val="14"/>
                <w:color w:val="auto"/>
              </w:rPr>
              <w:t>Workplace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Arial" w:cs="Arial" w:eastAsia="Arial" w:hAnsi="Arial"/>
                <w:sz w:val="14"/>
                <w:szCs w:val="14"/>
                <w:color w:val="auto"/>
              </w:rPr>
              <w:t>Safety</w:t>
            </w:r>
          </w:p>
        </w:tc>
        <w:tc>
          <w:tcPr>
            <w:tcW w:w="120" w:type="dxa"/>
            <w:vAlign w:val="bottom"/>
          </w:tcPr>
          <w:p>
            <w:pPr>
              <w:spacing w:after="0"/>
              <w:rPr>
                <w:sz w:val="15"/>
                <w:szCs w:val="15"/>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4"/>
                <w:szCs w:val="14"/>
                <w:color w:val="auto"/>
              </w:rPr>
              <w:t>18.8 %</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15.2 %</w:t>
            </w:r>
          </w:p>
        </w:tc>
        <w:tc>
          <w:tcPr>
            <w:tcW w:w="1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17.0 %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25.4 %</w:t>
            </w:r>
          </w:p>
        </w:tc>
        <w:tc>
          <w:tcPr>
            <w:tcW w:w="1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22.6 %</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24.0 %</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22.3 %</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20.5 %</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22.7 %</w:t>
            </w:r>
          </w:p>
        </w:tc>
        <w:tc>
          <w:tcPr>
            <w:tcW w:w="0" w:type="dxa"/>
            <w:vAlign w:val="bottom"/>
          </w:tcPr>
          <w:p>
            <w:pPr>
              <w:spacing w:after="0"/>
              <w:rPr>
                <w:sz w:val="1"/>
                <w:szCs w:val="1"/>
                <w:color w:val="auto"/>
              </w:rPr>
            </w:pPr>
          </w:p>
        </w:tc>
      </w:tr>
      <w:tr>
        <w:trPr>
          <w:trHeight w:val="30"/>
        </w:trPr>
        <w:tc>
          <w:tcPr>
            <w:tcW w:w="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Company</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22.5 %</w:t>
            </w: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17.9 %</w:t>
            </w: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20.3 %</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26.6 %</w:t>
            </w:r>
          </w:p>
        </w:tc>
        <w:tc>
          <w:tcPr>
            <w:tcW w:w="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21.4 %</w:t>
            </w: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24.0 %</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23.2 %</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22.1 %</w:t>
            </w: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1880" w:type="dxa"/>
            <w:vAlign w:val="bottom"/>
            <w:gridSpan w:val="7"/>
          </w:tcPr>
          <w:p>
            <w:pPr>
              <w:spacing w:after="0"/>
              <w:rPr>
                <w:sz w:val="20"/>
                <w:szCs w:val="20"/>
                <w:color w:val="auto"/>
              </w:rPr>
            </w:pPr>
            <w:r>
              <w:rPr>
                <w:rFonts w:ascii="Arial" w:cs="Arial" w:eastAsia="Arial" w:hAnsi="Arial"/>
                <w:sz w:val="14"/>
                <w:szCs w:val="14"/>
                <w:b w:val="1"/>
                <w:bCs w:val="1"/>
                <w:color w:val="auto"/>
              </w:rPr>
              <w:t>Net Earnings Reconciliation</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segment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profit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69,341</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52,194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4"/>
                <w:szCs w:val="14"/>
                <w:color w:val="auto"/>
                <w:w w:val="98"/>
              </w:rPr>
              <w:t>121,535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72,410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58,243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w w:val="98"/>
              </w:rPr>
              <w:t>130,652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70,240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68,738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269,631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880" w:type="dxa"/>
            <w:vAlign w:val="bottom"/>
            <w:gridSpan w:val="7"/>
          </w:tcPr>
          <w:p>
            <w:pPr>
              <w:spacing w:after="0"/>
              <w:rPr>
                <w:sz w:val="20"/>
                <w:szCs w:val="20"/>
                <w:color w:val="auto"/>
              </w:rPr>
            </w:pPr>
            <w:r>
              <w:rPr>
                <w:rFonts w:ascii="Arial" w:cs="Arial" w:eastAsia="Arial" w:hAnsi="Arial"/>
                <w:sz w:val="14"/>
                <w:szCs w:val="14"/>
                <w:color w:val="auto"/>
              </w:rPr>
              <w:t>Unallocated Amounts:</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Administrative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costs</w:t>
            </w: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(32,813)</w:t>
            </w: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99"/>
              </w:rPr>
              <w:t>(29,524)</w:t>
            </w: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(62,338)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(29,173)</w:t>
            </w: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(34,513)</w:t>
            </w: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(63,686)</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(30,764)</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(27,242)</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(121,692)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Restructuring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charges</w:t>
            </w:r>
          </w:p>
        </w:tc>
        <w:tc>
          <w:tcPr>
            <w:tcW w:w="120" w:type="dxa"/>
            <w:vAlign w:val="bottom"/>
          </w:tcPr>
          <w:p>
            <w:pPr>
              <w:spacing w:after="0"/>
              <w:rPr>
                <w:sz w:val="15"/>
                <w:szCs w:val="15"/>
                <w:color w:val="auto"/>
              </w:rPr>
            </w:pPr>
          </w:p>
        </w:tc>
        <w:tc>
          <w:tcPr>
            <w:tcW w:w="700" w:type="dxa"/>
            <w:vAlign w:val="bottom"/>
            <w:gridSpan w:val="4"/>
          </w:tcPr>
          <w:p>
            <w:pPr>
              <w:jc w:val="right"/>
              <w:ind w:right="140"/>
              <w:spacing w:after="0"/>
              <w:rPr>
                <w:sz w:val="20"/>
                <w:szCs w:val="20"/>
                <w:color w:val="auto"/>
              </w:rPr>
            </w:pPr>
            <w:r>
              <w:rPr>
                <w:rFonts w:ascii="Arial" w:cs="Arial" w:eastAsia="Arial" w:hAnsi="Arial"/>
                <w:sz w:val="14"/>
                <w:szCs w:val="14"/>
                <w:color w:val="auto"/>
              </w:rPr>
              <w:t>(6,839)</w:t>
            </w:r>
          </w:p>
        </w:tc>
        <w:tc>
          <w:tcPr>
            <w:tcW w:w="140" w:type="dxa"/>
            <w:vAlign w:val="bottom"/>
          </w:tcPr>
          <w:p>
            <w:pPr>
              <w:spacing w:after="0"/>
              <w:rPr>
                <w:sz w:val="15"/>
                <w:szCs w:val="15"/>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(4,324)</w:t>
            </w:r>
          </w:p>
        </w:tc>
        <w:tc>
          <w:tcPr>
            <w:tcW w:w="140" w:type="dxa"/>
            <w:vAlign w:val="bottom"/>
          </w:tcPr>
          <w:p>
            <w:pPr>
              <w:spacing w:after="0"/>
              <w:rPr>
                <w:sz w:val="15"/>
                <w:szCs w:val="15"/>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4"/>
                <w:szCs w:val="14"/>
                <w:color w:val="auto"/>
              </w:rPr>
              <w:t>(11,163)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(1,933)</w:t>
            </w:r>
          </w:p>
        </w:tc>
        <w:tc>
          <w:tcPr>
            <w:tcW w:w="140" w:type="dxa"/>
            <w:vAlign w:val="bottom"/>
          </w:tcPr>
          <w:p>
            <w:pPr>
              <w:spacing w:after="0"/>
              <w:rPr>
                <w:sz w:val="15"/>
                <w:szCs w:val="15"/>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(1,933)</w:t>
            </w:r>
          </w:p>
        </w:tc>
        <w:tc>
          <w:tcPr>
            <w:tcW w:w="140" w:type="dxa"/>
            <w:vAlign w:val="bottom"/>
          </w:tcPr>
          <w:p>
            <w:pPr>
              <w:spacing w:after="0"/>
              <w:rPr>
                <w:sz w:val="15"/>
                <w:szCs w:val="15"/>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(8,540)</w:t>
            </w:r>
          </w:p>
        </w:tc>
        <w:tc>
          <w:tcPr>
            <w:tcW w:w="120" w:type="dxa"/>
            <w:vAlign w:val="bottom"/>
          </w:tcPr>
          <w:p>
            <w:pPr>
              <w:spacing w:after="0"/>
              <w:rPr>
                <w:sz w:val="15"/>
                <w:szCs w:val="15"/>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(15,573)</w:t>
            </w:r>
          </w:p>
        </w:tc>
        <w:tc>
          <w:tcPr>
            <w:tcW w:w="160" w:type="dxa"/>
            <w:vAlign w:val="bottom"/>
          </w:tcPr>
          <w:p>
            <w:pPr>
              <w:spacing w:after="0"/>
              <w:rPr>
                <w:sz w:val="15"/>
                <w:szCs w:val="15"/>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(26,046)</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Impairment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charges</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96"/>
              </w:rPr>
              <w:t>(204,448)</w:t>
            </w: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(204,448)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Investment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and other</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5"/>
                <w:szCs w:val="15"/>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4"/>
                <w:szCs w:val="14"/>
                <w:color w:val="auto"/>
              </w:rPr>
              <w:t>761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255</w:t>
            </w:r>
          </w:p>
        </w:tc>
        <w:tc>
          <w:tcPr>
            <w:tcW w:w="140" w:type="dxa"/>
            <w:vAlign w:val="bottom"/>
          </w:tcPr>
          <w:p>
            <w:pPr>
              <w:spacing w:after="0"/>
              <w:rPr>
                <w:sz w:val="15"/>
                <w:szCs w:val="15"/>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4"/>
                <w:szCs w:val="14"/>
                <w:color w:val="auto"/>
              </w:rPr>
              <w:t>1,017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395</w:t>
            </w:r>
          </w:p>
        </w:tc>
        <w:tc>
          <w:tcPr>
            <w:tcW w:w="160" w:type="dxa"/>
            <w:vAlign w:val="bottom"/>
          </w:tcPr>
          <w:p>
            <w:pPr>
              <w:spacing w:after="0"/>
              <w:rPr>
                <w:sz w:val="15"/>
                <w:szCs w:val="15"/>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898</w:t>
            </w:r>
          </w:p>
        </w:tc>
        <w:tc>
          <w:tcPr>
            <w:tcW w:w="140" w:type="dxa"/>
            <w:vAlign w:val="bottom"/>
          </w:tcPr>
          <w:p>
            <w:pPr>
              <w:spacing w:after="0"/>
              <w:rPr>
                <w:sz w:val="15"/>
                <w:szCs w:val="15"/>
                <w:color w:val="auto"/>
              </w:rPr>
            </w:pPr>
          </w:p>
        </w:tc>
        <w:tc>
          <w:tcPr>
            <w:tcW w:w="720" w:type="dxa"/>
            <w:vAlign w:val="bottom"/>
          </w:tcPr>
          <w:p>
            <w:pPr>
              <w:jc w:val="right"/>
              <w:ind w:right="128"/>
              <w:spacing w:after="0"/>
              <w:rPr>
                <w:sz w:val="20"/>
                <w:szCs w:val="20"/>
                <w:color w:val="auto"/>
              </w:rPr>
            </w:pPr>
            <w:r>
              <w:rPr>
                <w:rFonts w:ascii="Arial" w:cs="Arial" w:eastAsia="Arial" w:hAnsi="Arial"/>
                <w:sz w:val="14"/>
                <w:szCs w:val="14"/>
                <w:color w:val="auto"/>
              </w:rPr>
              <w:t>1,294</w:t>
            </w:r>
          </w:p>
        </w:tc>
        <w:tc>
          <w:tcPr>
            <w:tcW w:w="140" w:type="dxa"/>
            <w:vAlign w:val="bottom"/>
          </w:tcPr>
          <w:p>
            <w:pPr>
              <w:spacing w:after="0"/>
              <w:rPr>
                <w:sz w:val="15"/>
                <w:szCs w:val="15"/>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1,132</w:t>
            </w:r>
          </w:p>
        </w:tc>
        <w:tc>
          <w:tcPr>
            <w:tcW w:w="120" w:type="dxa"/>
            <w:vAlign w:val="bottom"/>
          </w:tcPr>
          <w:p>
            <w:pPr>
              <w:spacing w:after="0"/>
              <w:rPr>
                <w:sz w:val="15"/>
                <w:szCs w:val="15"/>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1,098</w:t>
            </w:r>
          </w:p>
        </w:tc>
        <w:tc>
          <w:tcPr>
            <w:tcW w:w="160" w:type="dxa"/>
            <w:vAlign w:val="bottom"/>
          </w:tcPr>
          <w:p>
            <w:pPr>
              <w:spacing w:after="0"/>
              <w:rPr>
                <w:sz w:val="15"/>
                <w:szCs w:val="15"/>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3,523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(3,721)</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(3,676)</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(7,397)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(4,163)</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(4,406)</w:t>
            </w: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(8,569)</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(4,186)</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(3,887)</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(16,642)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Earnings (loss)</w:t>
            </w: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Arial" w:cs="Arial" w:eastAsia="Arial" w:hAnsi="Arial"/>
                <w:sz w:val="14"/>
                <w:szCs w:val="14"/>
                <w:color w:val="auto"/>
              </w:rPr>
              <w:t>from continuing</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Arial" w:cs="Arial" w:eastAsia="Arial" w:hAnsi="Arial"/>
                <w:sz w:val="14"/>
                <w:szCs w:val="14"/>
                <w:color w:val="auto"/>
                <w:w w:val="95"/>
              </w:rPr>
              <w:t>operations before</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26,729</w:t>
            </w:r>
          </w:p>
        </w:tc>
        <w:tc>
          <w:tcPr>
            <w:tcW w:w="14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128"/>
              <w:spacing w:after="0"/>
              <w:rPr>
                <w:sz w:val="20"/>
                <w:szCs w:val="20"/>
                <w:color w:val="auto"/>
              </w:rPr>
            </w:pPr>
            <w:r>
              <w:rPr>
                <w:rFonts w:ascii="Arial" w:cs="Arial" w:eastAsia="Arial" w:hAnsi="Arial"/>
                <w:sz w:val="14"/>
                <w:szCs w:val="14"/>
                <w:color w:val="auto"/>
              </w:rPr>
              <w:t>14,925</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128"/>
              <w:spacing w:after="0"/>
              <w:rPr>
                <w:sz w:val="20"/>
                <w:szCs w:val="20"/>
                <w:color w:val="auto"/>
              </w:rPr>
            </w:pPr>
            <w:r>
              <w:rPr>
                <w:rFonts w:ascii="Arial" w:cs="Arial" w:eastAsia="Arial" w:hAnsi="Arial"/>
                <w:sz w:val="14"/>
                <w:szCs w:val="14"/>
                <w:color w:val="auto"/>
              </w:rPr>
              <w:t>41,654</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color w:val="auto"/>
              </w:rPr>
              <w:t>39,469</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color w:val="auto"/>
              </w:rPr>
              <w:t>18,289</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128"/>
              <w:spacing w:after="0"/>
              <w:rPr>
                <w:sz w:val="20"/>
                <w:szCs w:val="20"/>
                <w:color w:val="auto"/>
              </w:rPr>
            </w:pPr>
            <w:r>
              <w:rPr>
                <w:rFonts w:ascii="Arial" w:cs="Arial" w:eastAsia="Arial" w:hAnsi="Arial"/>
                <w:sz w:val="14"/>
                <w:szCs w:val="14"/>
                <w:color w:val="auto"/>
              </w:rPr>
              <w:t>57,758</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ind w:right="108"/>
              <w:spacing w:after="0"/>
              <w:rPr>
                <w:sz w:val="20"/>
                <w:szCs w:val="20"/>
                <w:color w:val="auto"/>
              </w:rPr>
            </w:pPr>
            <w:r>
              <w:rPr>
                <w:rFonts w:ascii="Arial" w:cs="Arial" w:eastAsia="Arial" w:hAnsi="Arial"/>
                <w:sz w:val="14"/>
                <w:szCs w:val="14"/>
                <w:color w:val="auto"/>
              </w:rPr>
              <w:t>27,882</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w w:val="96"/>
              </w:rPr>
              <w:t>(181,314)</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8"/>
              <w:spacing w:after="0"/>
              <w:rPr>
                <w:sz w:val="20"/>
                <w:szCs w:val="20"/>
                <w:color w:val="auto"/>
              </w:rPr>
            </w:pPr>
            <w:r>
              <w:rPr>
                <w:rFonts w:ascii="Arial" w:cs="Arial" w:eastAsia="Arial" w:hAnsi="Arial"/>
                <w:sz w:val="14"/>
                <w:szCs w:val="14"/>
                <w:color w:val="auto"/>
              </w:rPr>
              <w:t>(95,674)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Arial" w:cs="Arial" w:eastAsia="Arial" w:hAnsi="Arial"/>
                <w:sz w:val="14"/>
                <w:szCs w:val="14"/>
                <w:color w:val="auto"/>
              </w:rPr>
              <w:t>income taxes</w:t>
            </w:r>
          </w:p>
        </w:tc>
        <w:tc>
          <w:tcPr>
            <w:tcW w:w="120" w:type="dxa"/>
            <w:vAlign w:val="bottom"/>
            <w:vMerge w:val="continue"/>
          </w:tcPr>
          <w:p>
            <w:pPr>
              <w:spacing w:after="0"/>
              <w:rPr>
                <w:sz w:val="16"/>
                <w:szCs w:val="16"/>
                <w:color w:val="auto"/>
              </w:rPr>
            </w:pPr>
          </w:p>
        </w:tc>
        <w:tc>
          <w:tcPr>
            <w:tcW w:w="5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(Dollars in Thousands, Except Per Share Amounts)</w:t>
      </w:r>
    </w:p>
    <w:p>
      <w:pPr>
        <w:spacing w:after="0" w:line="309" w:lineRule="exact"/>
        <w:rPr>
          <w:sz w:val="20"/>
          <w:szCs w:val="20"/>
          <w:color w:val="auto"/>
        </w:rPr>
      </w:pPr>
    </w:p>
    <w:p>
      <w:pPr>
        <w:ind w:left="60" w:right="1719"/>
        <w:spacing w:after="0" w:line="302" w:lineRule="auto"/>
        <w:rPr>
          <w:sz w:val="20"/>
          <w:szCs w:val="20"/>
          <w:color w:val="auto"/>
        </w:rPr>
      </w:pPr>
      <w:r>
        <w:rPr>
          <w:rFonts w:ascii="Arial" w:cs="Arial" w:eastAsia="Arial" w:hAnsi="Arial"/>
          <w:sz w:val="14"/>
          <w:szCs w:val="14"/>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EBITDA from Continuing Operations</w:t>
      </w:r>
    </w:p>
    <w:p>
      <w:pPr>
        <w:spacing w:after="0" w:line="72" w:lineRule="exact"/>
        <w:rPr>
          <w:sz w:val="20"/>
          <w:szCs w:val="20"/>
          <w:color w:val="auto"/>
        </w:rPr>
      </w:pPr>
    </w:p>
    <w:p>
      <w:pPr>
        <w:ind w:left="60" w:right="1599"/>
        <w:spacing w:after="0" w:line="298" w:lineRule="auto"/>
        <w:rPr>
          <w:sz w:val="20"/>
          <w:szCs w:val="20"/>
          <w:color w:val="auto"/>
        </w:rPr>
      </w:pPr>
      <w:r>
        <w:rPr>
          <w:rFonts w:ascii="Arial" w:cs="Arial" w:eastAsia="Arial" w:hAnsi="Arial"/>
          <w:sz w:val="13"/>
          <w:szCs w:val="13"/>
          <w:color w:val="auto"/>
        </w:rPr>
        <w:t>Brady is presenting EBITDA from Continuing Operations because it is used by many of our investors and lenders, and is presented as a convenience to them. EBITDA from Continuing Operations represents earnings (loss) from continuing operations before interest expense, income taxes, depreciation, amortization and impairment charges. EBITDA from Continuing Operations is not a calculation based on generally accepted accounting principles ("GAAP"). The amounts included in the EBITDA from Continuing Operations calculation, however, are derived from amounts included in the Consolidated Financial Statements and supporting footnote disclosures. EBITDA from Continuing Operations should not be considered as an alternative to net earnings or operating income as an indicator of the Company's operating performance, or as an alternative to net cash provided by operating activities as a measure of liquidity. The EBITDA from Continuing Operations measure presented may not always be comparable to similarly titled measures reported by other companies due to differences in the components of the calculation.</w:t>
      </w: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color w:val="auto"/>
              </w:rPr>
              <w:t>Fiscal 2014</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0"/>
        </w:trPr>
        <w:tc>
          <w:tcPr>
            <w:tcW w:w="4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420"/>
        </w:trPr>
        <w:tc>
          <w:tcPr>
            <w:tcW w:w="4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color w:val="auto"/>
              </w:rPr>
              <w:t>Q1</w:t>
            </w:r>
          </w:p>
        </w:tc>
        <w:tc>
          <w:tcPr>
            <w:tcW w:w="18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color w:val="auto"/>
              </w:rPr>
              <w:t>Q2</w:t>
            </w:r>
          </w:p>
        </w:tc>
        <w:tc>
          <w:tcPr>
            <w:tcW w:w="200" w:type="dxa"/>
            <w:vAlign w:val="bottom"/>
          </w:tcPr>
          <w:p>
            <w:pPr>
              <w:spacing w:after="0"/>
              <w:rPr>
                <w:sz w:val="24"/>
                <w:szCs w:val="24"/>
                <w:color w:val="auto"/>
              </w:rPr>
            </w:pPr>
          </w:p>
        </w:tc>
        <w:tc>
          <w:tcPr>
            <w:tcW w:w="640" w:type="dxa"/>
            <w:vAlign w:val="bottom"/>
            <w:gridSpan w:val="2"/>
          </w:tcPr>
          <w:p>
            <w:pPr>
              <w:ind w:left="100"/>
              <w:spacing w:after="0"/>
              <w:rPr>
                <w:sz w:val="20"/>
                <w:szCs w:val="20"/>
                <w:color w:val="auto"/>
              </w:rPr>
            </w:pPr>
            <w:r>
              <w:rPr>
                <w:rFonts w:ascii="Arial" w:cs="Arial" w:eastAsia="Arial" w:hAnsi="Arial"/>
                <w:sz w:val="14"/>
                <w:szCs w:val="14"/>
                <w:color w:val="auto"/>
              </w:rPr>
              <w:t>Q3</w:t>
            </w:r>
          </w:p>
        </w:tc>
        <w:tc>
          <w:tcPr>
            <w:tcW w:w="160" w:type="dxa"/>
            <w:vAlign w:val="bottom"/>
          </w:tcPr>
          <w:p>
            <w:pPr>
              <w:spacing w:after="0"/>
              <w:rPr>
                <w:sz w:val="24"/>
                <w:szCs w:val="24"/>
                <w:color w:val="auto"/>
              </w:rPr>
            </w:pPr>
          </w:p>
        </w:tc>
        <w:tc>
          <w:tcPr>
            <w:tcW w:w="720" w:type="dxa"/>
            <w:vAlign w:val="bottom"/>
            <w:gridSpan w:val="2"/>
          </w:tcPr>
          <w:p>
            <w:pPr>
              <w:ind w:left="160"/>
              <w:spacing w:after="0"/>
              <w:rPr>
                <w:sz w:val="20"/>
                <w:szCs w:val="20"/>
                <w:color w:val="auto"/>
              </w:rPr>
            </w:pPr>
            <w:r>
              <w:rPr>
                <w:rFonts w:ascii="Arial" w:cs="Arial" w:eastAsia="Arial" w:hAnsi="Arial"/>
                <w:sz w:val="14"/>
                <w:szCs w:val="14"/>
                <w:color w:val="auto"/>
              </w:rPr>
              <w:t>Q4</w:t>
            </w:r>
          </w:p>
        </w:tc>
        <w:tc>
          <w:tcPr>
            <w:tcW w:w="160" w:type="dxa"/>
            <w:vAlign w:val="bottom"/>
          </w:tcPr>
          <w:p>
            <w:pPr>
              <w:spacing w:after="0"/>
              <w:rPr>
                <w:sz w:val="24"/>
                <w:szCs w:val="24"/>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color w:val="auto"/>
              </w:rPr>
              <w:t>Total</w:t>
            </w:r>
          </w:p>
        </w:tc>
      </w:tr>
      <w:tr>
        <w:trPr>
          <w:trHeight w:val="30"/>
        </w:trPr>
        <w:tc>
          <w:tcPr>
            <w:tcW w:w="4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EBITDA from Continuing Operations:</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211"/>
        </w:trPr>
        <w:tc>
          <w:tcPr>
            <w:tcW w:w="4420" w:type="dxa"/>
            <w:vAlign w:val="bottom"/>
          </w:tcPr>
          <w:p>
            <w:pPr>
              <w:ind w:left="540"/>
              <w:spacing w:after="0"/>
              <w:rPr>
                <w:sz w:val="20"/>
                <w:szCs w:val="20"/>
                <w:color w:val="auto"/>
              </w:rPr>
            </w:pPr>
            <w:r>
              <w:rPr>
                <w:rFonts w:ascii="Arial" w:cs="Arial" w:eastAsia="Arial" w:hAnsi="Arial"/>
                <w:sz w:val="14"/>
                <w:szCs w:val="14"/>
                <w:color w:val="auto"/>
              </w:rPr>
              <w:t>Earnings from continuing operations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18,135</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10,517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28,652</w:t>
            </w:r>
          </w:p>
        </w:tc>
      </w:tr>
      <w:tr>
        <w:trPr>
          <w:trHeight w:val="30"/>
        </w:trPr>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1"/>
        </w:trPr>
        <w:tc>
          <w:tcPr>
            <w:tcW w:w="44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Interest expense</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3,676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7,397</w:t>
            </w:r>
          </w:p>
        </w:tc>
      </w:tr>
      <w:tr>
        <w:trPr>
          <w:trHeight w:val="211"/>
        </w:trPr>
        <w:tc>
          <w:tcPr>
            <w:tcW w:w="4420" w:type="dxa"/>
            <w:vAlign w:val="bottom"/>
          </w:tcPr>
          <w:p>
            <w:pPr>
              <w:ind w:left="780"/>
              <w:spacing w:after="0"/>
              <w:rPr>
                <w:sz w:val="20"/>
                <w:szCs w:val="20"/>
                <w:color w:val="auto"/>
              </w:rPr>
            </w:pPr>
            <w:r>
              <w:rPr>
                <w:rFonts w:ascii="Arial" w:cs="Arial" w:eastAsia="Arial" w:hAnsi="Arial"/>
                <w:sz w:val="14"/>
                <w:szCs w:val="14"/>
                <w:color w:val="auto"/>
              </w:rPr>
              <w:t>Income taxes</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8,594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13,002</w:t>
            </w:r>
          </w:p>
        </w:tc>
      </w:tr>
      <w:tr>
        <w:trPr>
          <w:trHeight w:val="30"/>
        </w:trPr>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41"/>
        </w:trPr>
        <w:tc>
          <w:tcPr>
            <w:tcW w:w="44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Depreciation 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22,342</w:t>
            </w:r>
          </w:p>
        </w:tc>
      </w:tr>
      <w:tr>
        <w:trPr>
          <w:trHeight w:val="225"/>
        </w:trPr>
        <w:tc>
          <w:tcPr>
            <w:tcW w:w="4420" w:type="dxa"/>
            <w:vAlign w:val="bottom"/>
          </w:tcPr>
          <w:p>
            <w:pPr>
              <w:ind w:left="540"/>
              <w:spacing w:after="0"/>
              <w:rPr>
                <w:sz w:val="20"/>
                <w:szCs w:val="20"/>
                <w:color w:val="auto"/>
              </w:rPr>
            </w:pPr>
            <w:r>
              <w:rPr>
                <w:rFonts w:ascii="Arial" w:cs="Arial" w:eastAsia="Arial" w:hAnsi="Arial"/>
                <w:sz w:val="14"/>
                <w:szCs w:val="14"/>
                <w:color w:val="auto"/>
              </w:rPr>
              <w:t>EBITDA from Continuing Operations (non-GAAP measure)</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41,328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30,065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71,393</w:t>
            </w:r>
          </w:p>
        </w:tc>
      </w:tr>
      <w:tr>
        <w:trPr>
          <w:trHeight w:val="20"/>
        </w:trPr>
        <w:tc>
          <w:tcPr>
            <w:tcW w:w="4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629"/>
        </w:trPr>
        <w:tc>
          <w:tcPr>
            <w:tcW w:w="4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color w:val="auto"/>
              </w:rPr>
              <w:t>Fiscal 2013</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0"/>
        </w:trPr>
        <w:tc>
          <w:tcPr>
            <w:tcW w:w="4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420"/>
        </w:trPr>
        <w:tc>
          <w:tcPr>
            <w:tcW w:w="4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color w:val="auto"/>
              </w:rPr>
              <w:t>Q1</w:t>
            </w:r>
          </w:p>
        </w:tc>
        <w:tc>
          <w:tcPr>
            <w:tcW w:w="180" w:type="dxa"/>
            <w:vAlign w:val="bottom"/>
          </w:tcPr>
          <w:p>
            <w:pPr>
              <w:spacing w:after="0"/>
              <w:rPr>
                <w:sz w:val="24"/>
                <w:szCs w:val="24"/>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color w:val="auto"/>
              </w:rPr>
              <w:t>Q2</w:t>
            </w:r>
          </w:p>
        </w:tc>
        <w:tc>
          <w:tcPr>
            <w:tcW w:w="200" w:type="dxa"/>
            <w:vAlign w:val="bottom"/>
          </w:tcPr>
          <w:p>
            <w:pPr>
              <w:spacing w:after="0"/>
              <w:rPr>
                <w:sz w:val="24"/>
                <w:szCs w:val="24"/>
                <w:color w:val="auto"/>
              </w:rPr>
            </w:pPr>
          </w:p>
        </w:tc>
        <w:tc>
          <w:tcPr>
            <w:tcW w:w="640" w:type="dxa"/>
            <w:vAlign w:val="bottom"/>
            <w:gridSpan w:val="2"/>
          </w:tcPr>
          <w:p>
            <w:pPr>
              <w:ind w:left="100"/>
              <w:spacing w:after="0"/>
              <w:rPr>
                <w:sz w:val="20"/>
                <w:szCs w:val="20"/>
                <w:color w:val="auto"/>
              </w:rPr>
            </w:pPr>
            <w:r>
              <w:rPr>
                <w:rFonts w:ascii="Arial" w:cs="Arial" w:eastAsia="Arial" w:hAnsi="Arial"/>
                <w:sz w:val="14"/>
                <w:szCs w:val="14"/>
                <w:color w:val="auto"/>
              </w:rPr>
              <w:t>Q3</w:t>
            </w:r>
          </w:p>
        </w:tc>
        <w:tc>
          <w:tcPr>
            <w:tcW w:w="160" w:type="dxa"/>
            <w:vAlign w:val="bottom"/>
          </w:tcPr>
          <w:p>
            <w:pPr>
              <w:spacing w:after="0"/>
              <w:rPr>
                <w:sz w:val="24"/>
                <w:szCs w:val="24"/>
                <w:color w:val="auto"/>
              </w:rPr>
            </w:pPr>
          </w:p>
        </w:tc>
        <w:tc>
          <w:tcPr>
            <w:tcW w:w="720" w:type="dxa"/>
            <w:vAlign w:val="bottom"/>
            <w:gridSpan w:val="2"/>
          </w:tcPr>
          <w:p>
            <w:pPr>
              <w:ind w:left="160"/>
              <w:spacing w:after="0"/>
              <w:rPr>
                <w:sz w:val="20"/>
                <w:szCs w:val="20"/>
                <w:color w:val="auto"/>
              </w:rPr>
            </w:pPr>
            <w:r>
              <w:rPr>
                <w:rFonts w:ascii="Arial" w:cs="Arial" w:eastAsia="Arial" w:hAnsi="Arial"/>
                <w:sz w:val="14"/>
                <w:szCs w:val="14"/>
                <w:color w:val="auto"/>
              </w:rPr>
              <w:t>Q4</w:t>
            </w:r>
          </w:p>
        </w:tc>
        <w:tc>
          <w:tcPr>
            <w:tcW w:w="160" w:type="dxa"/>
            <w:vAlign w:val="bottom"/>
          </w:tcPr>
          <w:p>
            <w:pPr>
              <w:spacing w:after="0"/>
              <w:rPr>
                <w:sz w:val="24"/>
                <w:szCs w:val="24"/>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color w:val="auto"/>
              </w:rPr>
              <w:t>Total</w:t>
            </w:r>
          </w:p>
        </w:tc>
      </w:tr>
      <w:tr>
        <w:trPr>
          <w:trHeight w:val="30"/>
        </w:trPr>
        <w:tc>
          <w:tcPr>
            <w:tcW w:w="4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EBITDA from Continuing Operations:</w:t>
            </w: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211"/>
        </w:trPr>
        <w:tc>
          <w:tcPr>
            <w:tcW w:w="4420" w:type="dxa"/>
            <w:vAlign w:val="bottom"/>
          </w:tcPr>
          <w:p>
            <w:pPr>
              <w:ind w:left="540"/>
              <w:spacing w:after="0"/>
              <w:rPr>
                <w:sz w:val="20"/>
                <w:szCs w:val="20"/>
                <w:color w:val="auto"/>
              </w:rPr>
            </w:pPr>
            <w:r>
              <w:rPr>
                <w:rFonts w:ascii="Arial" w:cs="Arial" w:eastAsia="Arial" w:hAnsi="Arial"/>
                <w:sz w:val="14"/>
                <w:szCs w:val="14"/>
                <w:color w:val="auto"/>
              </w:rPr>
              <w:t>Earnings (loss) from continuing operations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26,291</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(10,671)</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21,680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(175,557)</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(138,257)</w:t>
            </w:r>
          </w:p>
        </w:tc>
      </w:tr>
      <w:tr>
        <w:trPr>
          <w:trHeight w:val="30"/>
        </w:trPr>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1"/>
        </w:trPr>
        <w:tc>
          <w:tcPr>
            <w:tcW w:w="44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Interest expense</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3,886</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16,641</w:t>
            </w:r>
          </w:p>
        </w:tc>
      </w:tr>
      <w:tr>
        <w:trPr>
          <w:trHeight w:val="211"/>
        </w:trPr>
        <w:tc>
          <w:tcPr>
            <w:tcW w:w="4420" w:type="dxa"/>
            <w:vAlign w:val="bottom"/>
          </w:tcPr>
          <w:p>
            <w:pPr>
              <w:ind w:left="780"/>
              <w:spacing w:after="0"/>
              <w:rPr>
                <w:sz w:val="20"/>
                <w:szCs w:val="20"/>
                <w:color w:val="auto"/>
              </w:rPr>
            </w:pPr>
            <w:r>
              <w:rPr>
                <w:rFonts w:ascii="Arial" w:cs="Arial" w:eastAsia="Arial" w:hAnsi="Arial"/>
                <w:sz w:val="14"/>
                <w:szCs w:val="14"/>
                <w:color w:val="auto"/>
              </w:rPr>
              <w:t>Income taxes</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13,178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28,960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6,202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(5,757)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42,583</w:t>
            </w:r>
          </w:p>
        </w:tc>
      </w:tr>
      <w:tr>
        <w:trPr>
          <w:trHeight w:val="30"/>
        </w:trPr>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1"/>
        </w:trPr>
        <w:tc>
          <w:tcPr>
            <w:tcW w:w="44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Depreciation and amortization</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7,401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8,773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11,650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12,103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39,927</w:t>
            </w:r>
          </w:p>
        </w:tc>
      </w:tr>
      <w:tr>
        <w:trPr>
          <w:trHeight w:val="211"/>
        </w:trPr>
        <w:tc>
          <w:tcPr>
            <w:tcW w:w="4420" w:type="dxa"/>
            <w:vAlign w:val="bottom"/>
          </w:tcPr>
          <w:p>
            <w:pPr>
              <w:ind w:left="780"/>
              <w:spacing w:after="0"/>
              <w:rPr>
                <w:sz w:val="20"/>
                <w:szCs w:val="20"/>
                <w:color w:val="auto"/>
              </w:rPr>
            </w:pPr>
            <w:r>
              <w:rPr>
                <w:rFonts w:ascii="Arial" w:cs="Arial" w:eastAsia="Arial" w:hAnsi="Arial"/>
                <w:sz w:val="14"/>
                <w:szCs w:val="14"/>
                <w:color w:val="auto"/>
              </w:rPr>
              <w:t>Intangible asset write-down in restructuring charges</w:t>
            </w:r>
          </w:p>
        </w:tc>
        <w:tc>
          <w:tcPr>
            <w:tcW w:w="2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3,207</w:t>
            </w:r>
          </w:p>
        </w:tc>
      </w:tr>
      <w:tr>
        <w:trPr>
          <w:trHeight w:val="30"/>
        </w:trPr>
        <w:tc>
          <w:tcPr>
            <w:tcW w:w="4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41"/>
        </w:trPr>
        <w:tc>
          <w:tcPr>
            <w:tcW w:w="44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4"/>
                <w:szCs w:val="14"/>
                <w:color w:val="auto"/>
              </w:rPr>
              <w:t>Impairment charges</w:t>
            </w: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204,448</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204,448</w:t>
            </w:r>
          </w:p>
        </w:tc>
      </w:tr>
      <w:tr>
        <w:trPr>
          <w:trHeight w:val="213"/>
        </w:trPr>
        <w:tc>
          <w:tcPr>
            <w:tcW w:w="4420" w:type="dxa"/>
            <w:vAlign w:val="bottom"/>
          </w:tcPr>
          <w:p>
            <w:pPr>
              <w:ind w:left="540"/>
              <w:spacing w:after="0"/>
              <w:rPr>
                <w:sz w:val="20"/>
                <w:szCs w:val="20"/>
                <w:color w:val="auto"/>
              </w:rPr>
            </w:pPr>
            <w:r>
              <w:rPr>
                <w:rFonts w:ascii="Arial" w:cs="Arial" w:eastAsia="Arial" w:hAnsi="Arial"/>
                <w:sz w:val="14"/>
                <w:szCs w:val="14"/>
                <w:color w:val="auto"/>
              </w:rPr>
              <w:t>EBITDA from Continuing Operations (non-GAAP measure)</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51,033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31,468</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46,925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39,123</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168,549</w:t>
            </w:r>
          </w:p>
        </w:tc>
      </w:tr>
      <w:tr>
        <w:trPr>
          <w:trHeight w:val="20"/>
        </w:trPr>
        <w:tc>
          <w:tcPr>
            <w:tcW w:w="4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706" w:right="1440"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auto"/>
        </w:rPr>
        <w:t>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 Except Per Share Amounts)</w:t>
      </w:r>
    </w:p>
    <w:p>
      <w:pPr>
        <w:spacing w:after="0" w:line="31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EBITDA from Discontinued Operations</w:t>
      </w:r>
    </w:p>
    <w:p>
      <w:pPr>
        <w:spacing w:after="0" w:line="72" w:lineRule="exact"/>
        <w:rPr>
          <w:sz w:val="20"/>
          <w:szCs w:val="20"/>
          <w:color w:val="auto"/>
        </w:rPr>
      </w:pPr>
    </w:p>
    <w:p>
      <w:pPr>
        <w:jc w:val="both"/>
        <w:ind w:left="60" w:right="1559"/>
        <w:spacing w:after="0" w:line="298" w:lineRule="auto"/>
        <w:rPr>
          <w:sz w:val="20"/>
          <w:szCs w:val="20"/>
          <w:color w:val="auto"/>
        </w:rPr>
      </w:pPr>
      <w:r>
        <w:rPr>
          <w:rFonts w:ascii="Arial" w:cs="Arial" w:eastAsia="Arial" w:hAnsi="Arial"/>
          <w:sz w:val="13"/>
          <w:szCs w:val="13"/>
          <w:color w:val="auto"/>
        </w:rPr>
        <w:t>Brady is presenting EBITDA from Discontinued Operations because it is used by many of our investors and lenders, and is presented as a convenience to them. EBITDA from Discontinued Operations represents earnings (loss) from discontinued operations before interest expense, income taxes, depreciation, amortization, and impairment charges. EBITDA from Discontinued Operations is not a calculation based on generally accepted accounting principles ("GAAP"). The amounts included in the EBITDA from Discontinued Operations calculation, however, are derived from amounts included in the Consolidated Financial Statements and supporting footnote disclosures. EBITDA from Discontinued Operations should not be considered as an alternative to net earnings or operating income as an indicator of the Company's operating performance, or as an alternative to net cash provided by operating activities as a measure of liquidity. The EBITDA from Discontinued Operations measure presented may not always be comparable to similarly titled measures reported by other companies due to differences in the components of the calculation.</w:t>
      </w:r>
    </w:p>
    <w:p>
      <w:pPr>
        <w:spacing w:after="0" w:line="200" w:lineRule="exact"/>
        <w:rPr>
          <w:sz w:val="20"/>
          <w:szCs w:val="20"/>
          <w:color w:val="auto"/>
        </w:rPr>
      </w:pP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3"/>
          </w:tcPr>
          <w:p>
            <w:pPr>
              <w:ind w:left="100"/>
              <w:spacing w:after="0"/>
              <w:rPr>
                <w:sz w:val="20"/>
                <w:szCs w:val="20"/>
                <w:color w:val="auto"/>
              </w:rPr>
            </w:pPr>
            <w:r>
              <w:rPr>
                <w:rFonts w:ascii="Arial" w:cs="Arial" w:eastAsia="Arial" w:hAnsi="Arial"/>
                <w:sz w:val="14"/>
                <w:szCs w:val="14"/>
                <w:color w:val="auto"/>
              </w:rPr>
              <w:t>Fiscal 2014</w:t>
            </w: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0"/>
        </w:trPr>
        <w:tc>
          <w:tcPr>
            <w:tcW w:w="4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444"/>
        </w:trPr>
        <w:tc>
          <w:tcPr>
            <w:tcW w:w="4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color w:val="auto"/>
              </w:rPr>
              <w:t>Q1</w:t>
            </w:r>
          </w:p>
        </w:tc>
        <w:tc>
          <w:tcPr>
            <w:tcW w:w="20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color w:val="auto"/>
              </w:rPr>
              <w:t>Q2</w:t>
            </w:r>
          </w:p>
        </w:tc>
        <w:tc>
          <w:tcPr>
            <w:tcW w:w="180" w:type="dxa"/>
            <w:vAlign w:val="bottom"/>
          </w:tcPr>
          <w:p>
            <w:pPr>
              <w:spacing w:after="0"/>
              <w:rPr>
                <w:sz w:val="24"/>
                <w:szCs w:val="24"/>
                <w:color w:val="auto"/>
              </w:rPr>
            </w:pPr>
          </w:p>
        </w:tc>
        <w:tc>
          <w:tcPr>
            <w:tcW w:w="700" w:type="dxa"/>
            <w:vAlign w:val="bottom"/>
            <w:gridSpan w:val="2"/>
          </w:tcPr>
          <w:p>
            <w:pPr>
              <w:ind w:left="140"/>
              <w:spacing w:after="0"/>
              <w:rPr>
                <w:sz w:val="20"/>
                <w:szCs w:val="20"/>
                <w:color w:val="auto"/>
              </w:rPr>
            </w:pPr>
            <w:r>
              <w:rPr>
                <w:rFonts w:ascii="Arial" w:cs="Arial" w:eastAsia="Arial" w:hAnsi="Arial"/>
                <w:sz w:val="14"/>
                <w:szCs w:val="14"/>
                <w:color w:val="auto"/>
              </w:rPr>
              <w:t>Q3</w:t>
            </w:r>
          </w:p>
        </w:tc>
        <w:tc>
          <w:tcPr>
            <w:tcW w:w="20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color w:val="auto"/>
              </w:rPr>
              <w:t>Q4</w:t>
            </w:r>
          </w:p>
        </w:tc>
        <w:tc>
          <w:tcPr>
            <w:tcW w:w="160" w:type="dxa"/>
            <w:vAlign w:val="bottom"/>
          </w:tcPr>
          <w:p>
            <w:pPr>
              <w:spacing w:after="0"/>
              <w:rPr>
                <w:sz w:val="24"/>
                <w:szCs w:val="24"/>
                <w:color w:val="auto"/>
              </w:rPr>
            </w:pPr>
          </w:p>
        </w:tc>
        <w:tc>
          <w:tcPr>
            <w:tcW w:w="620" w:type="dxa"/>
            <w:vAlign w:val="bottom"/>
          </w:tcPr>
          <w:p>
            <w:pPr>
              <w:jc w:val="right"/>
              <w:ind w:right="168"/>
              <w:spacing w:after="0"/>
              <w:rPr>
                <w:sz w:val="20"/>
                <w:szCs w:val="20"/>
                <w:color w:val="auto"/>
              </w:rPr>
            </w:pPr>
            <w:r>
              <w:rPr>
                <w:rFonts w:ascii="Arial" w:cs="Arial" w:eastAsia="Arial" w:hAnsi="Arial"/>
                <w:sz w:val="14"/>
                <w:szCs w:val="14"/>
                <w:color w:val="auto"/>
              </w:rPr>
              <w:t>Total</w:t>
            </w:r>
          </w:p>
        </w:tc>
      </w:tr>
      <w:tr>
        <w:trPr>
          <w:trHeight w:val="30"/>
        </w:trPr>
        <w:tc>
          <w:tcPr>
            <w:tcW w:w="4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3"/>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EBITDA from Discontinued Operations:</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r>
      <w:tr>
        <w:trPr>
          <w:trHeight w:val="211"/>
        </w:trPr>
        <w:tc>
          <w:tcPr>
            <w:tcW w:w="4400" w:type="dxa"/>
            <w:vAlign w:val="bottom"/>
          </w:tcPr>
          <w:p>
            <w:pPr>
              <w:ind w:left="600"/>
              <w:spacing w:after="0"/>
              <w:rPr>
                <w:sz w:val="20"/>
                <w:szCs w:val="20"/>
                <w:color w:val="auto"/>
              </w:rPr>
            </w:pPr>
            <w:r>
              <w:rPr>
                <w:rFonts w:ascii="Arial" w:cs="Arial" w:eastAsia="Arial" w:hAnsi="Arial"/>
                <w:sz w:val="14"/>
                <w:szCs w:val="14"/>
                <w:color w:val="auto"/>
              </w:rPr>
              <w:t>Earnings from discontinued operations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5,794</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5,907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11,701</w:t>
            </w:r>
          </w:p>
        </w:tc>
      </w:tr>
      <w:tr>
        <w:trPr>
          <w:trHeight w:val="30"/>
        </w:trPr>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1"/>
        </w:trPr>
        <w:tc>
          <w:tcPr>
            <w:tcW w:w="44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Interest expense</w:t>
            </w: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1"/>
        </w:trPr>
        <w:tc>
          <w:tcPr>
            <w:tcW w:w="4400" w:type="dxa"/>
            <w:vAlign w:val="bottom"/>
          </w:tcPr>
          <w:p>
            <w:pPr>
              <w:ind w:left="840"/>
              <w:spacing w:after="0"/>
              <w:rPr>
                <w:sz w:val="20"/>
                <w:szCs w:val="20"/>
                <w:color w:val="auto"/>
              </w:rPr>
            </w:pPr>
            <w:r>
              <w:rPr>
                <w:rFonts w:ascii="Arial" w:cs="Arial" w:eastAsia="Arial" w:hAnsi="Arial"/>
                <w:sz w:val="14"/>
                <w:szCs w:val="14"/>
                <w:color w:val="auto"/>
              </w:rPr>
              <w:t>Income taxes</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1,060</w:t>
            </w:r>
          </w:p>
        </w:tc>
      </w:tr>
      <w:tr>
        <w:trPr>
          <w:trHeight w:val="30"/>
        </w:trPr>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1"/>
        </w:trPr>
        <w:tc>
          <w:tcPr>
            <w:tcW w:w="44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Depreciation and amortization</w:t>
            </w: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25"/>
        </w:trPr>
        <w:tc>
          <w:tcPr>
            <w:tcW w:w="4400" w:type="dxa"/>
            <w:vAlign w:val="bottom"/>
          </w:tcPr>
          <w:p>
            <w:pPr>
              <w:ind w:left="600"/>
              <w:spacing w:after="0"/>
              <w:rPr>
                <w:sz w:val="20"/>
                <w:szCs w:val="20"/>
                <w:color w:val="auto"/>
              </w:rPr>
            </w:pPr>
            <w:r>
              <w:rPr>
                <w:rFonts w:ascii="Arial" w:cs="Arial" w:eastAsia="Arial" w:hAnsi="Arial"/>
                <w:sz w:val="14"/>
                <w:szCs w:val="14"/>
                <w:color w:val="auto"/>
                <w:w w:val="99"/>
              </w:rPr>
              <w:t>EBITDA from Discontinued Operations (non-GAAP measure)</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8,329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4,432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12,761</w:t>
            </w:r>
          </w:p>
        </w:tc>
      </w:tr>
      <w:tr>
        <w:trPr>
          <w:trHeight w:val="20"/>
        </w:trPr>
        <w:tc>
          <w:tcPr>
            <w:tcW w:w="4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677"/>
        </w:trPr>
        <w:tc>
          <w:tcPr>
            <w:tcW w:w="4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ind w:left="100"/>
              <w:spacing w:after="0"/>
              <w:rPr>
                <w:sz w:val="20"/>
                <w:szCs w:val="20"/>
                <w:color w:val="auto"/>
              </w:rPr>
            </w:pPr>
            <w:r>
              <w:rPr>
                <w:rFonts w:ascii="Arial" w:cs="Arial" w:eastAsia="Arial" w:hAnsi="Arial"/>
                <w:sz w:val="14"/>
                <w:szCs w:val="14"/>
                <w:color w:val="auto"/>
              </w:rPr>
              <w:t>Fiscal 2013</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0"/>
        </w:trPr>
        <w:tc>
          <w:tcPr>
            <w:tcW w:w="4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444"/>
        </w:trPr>
        <w:tc>
          <w:tcPr>
            <w:tcW w:w="4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color w:val="auto"/>
              </w:rPr>
              <w:t>Q1</w:t>
            </w:r>
          </w:p>
        </w:tc>
        <w:tc>
          <w:tcPr>
            <w:tcW w:w="20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color w:val="auto"/>
              </w:rPr>
              <w:t>Q2</w:t>
            </w:r>
          </w:p>
        </w:tc>
        <w:tc>
          <w:tcPr>
            <w:tcW w:w="180" w:type="dxa"/>
            <w:vAlign w:val="bottom"/>
          </w:tcPr>
          <w:p>
            <w:pPr>
              <w:spacing w:after="0"/>
              <w:rPr>
                <w:sz w:val="24"/>
                <w:szCs w:val="24"/>
                <w:color w:val="auto"/>
              </w:rPr>
            </w:pPr>
          </w:p>
        </w:tc>
        <w:tc>
          <w:tcPr>
            <w:tcW w:w="700" w:type="dxa"/>
            <w:vAlign w:val="bottom"/>
            <w:gridSpan w:val="2"/>
          </w:tcPr>
          <w:p>
            <w:pPr>
              <w:ind w:left="140"/>
              <w:spacing w:after="0"/>
              <w:rPr>
                <w:sz w:val="20"/>
                <w:szCs w:val="20"/>
                <w:color w:val="auto"/>
              </w:rPr>
            </w:pPr>
            <w:r>
              <w:rPr>
                <w:rFonts w:ascii="Arial" w:cs="Arial" w:eastAsia="Arial" w:hAnsi="Arial"/>
                <w:sz w:val="14"/>
                <w:szCs w:val="14"/>
                <w:color w:val="auto"/>
              </w:rPr>
              <w:t>Q3</w:t>
            </w:r>
          </w:p>
        </w:tc>
        <w:tc>
          <w:tcPr>
            <w:tcW w:w="20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color w:val="auto"/>
              </w:rPr>
              <w:t>Q4</w:t>
            </w:r>
          </w:p>
        </w:tc>
        <w:tc>
          <w:tcPr>
            <w:tcW w:w="160" w:type="dxa"/>
            <w:vAlign w:val="bottom"/>
          </w:tcPr>
          <w:p>
            <w:pPr>
              <w:spacing w:after="0"/>
              <w:rPr>
                <w:sz w:val="24"/>
                <w:szCs w:val="24"/>
                <w:color w:val="auto"/>
              </w:rPr>
            </w:pPr>
          </w:p>
        </w:tc>
        <w:tc>
          <w:tcPr>
            <w:tcW w:w="620" w:type="dxa"/>
            <w:vAlign w:val="bottom"/>
          </w:tcPr>
          <w:p>
            <w:pPr>
              <w:jc w:val="right"/>
              <w:ind w:right="168"/>
              <w:spacing w:after="0"/>
              <w:rPr>
                <w:sz w:val="20"/>
                <w:szCs w:val="20"/>
                <w:color w:val="auto"/>
              </w:rPr>
            </w:pPr>
            <w:r>
              <w:rPr>
                <w:rFonts w:ascii="Arial" w:cs="Arial" w:eastAsia="Arial" w:hAnsi="Arial"/>
                <w:sz w:val="14"/>
                <w:szCs w:val="14"/>
                <w:color w:val="auto"/>
              </w:rPr>
              <w:t>Total</w:t>
            </w:r>
          </w:p>
        </w:tc>
      </w:tr>
      <w:tr>
        <w:trPr>
          <w:trHeight w:val="30"/>
        </w:trPr>
        <w:tc>
          <w:tcPr>
            <w:tcW w:w="4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3"/>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EBITDA from Discontinued Operations:</w:t>
            </w:r>
          </w:p>
        </w:tc>
        <w:tc>
          <w:tcPr>
            <w:tcW w:w="18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r>
      <w:tr>
        <w:trPr>
          <w:trHeight w:val="211"/>
        </w:trPr>
        <w:tc>
          <w:tcPr>
            <w:tcW w:w="4400" w:type="dxa"/>
            <w:vAlign w:val="bottom"/>
          </w:tcPr>
          <w:p>
            <w:pPr>
              <w:ind w:left="600"/>
              <w:spacing w:after="0"/>
              <w:rPr>
                <w:sz w:val="20"/>
                <w:szCs w:val="20"/>
                <w:color w:val="auto"/>
              </w:rPr>
            </w:pPr>
            <w:r>
              <w:rPr>
                <w:rFonts w:ascii="Arial" w:cs="Arial" w:eastAsia="Arial" w:hAnsi="Arial"/>
                <w:sz w:val="14"/>
                <w:szCs w:val="14"/>
                <w:color w:val="auto"/>
              </w:rPr>
              <w:t>Earnings (loss) from discontinued operations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897</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1,987</w:t>
            </w:r>
          </w:p>
        </w:tc>
        <w:tc>
          <w:tcPr>
            <w:tcW w:w="8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(17,447)</w:t>
            </w:r>
          </w:p>
        </w:tc>
        <w:tc>
          <w:tcPr>
            <w:tcW w:w="8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(1,714)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(16,277)</w:t>
            </w:r>
          </w:p>
        </w:tc>
      </w:tr>
      <w:tr>
        <w:trPr>
          <w:trHeight w:val="30"/>
        </w:trPr>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1"/>
        </w:trPr>
        <w:tc>
          <w:tcPr>
            <w:tcW w:w="44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Interest expense</w:t>
            </w:r>
          </w:p>
        </w:tc>
        <w:tc>
          <w:tcPr>
            <w:tcW w:w="1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1"/>
        </w:trPr>
        <w:tc>
          <w:tcPr>
            <w:tcW w:w="4400" w:type="dxa"/>
            <w:vAlign w:val="bottom"/>
          </w:tcPr>
          <w:p>
            <w:pPr>
              <w:ind w:left="840"/>
              <w:spacing w:after="0"/>
              <w:rPr>
                <w:sz w:val="20"/>
                <w:szCs w:val="20"/>
                <w:color w:val="auto"/>
              </w:rPr>
            </w:pPr>
            <w:r>
              <w:rPr>
                <w:rFonts w:ascii="Arial" w:cs="Arial" w:eastAsia="Arial" w:hAnsi="Arial"/>
                <w:sz w:val="14"/>
                <w:szCs w:val="14"/>
                <w:color w:val="auto"/>
              </w:rPr>
              <w:t>Income taxes</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1,666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1,393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1,340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4,702</w:t>
            </w:r>
          </w:p>
        </w:tc>
      </w:tr>
      <w:tr>
        <w:trPr>
          <w:trHeight w:val="30"/>
        </w:trPr>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1"/>
        </w:trPr>
        <w:tc>
          <w:tcPr>
            <w:tcW w:w="44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Depreciation and amortization</w:t>
            </w:r>
          </w:p>
        </w:tc>
        <w:tc>
          <w:tcPr>
            <w:tcW w:w="1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2,991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2,881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2,926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8,798</w:t>
            </w:r>
          </w:p>
        </w:tc>
      </w:tr>
      <w:tr>
        <w:trPr>
          <w:trHeight w:val="211"/>
        </w:trPr>
        <w:tc>
          <w:tcPr>
            <w:tcW w:w="4400" w:type="dxa"/>
            <w:vAlign w:val="bottom"/>
          </w:tcPr>
          <w:p>
            <w:pPr>
              <w:ind w:left="840"/>
              <w:spacing w:after="0"/>
              <w:rPr>
                <w:sz w:val="20"/>
                <w:szCs w:val="20"/>
                <w:color w:val="auto"/>
              </w:rPr>
            </w:pPr>
            <w:r>
              <w:rPr>
                <w:rFonts w:ascii="Arial" w:cs="Arial" w:eastAsia="Arial" w:hAnsi="Arial"/>
                <w:sz w:val="14"/>
                <w:szCs w:val="14"/>
                <w:color w:val="auto"/>
              </w:rPr>
              <w:t>Loss on write-down of assets held for sale</w:t>
            </w:r>
          </w:p>
        </w:tc>
        <w:tc>
          <w:tcPr>
            <w:tcW w:w="1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15,658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15,658</w:t>
            </w:r>
          </w:p>
        </w:tc>
      </w:tr>
      <w:tr>
        <w:trPr>
          <w:trHeight w:val="30"/>
        </w:trPr>
        <w:tc>
          <w:tcPr>
            <w:tcW w:w="4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3"/>
        </w:trPr>
        <w:tc>
          <w:tcPr>
            <w:tcW w:w="4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w w:val="99"/>
              </w:rPr>
              <w:t>EBITDA from Discontinued Operations (non-GAAP measure)</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6,534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2,530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12,881</w:t>
            </w:r>
          </w:p>
        </w:tc>
      </w:tr>
      <w:tr>
        <w:trPr>
          <w:trHeight w:val="20"/>
        </w:trPr>
        <w:tc>
          <w:tcPr>
            <w:tcW w:w="4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 Except Per Share Amounts)</w:t>
      </w:r>
    </w:p>
    <w:p>
      <w:pPr>
        <w:spacing w:after="0" w:line="31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EBITDA:</w:t>
      </w:r>
    </w:p>
    <w:p>
      <w:pPr>
        <w:spacing w:after="0" w:line="72" w:lineRule="exact"/>
        <w:rPr>
          <w:sz w:val="20"/>
          <w:szCs w:val="20"/>
          <w:color w:val="auto"/>
        </w:rPr>
      </w:pPr>
    </w:p>
    <w:p>
      <w:pPr>
        <w:jc w:val="both"/>
        <w:ind w:left="60" w:right="1579"/>
        <w:spacing w:after="0" w:line="275" w:lineRule="auto"/>
        <w:rPr>
          <w:sz w:val="20"/>
          <w:szCs w:val="20"/>
          <w:color w:val="auto"/>
        </w:rPr>
      </w:pPr>
      <w:r>
        <w:rPr>
          <w:rFonts w:ascii="Arial" w:cs="Arial" w:eastAsia="Arial" w:hAnsi="Arial"/>
          <w:sz w:val="14"/>
          <w:szCs w:val="14"/>
          <w:color w:val="auto"/>
        </w:rPr>
        <w:t>Brady is presenting EBITDA because it is used by many of our investors and lenders, and is presented as a convenience to them. EBITDA represents net earnings (loss) before interest expense, income taxes, depreciation, amortization and impairment charges. EBITDA is not a calculation based on generally accepted accounting principles ("GAAP"). The amounts included in the EBITDA calculation, however, are derived from amounts included in the Consolidated Financial Statements and supporting footnote disclosures. EBITDA should not be considered as an alternative to net earnings or operating income as an indicator of the Company's operating performance, or as an alternative to net cash provided by operating activities as a measure of liquidity. The EBITDA measure presented may not always be comparable to similarly titled measures reported by other companies due to differences in the components of the calculation.</w:t>
      </w:r>
    </w:p>
    <w:p>
      <w:pPr>
        <w:spacing w:after="0" w:line="200" w:lineRule="exact"/>
        <w:rPr>
          <w:sz w:val="20"/>
          <w:szCs w:val="20"/>
          <w:color w:val="auto"/>
        </w:rPr>
      </w:pP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color w:val="auto"/>
              </w:rPr>
              <w:t>Fiscal 2014</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0"/>
        </w:trPr>
        <w:tc>
          <w:tcPr>
            <w:tcW w:w="4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444"/>
        </w:trPr>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color w:val="auto"/>
              </w:rPr>
              <w:t>Q1</w:t>
            </w:r>
          </w:p>
        </w:tc>
        <w:tc>
          <w:tcPr>
            <w:tcW w:w="18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color w:val="auto"/>
              </w:rPr>
              <w:t>Q2</w:t>
            </w:r>
          </w:p>
        </w:tc>
        <w:tc>
          <w:tcPr>
            <w:tcW w:w="20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color w:val="auto"/>
              </w:rPr>
              <w:t>Q3</w:t>
            </w:r>
          </w:p>
        </w:tc>
        <w:tc>
          <w:tcPr>
            <w:tcW w:w="140" w:type="dxa"/>
            <w:vAlign w:val="bottom"/>
          </w:tcPr>
          <w:p>
            <w:pPr>
              <w:spacing w:after="0"/>
              <w:rPr>
                <w:sz w:val="24"/>
                <w:szCs w:val="24"/>
                <w:color w:val="auto"/>
              </w:rPr>
            </w:pPr>
          </w:p>
        </w:tc>
        <w:tc>
          <w:tcPr>
            <w:tcW w:w="740" w:type="dxa"/>
            <w:vAlign w:val="bottom"/>
            <w:gridSpan w:val="2"/>
          </w:tcPr>
          <w:p>
            <w:pPr>
              <w:ind w:left="160"/>
              <w:spacing w:after="0"/>
              <w:rPr>
                <w:sz w:val="20"/>
                <w:szCs w:val="20"/>
                <w:color w:val="auto"/>
              </w:rPr>
            </w:pPr>
            <w:r>
              <w:rPr>
                <w:rFonts w:ascii="Arial" w:cs="Arial" w:eastAsia="Arial" w:hAnsi="Arial"/>
                <w:sz w:val="14"/>
                <w:szCs w:val="14"/>
                <w:color w:val="auto"/>
              </w:rPr>
              <w:t>Q4</w:t>
            </w:r>
          </w:p>
        </w:tc>
        <w:tc>
          <w:tcPr>
            <w:tcW w:w="160" w:type="dxa"/>
            <w:vAlign w:val="bottom"/>
          </w:tcPr>
          <w:p>
            <w:pPr>
              <w:spacing w:after="0"/>
              <w:rPr>
                <w:sz w:val="24"/>
                <w:szCs w:val="24"/>
                <w:color w:val="auto"/>
              </w:rPr>
            </w:pPr>
          </w:p>
        </w:tc>
        <w:tc>
          <w:tcPr>
            <w:tcW w:w="620" w:type="dxa"/>
            <w:vAlign w:val="bottom"/>
          </w:tcPr>
          <w:p>
            <w:pPr>
              <w:jc w:val="right"/>
              <w:ind w:right="168"/>
              <w:spacing w:after="0"/>
              <w:rPr>
                <w:sz w:val="20"/>
                <w:szCs w:val="20"/>
                <w:color w:val="auto"/>
              </w:rPr>
            </w:pPr>
            <w:r>
              <w:rPr>
                <w:rFonts w:ascii="Arial" w:cs="Arial" w:eastAsia="Arial" w:hAnsi="Arial"/>
                <w:sz w:val="14"/>
                <w:szCs w:val="14"/>
                <w:color w:val="auto"/>
              </w:rPr>
              <w:t>Total</w:t>
            </w:r>
          </w:p>
        </w:tc>
      </w:tr>
      <w:tr>
        <w:trPr>
          <w:trHeight w:val="30"/>
        </w:trPr>
        <w:tc>
          <w:tcPr>
            <w:tcW w:w="4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3"/>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EBITDA:</w:t>
            </w: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r>
      <w:tr>
        <w:trPr>
          <w:trHeight w:val="211"/>
        </w:trPr>
        <w:tc>
          <w:tcPr>
            <w:tcW w:w="4400" w:type="dxa"/>
            <w:vAlign w:val="bottom"/>
          </w:tcPr>
          <w:p>
            <w:pPr>
              <w:ind w:left="600"/>
              <w:spacing w:after="0"/>
              <w:rPr>
                <w:sz w:val="20"/>
                <w:szCs w:val="20"/>
                <w:color w:val="auto"/>
              </w:rPr>
            </w:pPr>
            <w:r>
              <w:rPr>
                <w:rFonts w:ascii="Arial" w:cs="Arial" w:eastAsia="Arial" w:hAnsi="Arial"/>
                <w:sz w:val="14"/>
                <w:szCs w:val="14"/>
                <w:color w:val="auto"/>
              </w:rPr>
              <w:t>Net earnings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23,929</w:t>
            </w:r>
          </w:p>
        </w:tc>
        <w:tc>
          <w:tcPr>
            <w:tcW w:w="10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16,424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40,353</w:t>
            </w:r>
          </w:p>
        </w:tc>
      </w:tr>
      <w:tr>
        <w:trPr>
          <w:trHeight w:val="30"/>
        </w:trPr>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1"/>
        </w:trPr>
        <w:tc>
          <w:tcPr>
            <w:tcW w:w="44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Interest expense</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3,676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7,397</w:t>
            </w:r>
          </w:p>
        </w:tc>
      </w:tr>
      <w:tr>
        <w:trPr>
          <w:trHeight w:val="211"/>
        </w:trPr>
        <w:tc>
          <w:tcPr>
            <w:tcW w:w="4400" w:type="dxa"/>
            <w:vAlign w:val="bottom"/>
          </w:tcPr>
          <w:p>
            <w:pPr>
              <w:ind w:left="840"/>
              <w:spacing w:after="0"/>
              <w:rPr>
                <w:sz w:val="20"/>
                <w:szCs w:val="20"/>
                <w:color w:val="auto"/>
              </w:rPr>
            </w:pPr>
            <w:r>
              <w:rPr>
                <w:rFonts w:ascii="Arial" w:cs="Arial" w:eastAsia="Arial" w:hAnsi="Arial"/>
                <w:sz w:val="14"/>
                <w:szCs w:val="14"/>
                <w:color w:val="auto"/>
              </w:rPr>
              <w:t>Income taxes</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11,129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14,062</w:t>
            </w:r>
          </w:p>
        </w:tc>
      </w:tr>
      <w:tr>
        <w:trPr>
          <w:trHeight w:val="30"/>
        </w:trPr>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1"/>
        </w:trPr>
        <w:tc>
          <w:tcPr>
            <w:tcW w:w="44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10,878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11,464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22,342</w:t>
            </w:r>
          </w:p>
        </w:tc>
      </w:tr>
      <w:tr>
        <w:trPr>
          <w:trHeight w:val="225"/>
        </w:trPr>
        <w:tc>
          <w:tcPr>
            <w:tcW w:w="4400" w:type="dxa"/>
            <w:vAlign w:val="bottom"/>
          </w:tcPr>
          <w:p>
            <w:pPr>
              <w:ind w:left="600"/>
              <w:spacing w:after="0"/>
              <w:rPr>
                <w:sz w:val="20"/>
                <w:szCs w:val="20"/>
                <w:color w:val="auto"/>
              </w:rPr>
            </w:pPr>
            <w:r>
              <w:rPr>
                <w:rFonts w:ascii="Arial" w:cs="Arial" w:eastAsia="Arial" w:hAnsi="Arial"/>
                <w:sz w:val="14"/>
                <w:szCs w:val="14"/>
                <w:color w:val="auto"/>
              </w:rPr>
              <w:t>EBITDA (non-GAAP measure)</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49,657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34,497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84,154</w:t>
            </w: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677"/>
        </w:trPr>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ind w:left="80"/>
              <w:spacing w:after="0"/>
              <w:rPr>
                <w:sz w:val="20"/>
                <w:szCs w:val="20"/>
                <w:color w:val="auto"/>
              </w:rPr>
            </w:pPr>
            <w:r>
              <w:rPr>
                <w:rFonts w:ascii="Arial" w:cs="Arial" w:eastAsia="Arial" w:hAnsi="Arial"/>
                <w:sz w:val="14"/>
                <w:szCs w:val="14"/>
                <w:color w:val="auto"/>
              </w:rPr>
              <w:t>Fiscal 2013</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0"/>
        </w:trPr>
        <w:tc>
          <w:tcPr>
            <w:tcW w:w="4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444"/>
        </w:trPr>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color w:val="auto"/>
              </w:rPr>
              <w:t>Q1</w:t>
            </w:r>
          </w:p>
        </w:tc>
        <w:tc>
          <w:tcPr>
            <w:tcW w:w="180" w:type="dxa"/>
            <w:vAlign w:val="bottom"/>
          </w:tcPr>
          <w:p>
            <w:pPr>
              <w:spacing w:after="0"/>
              <w:rPr>
                <w:sz w:val="24"/>
                <w:szCs w:val="24"/>
                <w:color w:val="auto"/>
              </w:rPr>
            </w:pPr>
          </w:p>
        </w:tc>
        <w:tc>
          <w:tcPr>
            <w:tcW w:w="680" w:type="dxa"/>
            <w:vAlign w:val="bottom"/>
            <w:gridSpan w:val="2"/>
          </w:tcPr>
          <w:p>
            <w:pPr>
              <w:ind w:left="100"/>
              <w:spacing w:after="0"/>
              <w:rPr>
                <w:sz w:val="20"/>
                <w:szCs w:val="20"/>
                <w:color w:val="auto"/>
              </w:rPr>
            </w:pPr>
            <w:r>
              <w:rPr>
                <w:rFonts w:ascii="Arial" w:cs="Arial" w:eastAsia="Arial" w:hAnsi="Arial"/>
                <w:sz w:val="14"/>
                <w:szCs w:val="14"/>
                <w:color w:val="auto"/>
              </w:rPr>
              <w:t>Q2</w:t>
            </w:r>
          </w:p>
        </w:tc>
        <w:tc>
          <w:tcPr>
            <w:tcW w:w="200" w:type="dxa"/>
            <w:vAlign w:val="bottom"/>
          </w:tcPr>
          <w:p>
            <w:pPr>
              <w:spacing w:after="0"/>
              <w:rPr>
                <w:sz w:val="24"/>
                <w:szCs w:val="24"/>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color w:val="auto"/>
              </w:rPr>
              <w:t>Q3</w:t>
            </w:r>
          </w:p>
        </w:tc>
        <w:tc>
          <w:tcPr>
            <w:tcW w:w="140" w:type="dxa"/>
            <w:vAlign w:val="bottom"/>
          </w:tcPr>
          <w:p>
            <w:pPr>
              <w:spacing w:after="0"/>
              <w:rPr>
                <w:sz w:val="24"/>
                <w:szCs w:val="24"/>
                <w:color w:val="auto"/>
              </w:rPr>
            </w:pPr>
          </w:p>
        </w:tc>
        <w:tc>
          <w:tcPr>
            <w:tcW w:w="740" w:type="dxa"/>
            <w:vAlign w:val="bottom"/>
            <w:gridSpan w:val="2"/>
          </w:tcPr>
          <w:p>
            <w:pPr>
              <w:ind w:left="160"/>
              <w:spacing w:after="0"/>
              <w:rPr>
                <w:sz w:val="20"/>
                <w:szCs w:val="20"/>
                <w:color w:val="auto"/>
              </w:rPr>
            </w:pPr>
            <w:r>
              <w:rPr>
                <w:rFonts w:ascii="Arial" w:cs="Arial" w:eastAsia="Arial" w:hAnsi="Arial"/>
                <w:sz w:val="14"/>
                <w:szCs w:val="14"/>
                <w:color w:val="auto"/>
              </w:rPr>
              <w:t>Q4</w:t>
            </w:r>
          </w:p>
        </w:tc>
        <w:tc>
          <w:tcPr>
            <w:tcW w:w="160" w:type="dxa"/>
            <w:vAlign w:val="bottom"/>
          </w:tcPr>
          <w:p>
            <w:pPr>
              <w:spacing w:after="0"/>
              <w:rPr>
                <w:sz w:val="24"/>
                <w:szCs w:val="24"/>
                <w:color w:val="auto"/>
              </w:rPr>
            </w:pPr>
          </w:p>
        </w:tc>
        <w:tc>
          <w:tcPr>
            <w:tcW w:w="620" w:type="dxa"/>
            <w:vAlign w:val="bottom"/>
          </w:tcPr>
          <w:p>
            <w:pPr>
              <w:jc w:val="right"/>
              <w:ind w:right="168"/>
              <w:spacing w:after="0"/>
              <w:rPr>
                <w:sz w:val="20"/>
                <w:szCs w:val="20"/>
                <w:color w:val="auto"/>
              </w:rPr>
            </w:pPr>
            <w:r>
              <w:rPr>
                <w:rFonts w:ascii="Arial" w:cs="Arial" w:eastAsia="Arial" w:hAnsi="Arial"/>
                <w:sz w:val="14"/>
                <w:szCs w:val="14"/>
                <w:color w:val="auto"/>
              </w:rPr>
              <w:t>Total</w:t>
            </w:r>
          </w:p>
        </w:tc>
      </w:tr>
      <w:tr>
        <w:trPr>
          <w:trHeight w:val="30"/>
        </w:trPr>
        <w:tc>
          <w:tcPr>
            <w:tcW w:w="4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3"/>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EBITDA:</w:t>
            </w:r>
          </w:p>
        </w:tc>
        <w:tc>
          <w:tcPr>
            <w:tcW w:w="2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r>
      <w:tr>
        <w:trPr>
          <w:trHeight w:val="211"/>
        </w:trPr>
        <w:tc>
          <w:tcPr>
            <w:tcW w:w="4400" w:type="dxa"/>
            <w:vAlign w:val="bottom"/>
          </w:tcPr>
          <w:p>
            <w:pPr>
              <w:ind w:left="600"/>
              <w:spacing w:after="0"/>
              <w:rPr>
                <w:sz w:val="20"/>
                <w:szCs w:val="20"/>
                <w:color w:val="auto"/>
              </w:rPr>
            </w:pPr>
            <w:r>
              <w:rPr>
                <w:rFonts w:ascii="Arial" w:cs="Arial" w:eastAsia="Arial" w:hAnsi="Arial"/>
                <w:sz w:val="14"/>
                <w:szCs w:val="14"/>
                <w:color w:val="auto"/>
              </w:rPr>
              <w:t>Net earnings (loss)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27,188</w:t>
            </w:r>
          </w:p>
        </w:tc>
        <w:tc>
          <w:tcPr>
            <w:tcW w:w="10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(8,684)</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4,233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(177,271)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(154,534)</w:t>
            </w:r>
          </w:p>
        </w:tc>
      </w:tr>
      <w:tr>
        <w:trPr>
          <w:trHeight w:val="30"/>
        </w:trPr>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1"/>
        </w:trPr>
        <w:tc>
          <w:tcPr>
            <w:tcW w:w="44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Interest expense</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4,186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16,641</w:t>
            </w:r>
          </w:p>
        </w:tc>
      </w:tr>
      <w:tr>
        <w:trPr>
          <w:trHeight w:val="211"/>
        </w:trPr>
        <w:tc>
          <w:tcPr>
            <w:tcW w:w="4400" w:type="dxa"/>
            <w:vAlign w:val="bottom"/>
          </w:tcPr>
          <w:p>
            <w:pPr>
              <w:ind w:left="840"/>
              <w:spacing w:after="0"/>
              <w:rPr>
                <w:sz w:val="20"/>
                <w:szCs w:val="20"/>
                <w:color w:val="auto"/>
              </w:rPr>
            </w:pPr>
            <w:r>
              <w:rPr>
                <w:rFonts w:ascii="Arial" w:cs="Arial" w:eastAsia="Arial" w:hAnsi="Arial"/>
                <w:sz w:val="14"/>
                <w:szCs w:val="14"/>
                <w:color w:val="auto"/>
              </w:rPr>
              <w:t>Income taxes</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13,481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30,626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7,595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47,285</w:t>
            </w:r>
          </w:p>
        </w:tc>
      </w:tr>
      <w:tr>
        <w:trPr>
          <w:trHeight w:val="30"/>
        </w:trPr>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1"/>
        </w:trPr>
        <w:tc>
          <w:tcPr>
            <w:tcW w:w="44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Depreciation and amortization</w:t>
            </w:r>
          </w:p>
        </w:tc>
        <w:tc>
          <w:tcPr>
            <w:tcW w:w="2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10,392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11,654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14,576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12,103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48,725</w:t>
            </w:r>
          </w:p>
        </w:tc>
      </w:tr>
      <w:tr>
        <w:trPr>
          <w:trHeight w:val="211"/>
        </w:trPr>
        <w:tc>
          <w:tcPr>
            <w:tcW w:w="4400" w:type="dxa"/>
            <w:vAlign w:val="bottom"/>
          </w:tcPr>
          <w:p>
            <w:pPr>
              <w:ind w:left="840"/>
              <w:spacing w:after="0"/>
              <w:rPr>
                <w:sz w:val="20"/>
                <w:szCs w:val="20"/>
                <w:color w:val="auto"/>
              </w:rPr>
            </w:pPr>
            <w:r>
              <w:rPr>
                <w:rFonts w:ascii="Arial" w:cs="Arial" w:eastAsia="Arial" w:hAnsi="Arial"/>
                <w:sz w:val="14"/>
                <w:szCs w:val="14"/>
                <w:color w:val="auto"/>
              </w:rPr>
              <w:t>Intangible asset write-down in restructuring charges</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3,207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3,207</w:t>
            </w:r>
          </w:p>
        </w:tc>
      </w:tr>
      <w:tr>
        <w:trPr>
          <w:trHeight w:val="30"/>
        </w:trPr>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21"/>
        </w:trPr>
        <w:tc>
          <w:tcPr>
            <w:tcW w:w="44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Loss on write-down of assets held for sale</w:t>
            </w: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15,658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15,658</w:t>
            </w:r>
          </w:p>
        </w:tc>
      </w:tr>
      <w:tr>
        <w:trPr>
          <w:trHeight w:val="211"/>
        </w:trPr>
        <w:tc>
          <w:tcPr>
            <w:tcW w:w="4400" w:type="dxa"/>
            <w:vAlign w:val="bottom"/>
          </w:tcPr>
          <w:p>
            <w:pPr>
              <w:ind w:left="840"/>
              <w:spacing w:after="0"/>
              <w:rPr>
                <w:sz w:val="20"/>
                <w:szCs w:val="20"/>
                <w:color w:val="auto"/>
              </w:rPr>
            </w:pPr>
            <w:r>
              <w:rPr>
                <w:rFonts w:ascii="Arial" w:cs="Arial" w:eastAsia="Arial" w:hAnsi="Arial"/>
                <w:sz w:val="14"/>
                <w:szCs w:val="14"/>
                <w:color w:val="auto"/>
              </w:rPr>
              <w:t>Impairment charges</w:t>
            </w: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204,448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204,448</w:t>
            </w:r>
          </w:p>
        </w:tc>
      </w:tr>
      <w:tr>
        <w:trPr>
          <w:trHeight w:val="30"/>
        </w:trPr>
        <w:tc>
          <w:tcPr>
            <w:tcW w:w="4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3"/>
        </w:trPr>
        <w:tc>
          <w:tcPr>
            <w:tcW w:w="4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EBITDA (non-GAAP measure)</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55,224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38,002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49,455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38,749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181,430</w:t>
            </w:r>
          </w:p>
        </w:tc>
      </w:tr>
      <w:tr>
        <w:trPr>
          <w:trHeight w:val="20"/>
        </w:trPr>
        <w:tc>
          <w:tcPr>
            <w:tcW w:w="4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Earnings from Continuing Operations Before Income Taxes Excluding Certain Items:</w:t>
      </w:r>
    </w:p>
    <w:p>
      <w:pPr>
        <w:spacing w:after="0" w:line="72" w:lineRule="exact"/>
        <w:rPr>
          <w:sz w:val="20"/>
          <w:szCs w:val="20"/>
          <w:color w:val="auto"/>
        </w:rPr>
      </w:pPr>
    </w:p>
    <w:p>
      <w:pPr>
        <w:jc w:val="both"/>
        <w:ind w:left="60" w:right="1559"/>
        <w:spacing w:after="0" w:line="276" w:lineRule="auto"/>
        <w:rPr>
          <w:sz w:val="20"/>
          <w:szCs w:val="20"/>
          <w:color w:val="auto"/>
        </w:rPr>
      </w:pPr>
      <w:r>
        <w:rPr>
          <w:rFonts w:ascii="Arial" w:cs="Arial" w:eastAsia="Arial" w:hAnsi="Arial"/>
          <w:sz w:val="14"/>
          <w:szCs w:val="14"/>
          <w:color w:val="auto"/>
        </w:rPr>
        <w:t>Brady is presenting the Non-GAAP measure "Earnings from Continuing Operations Before Income Taxes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profit measure provides an important perspective of underlying business trends and results and provides a more comparable measure from year to year. The table below provides a reconciliation of Earnings from Continuing Operations Before Income Taxes to Earnings from Continuing Operations Before Income Taxes Excluding Certain Items:</w:t>
      </w:r>
    </w:p>
    <w:p>
      <w:pPr>
        <w:spacing w:after="0" w:line="200" w:lineRule="exact"/>
        <w:rPr>
          <w:sz w:val="20"/>
          <w:szCs w:val="20"/>
          <w:color w:val="auto"/>
        </w:rPr>
      </w:pP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5"/>
          </w:tcPr>
          <w:p>
            <w:pPr>
              <w:ind w:left="20"/>
              <w:spacing w:after="0"/>
              <w:rPr>
                <w:sz w:val="20"/>
                <w:szCs w:val="20"/>
                <w:color w:val="auto"/>
              </w:rPr>
            </w:pPr>
            <w:r>
              <w:rPr>
                <w:rFonts w:ascii="Arial" w:cs="Arial" w:eastAsia="Arial" w:hAnsi="Arial"/>
                <w:sz w:val="14"/>
                <w:szCs w:val="14"/>
                <w:color w:val="auto"/>
              </w:rPr>
              <w:t>Three Months Ended January 31,</w:t>
            </w:r>
          </w:p>
        </w:tc>
        <w:tc>
          <w:tcPr>
            <w:tcW w:w="140" w:type="dxa"/>
            <w:vAlign w:val="bottom"/>
          </w:tcPr>
          <w:p>
            <w:pPr>
              <w:spacing w:after="0"/>
              <w:rPr>
                <w:sz w:val="15"/>
                <w:szCs w:val="15"/>
                <w:color w:val="auto"/>
              </w:rPr>
            </w:pPr>
          </w:p>
        </w:tc>
        <w:tc>
          <w:tcPr>
            <w:tcW w:w="2020" w:type="dxa"/>
            <w:vAlign w:val="bottom"/>
            <w:gridSpan w:val="4"/>
          </w:tcPr>
          <w:p>
            <w:pPr>
              <w:jc w:val="right"/>
              <w:ind w:right="108"/>
              <w:spacing w:after="0"/>
              <w:rPr>
                <w:sz w:val="20"/>
                <w:szCs w:val="20"/>
                <w:color w:val="auto"/>
              </w:rPr>
            </w:pPr>
            <w:r>
              <w:rPr>
                <w:rFonts w:ascii="Arial" w:cs="Arial" w:eastAsia="Arial" w:hAnsi="Arial"/>
                <w:sz w:val="14"/>
                <w:szCs w:val="14"/>
                <w:color w:val="auto"/>
                <w:w w:val="95"/>
              </w:rPr>
              <w:t>Six Months Ended January 31,</w:t>
            </w: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8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30"/>
        </w:trPr>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from Continuing Operations Before Income Taxes</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(GAAP Measure)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14,925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18,289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41,654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57,758</w:t>
            </w:r>
          </w:p>
        </w:tc>
        <w:tc>
          <w:tcPr>
            <w:tcW w:w="0" w:type="dxa"/>
            <w:vAlign w:val="bottom"/>
          </w:tcPr>
          <w:p>
            <w:pPr>
              <w:spacing w:after="0"/>
              <w:rPr>
                <w:sz w:val="1"/>
                <w:szCs w:val="1"/>
                <w:color w:val="auto"/>
              </w:rPr>
            </w:pPr>
          </w:p>
        </w:tc>
      </w:tr>
      <w:tr>
        <w:trPr>
          <w:trHeight w:val="211"/>
        </w:trPr>
        <w:tc>
          <w:tcPr>
            <w:tcW w:w="4200" w:type="dxa"/>
            <w:vAlign w:val="bottom"/>
          </w:tcPr>
          <w:p>
            <w:pPr>
              <w:ind w:left="400"/>
              <w:spacing w:after="0"/>
              <w:rPr>
                <w:sz w:val="20"/>
                <w:szCs w:val="20"/>
                <w:color w:val="auto"/>
              </w:rPr>
            </w:pPr>
            <w:r>
              <w:rPr>
                <w:rFonts w:ascii="Arial" w:cs="Arial" w:eastAsia="Arial" w:hAnsi="Arial"/>
                <w:sz w:val="14"/>
                <w:szCs w:val="14"/>
                <w:color w:val="auto"/>
              </w:rPr>
              <w:t>Cost of goods sold: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2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Purchase accounting expense related to inventory</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0" w:type="dxa"/>
            <w:vAlign w:val="bottom"/>
          </w:tcPr>
          <w:p>
            <w:pPr>
              <w:spacing w:after="0"/>
              <w:rPr>
                <w:sz w:val="1"/>
                <w:szCs w:val="1"/>
                <w:color w:val="auto"/>
              </w:rPr>
            </w:pPr>
          </w:p>
        </w:tc>
      </w:tr>
      <w:tr>
        <w:trPr>
          <w:trHeight w:val="211"/>
        </w:trPr>
        <w:tc>
          <w:tcPr>
            <w:tcW w:w="4200" w:type="dxa"/>
            <w:vAlign w:val="bottom"/>
          </w:tcPr>
          <w:p>
            <w:pPr>
              <w:ind w:left="400"/>
              <w:spacing w:after="0"/>
              <w:rPr>
                <w:sz w:val="20"/>
                <w:szCs w:val="20"/>
                <w:color w:val="auto"/>
              </w:rPr>
            </w:pPr>
            <w:r>
              <w:rPr>
                <w:rFonts w:ascii="Arial" w:cs="Arial" w:eastAsia="Arial" w:hAnsi="Arial"/>
                <w:sz w:val="14"/>
                <w:szCs w:val="14"/>
                <w:color w:val="auto"/>
              </w:rPr>
              <w:t>Selling, general and administrative: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2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PDC acquisition-related expenses</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3,600</w:t>
            </w:r>
          </w:p>
        </w:tc>
        <w:tc>
          <w:tcPr>
            <w:tcW w:w="0" w:type="dxa"/>
            <w:vAlign w:val="bottom"/>
          </w:tcPr>
          <w:p>
            <w:pPr>
              <w:spacing w:after="0"/>
              <w:rPr>
                <w:sz w:val="1"/>
                <w:szCs w:val="1"/>
                <w:color w:val="auto"/>
              </w:rPr>
            </w:pPr>
          </w:p>
        </w:tc>
      </w:tr>
      <w:tr>
        <w:trPr>
          <w:trHeight w:val="211"/>
        </w:trPr>
        <w:tc>
          <w:tcPr>
            <w:tcW w:w="420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11,163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1,933</w:t>
            </w:r>
          </w:p>
        </w:tc>
        <w:tc>
          <w:tcPr>
            <w:tcW w:w="0" w:type="dxa"/>
            <w:vAlign w:val="bottom"/>
          </w:tcPr>
          <w:p>
            <w:pPr>
              <w:spacing w:after="0"/>
              <w:rPr>
                <w:sz w:val="1"/>
                <w:szCs w:val="1"/>
                <w:color w:val="auto"/>
              </w:rPr>
            </w:pPr>
          </w:p>
        </w:tc>
      </w:tr>
      <w:tr>
        <w:trPr>
          <w:trHeight w:val="30"/>
        </w:trPr>
        <w:tc>
          <w:tcPr>
            <w:tcW w:w="4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2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Non-cash income tax charges related to PDC funding</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Earnings from Continuing Operations Before Income Taxes</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19,249</w:t>
            </w:r>
          </w:p>
        </w:tc>
        <w:tc>
          <w:tcPr>
            <w:tcW w:w="10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25,352</w:t>
            </w:r>
          </w:p>
        </w:tc>
        <w:tc>
          <w:tcPr>
            <w:tcW w:w="10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52,817</w:t>
            </w:r>
          </w:p>
        </w:tc>
        <w:tc>
          <w:tcPr>
            <w:tcW w:w="10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64,821</w:t>
            </w:r>
          </w:p>
        </w:tc>
        <w:tc>
          <w:tcPr>
            <w:tcW w:w="0" w:type="dxa"/>
            <w:vAlign w:val="bottom"/>
          </w:tcPr>
          <w:p>
            <w:pPr>
              <w:spacing w:after="0"/>
              <w:rPr>
                <w:sz w:val="1"/>
                <w:szCs w:val="1"/>
                <w:color w:val="auto"/>
              </w:rPr>
            </w:pPr>
          </w:p>
        </w:tc>
      </w:tr>
      <w:tr>
        <w:trPr>
          <w:trHeight w:val="202"/>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Excluding Certain Items (non-GAAP measure)</w:t>
            </w:r>
          </w:p>
        </w:tc>
        <w:tc>
          <w:tcPr>
            <w:tcW w:w="1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706" w:right="1440"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auto"/>
        </w:rPr>
        <w:t>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 Except Per Share Amounts)</w:t>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Income Taxes on Continuing Operations Excluding Certain Items:</w:t>
      </w:r>
    </w:p>
    <w:p>
      <w:pPr>
        <w:spacing w:after="0" w:line="72" w:lineRule="exact"/>
        <w:rPr>
          <w:sz w:val="20"/>
          <w:szCs w:val="20"/>
          <w:color w:val="auto"/>
        </w:rPr>
      </w:pPr>
    </w:p>
    <w:p>
      <w:pPr>
        <w:jc w:val="both"/>
        <w:ind w:left="20" w:right="1559"/>
        <w:spacing w:after="0" w:line="303" w:lineRule="auto"/>
        <w:rPr>
          <w:sz w:val="20"/>
          <w:szCs w:val="20"/>
          <w:color w:val="auto"/>
        </w:rPr>
      </w:pPr>
      <w:r>
        <w:rPr>
          <w:rFonts w:ascii="Arial" w:cs="Arial" w:eastAsia="Arial" w:hAnsi="Arial"/>
          <w:sz w:val="13"/>
          <w:szCs w:val="13"/>
          <w:color w:val="auto"/>
        </w:rPr>
        <w:t>Brady is presenting the Non-GAAP measure "Income Taxes on Continuing Operations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Income Taxes on Continuing Operations to Income Taxes on Continuing Operations Excluding Certain Items: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80" w:type="dxa"/>
            <w:vAlign w:val="bottom"/>
          </w:tcPr>
          <w:p>
            <w:pPr>
              <w:spacing w:after="0"/>
              <w:rPr>
                <w:sz w:val="15"/>
                <w:szCs w:val="15"/>
                <w:color w:val="auto"/>
              </w:rPr>
            </w:pPr>
          </w:p>
        </w:tc>
        <w:tc>
          <w:tcPr>
            <w:tcW w:w="2300" w:type="dxa"/>
            <w:vAlign w:val="bottom"/>
            <w:gridSpan w:val="6"/>
          </w:tcPr>
          <w:p>
            <w:pPr>
              <w:ind w:left="160"/>
              <w:spacing w:after="0"/>
              <w:rPr>
                <w:sz w:val="20"/>
                <w:szCs w:val="20"/>
                <w:color w:val="auto"/>
              </w:rPr>
            </w:pPr>
            <w:r>
              <w:rPr>
                <w:rFonts w:ascii="Arial" w:cs="Arial" w:eastAsia="Arial" w:hAnsi="Arial"/>
                <w:sz w:val="14"/>
                <w:szCs w:val="14"/>
                <w:color w:val="auto"/>
              </w:rPr>
              <w:t>Three Months Ended January 31,</w:t>
            </w:r>
          </w:p>
        </w:tc>
        <w:tc>
          <w:tcPr>
            <w:tcW w:w="100" w:type="dxa"/>
            <w:vAlign w:val="bottom"/>
          </w:tcPr>
          <w:p>
            <w:pPr>
              <w:spacing w:after="0"/>
              <w:rPr>
                <w:sz w:val="15"/>
                <w:szCs w:val="15"/>
                <w:color w:val="auto"/>
              </w:rPr>
            </w:pPr>
          </w:p>
        </w:tc>
        <w:tc>
          <w:tcPr>
            <w:tcW w:w="1900" w:type="dxa"/>
            <w:vAlign w:val="bottom"/>
            <w:gridSpan w:val="4"/>
          </w:tcPr>
          <w:p>
            <w:pPr>
              <w:jc w:val="right"/>
              <w:ind w:right="28"/>
              <w:spacing w:after="0"/>
              <w:rPr>
                <w:sz w:val="20"/>
                <w:szCs w:val="20"/>
                <w:color w:val="auto"/>
              </w:rPr>
            </w:pPr>
            <w:r>
              <w:rPr>
                <w:rFonts w:ascii="Arial" w:cs="Arial" w:eastAsia="Arial" w:hAnsi="Arial"/>
                <w:sz w:val="14"/>
                <w:szCs w:val="14"/>
                <w:color w:val="auto"/>
                <w:w w:val="93"/>
              </w:rPr>
              <w:t>Six Months Ended January 31,</w:t>
            </w:r>
          </w:p>
        </w:tc>
        <w:tc>
          <w:tcPr>
            <w:tcW w:w="0" w:type="dxa"/>
            <w:vAlign w:val="bottom"/>
          </w:tcPr>
          <w:p>
            <w:pPr>
              <w:spacing w:after="0"/>
              <w:rPr>
                <w:sz w:val="1"/>
                <w:szCs w:val="1"/>
                <w:color w:val="auto"/>
              </w:rPr>
            </w:pPr>
          </w:p>
        </w:tc>
      </w:tr>
      <w:tr>
        <w:trPr>
          <w:trHeight w:val="30"/>
        </w:trPr>
        <w:tc>
          <w:tcPr>
            <w:tcW w:w="43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2014</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24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30"/>
        </w:trPr>
        <w:tc>
          <w:tcPr>
            <w:tcW w:w="43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Taxes on Continuing Operations (GAAP measure)</w:t>
            </w:r>
          </w:p>
        </w:tc>
        <w:tc>
          <w:tcPr>
            <w:tcW w:w="680" w:type="dxa"/>
            <w:vAlign w:val="bottom"/>
            <w:tcBorders>
              <w:bottom w:val="single" w:sz="8" w:color="CCEEFF"/>
            </w:tcBorders>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5"/>
              </w:rPr>
              <w:t>4,408</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28,960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13,002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42,138</w:t>
            </w:r>
          </w:p>
        </w:tc>
        <w:tc>
          <w:tcPr>
            <w:tcW w:w="0" w:type="dxa"/>
            <w:vAlign w:val="bottom"/>
          </w:tcPr>
          <w:p>
            <w:pPr>
              <w:spacing w:after="0"/>
              <w:rPr>
                <w:sz w:val="1"/>
                <w:szCs w:val="1"/>
                <w:color w:val="auto"/>
              </w:rPr>
            </w:pPr>
          </w:p>
        </w:tc>
      </w:tr>
      <w:tr>
        <w:trPr>
          <w:trHeight w:val="211"/>
        </w:trPr>
        <w:tc>
          <w:tcPr>
            <w:tcW w:w="4380" w:type="dxa"/>
            <w:vAlign w:val="bottom"/>
          </w:tcPr>
          <w:p>
            <w:pPr>
              <w:ind w:left="400"/>
              <w:spacing w:after="0"/>
              <w:rPr>
                <w:sz w:val="20"/>
                <w:szCs w:val="20"/>
                <w:color w:val="auto"/>
              </w:rPr>
            </w:pPr>
            <w:r>
              <w:rPr>
                <w:rFonts w:ascii="Arial" w:cs="Arial" w:eastAsia="Arial" w:hAnsi="Arial"/>
                <w:sz w:val="14"/>
                <w:szCs w:val="14"/>
                <w:color w:val="auto"/>
              </w:rPr>
              <w:t>Cost of goods sold:</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4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3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Purchase accounting expense related to inventory</w:t>
            </w:r>
          </w:p>
        </w:tc>
        <w:tc>
          <w:tcPr>
            <w:tcW w:w="6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581</w:t>
            </w:r>
          </w:p>
        </w:tc>
        <w:tc>
          <w:tcPr>
            <w:tcW w:w="0" w:type="dxa"/>
            <w:vAlign w:val="bottom"/>
          </w:tcPr>
          <w:p>
            <w:pPr>
              <w:spacing w:after="0"/>
              <w:rPr>
                <w:sz w:val="1"/>
                <w:szCs w:val="1"/>
                <w:color w:val="auto"/>
              </w:rPr>
            </w:pPr>
          </w:p>
        </w:tc>
      </w:tr>
      <w:tr>
        <w:trPr>
          <w:trHeight w:val="211"/>
        </w:trPr>
        <w:tc>
          <w:tcPr>
            <w:tcW w:w="4380" w:type="dxa"/>
            <w:vAlign w:val="bottom"/>
          </w:tcPr>
          <w:p>
            <w:pPr>
              <w:ind w:left="400"/>
              <w:spacing w:after="0"/>
              <w:rPr>
                <w:sz w:val="20"/>
                <w:szCs w:val="20"/>
                <w:color w:val="auto"/>
              </w:rPr>
            </w:pPr>
            <w:r>
              <w:rPr>
                <w:rFonts w:ascii="Arial" w:cs="Arial" w:eastAsia="Arial" w:hAnsi="Arial"/>
                <w:sz w:val="14"/>
                <w:szCs w:val="14"/>
                <w:color w:val="auto"/>
              </w:rPr>
              <w:t>Selling, general and administrative:</w:t>
            </w: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4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3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PDC acquisition-related expenses</w:t>
            </w:r>
          </w:p>
        </w:tc>
        <w:tc>
          <w:tcPr>
            <w:tcW w:w="68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641</w:t>
            </w:r>
          </w:p>
        </w:tc>
        <w:tc>
          <w:tcPr>
            <w:tcW w:w="0" w:type="dxa"/>
            <w:vAlign w:val="bottom"/>
          </w:tcPr>
          <w:p>
            <w:pPr>
              <w:spacing w:after="0"/>
              <w:rPr>
                <w:sz w:val="1"/>
                <w:szCs w:val="1"/>
                <w:color w:val="auto"/>
              </w:rPr>
            </w:pPr>
          </w:p>
        </w:tc>
      </w:tr>
      <w:tr>
        <w:trPr>
          <w:trHeight w:val="211"/>
        </w:trPr>
        <w:tc>
          <w:tcPr>
            <w:tcW w:w="438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6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85"/>
              </w:rPr>
              <w:t>1,481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30"/>
        </w:trPr>
        <w:tc>
          <w:tcPr>
            <w:tcW w:w="4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Non-cash income tax charges related to PDC funding</w:t>
            </w:r>
          </w:p>
        </w:tc>
        <w:tc>
          <w:tcPr>
            <w:tcW w:w="6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73"/>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Income Taxes on Continuing Operations Excluding Certain Items</w:t>
            </w:r>
          </w:p>
        </w:tc>
        <w:tc>
          <w:tcPr>
            <w:tcW w:w="680" w:type="dxa"/>
            <w:vAlign w:val="bottom"/>
            <w:tcBorders>
              <w:top w:val="single" w:sz="8" w:color="auto"/>
            </w:tcBorders>
            <w:vMerge w:val="restart"/>
          </w:tcPr>
          <w:p>
            <w:pPr>
              <w:jc w:val="right"/>
              <w:ind w:right="50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85"/>
              </w:rPr>
              <w:t>5,889</w:t>
            </w:r>
          </w:p>
        </w:tc>
        <w:tc>
          <w:tcPr>
            <w:tcW w:w="10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5,799</w:t>
            </w:r>
          </w:p>
        </w:tc>
        <w:tc>
          <w:tcPr>
            <w:tcW w:w="100" w:type="dxa"/>
            <w:vAlign w:val="bottom"/>
          </w:tcPr>
          <w:p>
            <w:pPr>
              <w:spacing w:after="0"/>
              <w:rPr>
                <w:sz w:val="15"/>
                <w:szCs w:val="1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16,613</w:t>
            </w:r>
          </w:p>
        </w:tc>
        <w:tc>
          <w:tcPr>
            <w:tcW w:w="10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18,977</w:t>
            </w:r>
          </w:p>
        </w:tc>
        <w:tc>
          <w:tcPr>
            <w:tcW w:w="0" w:type="dxa"/>
            <w:vAlign w:val="bottom"/>
          </w:tcPr>
          <w:p>
            <w:pPr>
              <w:spacing w:after="0"/>
              <w:rPr>
                <w:sz w:val="1"/>
                <w:szCs w:val="1"/>
                <w:color w:val="auto"/>
              </w:rPr>
            </w:pPr>
          </w:p>
        </w:tc>
      </w:tr>
      <w:tr>
        <w:trPr>
          <w:trHeight w:val="202"/>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(non-GAAP measure)</w:t>
            </w:r>
          </w:p>
        </w:tc>
        <w:tc>
          <w:tcPr>
            <w:tcW w:w="68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Net Earnings from Continuing Operations Excluding Certain Items:</w:t>
      </w:r>
    </w:p>
    <w:p>
      <w:pPr>
        <w:spacing w:after="0" w:line="72" w:lineRule="exact"/>
        <w:rPr>
          <w:sz w:val="20"/>
          <w:szCs w:val="20"/>
          <w:color w:val="auto"/>
        </w:rPr>
      </w:pPr>
    </w:p>
    <w:p>
      <w:pPr>
        <w:jc w:val="both"/>
        <w:ind w:left="60" w:right="1579"/>
        <w:spacing w:after="0" w:line="303" w:lineRule="auto"/>
        <w:rPr>
          <w:sz w:val="20"/>
          <w:szCs w:val="20"/>
          <w:color w:val="auto"/>
        </w:rPr>
      </w:pPr>
      <w:r>
        <w:rPr>
          <w:rFonts w:ascii="Arial" w:cs="Arial" w:eastAsia="Arial" w:hAnsi="Arial"/>
          <w:sz w:val="13"/>
          <w:szCs w:val="13"/>
          <w:color w:val="auto"/>
        </w:rPr>
        <w:t>Brady is presenting the Non-GAAP measure "Net Earnings from Continuing Operations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Net Earnings from Continuing Operations to Net Earnings from Continuing Operations Excluding Certain Items:</w:t>
      </w: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5"/>
          </w:tcPr>
          <w:p>
            <w:pPr>
              <w:ind w:left="40"/>
              <w:spacing w:after="0"/>
              <w:rPr>
                <w:sz w:val="20"/>
                <w:szCs w:val="20"/>
                <w:color w:val="auto"/>
              </w:rPr>
            </w:pPr>
            <w:r>
              <w:rPr>
                <w:rFonts w:ascii="Arial" w:cs="Arial" w:eastAsia="Arial" w:hAnsi="Arial"/>
                <w:sz w:val="14"/>
                <w:szCs w:val="14"/>
                <w:color w:val="auto"/>
              </w:rPr>
              <w:t>Three Months Ended January 31,</w:t>
            </w:r>
          </w:p>
        </w:tc>
        <w:tc>
          <w:tcPr>
            <w:tcW w:w="140" w:type="dxa"/>
            <w:vAlign w:val="bottom"/>
          </w:tcPr>
          <w:p>
            <w:pPr>
              <w:spacing w:after="0"/>
              <w:rPr>
                <w:sz w:val="15"/>
                <w:szCs w:val="15"/>
                <w:color w:val="auto"/>
              </w:rPr>
            </w:pPr>
          </w:p>
        </w:tc>
        <w:tc>
          <w:tcPr>
            <w:tcW w:w="2020" w:type="dxa"/>
            <w:vAlign w:val="bottom"/>
            <w:gridSpan w:val="4"/>
          </w:tcPr>
          <w:p>
            <w:pPr>
              <w:jc w:val="right"/>
              <w:ind w:right="108"/>
              <w:spacing w:after="0"/>
              <w:rPr>
                <w:sz w:val="20"/>
                <w:szCs w:val="20"/>
                <w:color w:val="auto"/>
              </w:rPr>
            </w:pPr>
            <w:r>
              <w:rPr>
                <w:rFonts w:ascii="Arial" w:cs="Arial" w:eastAsia="Arial" w:hAnsi="Arial"/>
                <w:sz w:val="14"/>
                <w:szCs w:val="14"/>
                <w:color w:val="auto"/>
                <w:w w:val="95"/>
              </w:rPr>
              <w:t>Six Months Ended January 31,</w:t>
            </w:r>
          </w:p>
        </w:tc>
        <w:tc>
          <w:tcPr>
            <w:tcW w:w="0" w:type="dxa"/>
            <w:vAlign w:val="bottom"/>
          </w:tcPr>
          <w:p>
            <w:pPr>
              <w:spacing w:after="0"/>
              <w:rPr>
                <w:sz w:val="1"/>
                <w:szCs w:val="1"/>
                <w:color w:val="auto"/>
              </w:rPr>
            </w:pPr>
          </w:p>
        </w:tc>
      </w:tr>
      <w:tr>
        <w:trPr>
          <w:trHeight w:val="30"/>
        </w:trPr>
        <w:tc>
          <w:tcPr>
            <w:tcW w:w="4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30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30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30"/>
        </w:trPr>
        <w:tc>
          <w:tcPr>
            <w:tcW w:w="4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(Loss) from Continuing Operations (GAAP</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measure)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10,517</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(10,671)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28,652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15,620</w:t>
            </w:r>
          </w:p>
        </w:tc>
        <w:tc>
          <w:tcPr>
            <w:tcW w:w="0" w:type="dxa"/>
            <w:vAlign w:val="bottom"/>
          </w:tcPr>
          <w:p>
            <w:pPr>
              <w:spacing w:after="0"/>
              <w:rPr>
                <w:sz w:val="1"/>
                <w:szCs w:val="1"/>
                <w:color w:val="auto"/>
              </w:rPr>
            </w:pPr>
          </w:p>
        </w:tc>
      </w:tr>
      <w:tr>
        <w:trPr>
          <w:trHeight w:val="211"/>
        </w:trPr>
        <w:tc>
          <w:tcPr>
            <w:tcW w:w="4160" w:type="dxa"/>
            <w:vAlign w:val="bottom"/>
          </w:tcPr>
          <w:p>
            <w:pPr>
              <w:ind w:left="400"/>
              <w:spacing w:after="0"/>
              <w:rPr>
                <w:sz w:val="20"/>
                <w:szCs w:val="20"/>
                <w:color w:val="auto"/>
              </w:rPr>
            </w:pPr>
            <w:r>
              <w:rPr>
                <w:rFonts w:ascii="Arial" w:cs="Arial" w:eastAsia="Arial" w:hAnsi="Arial"/>
                <w:sz w:val="14"/>
                <w:szCs w:val="14"/>
                <w:color w:val="auto"/>
              </w:rPr>
              <w:t>Cost of goods sold:</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Purchase accounting expense related to inventory</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949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949</w:t>
            </w:r>
          </w:p>
        </w:tc>
        <w:tc>
          <w:tcPr>
            <w:tcW w:w="0" w:type="dxa"/>
            <w:vAlign w:val="bottom"/>
          </w:tcPr>
          <w:p>
            <w:pPr>
              <w:spacing w:after="0"/>
              <w:rPr>
                <w:sz w:val="1"/>
                <w:szCs w:val="1"/>
                <w:color w:val="auto"/>
              </w:rPr>
            </w:pPr>
          </w:p>
        </w:tc>
      </w:tr>
      <w:tr>
        <w:trPr>
          <w:trHeight w:val="211"/>
        </w:trPr>
        <w:tc>
          <w:tcPr>
            <w:tcW w:w="4160" w:type="dxa"/>
            <w:vAlign w:val="bottom"/>
          </w:tcPr>
          <w:p>
            <w:pPr>
              <w:ind w:left="400"/>
              <w:spacing w:after="0"/>
              <w:rPr>
                <w:sz w:val="20"/>
                <w:szCs w:val="20"/>
                <w:color w:val="auto"/>
              </w:rPr>
            </w:pPr>
            <w:r>
              <w:rPr>
                <w:rFonts w:ascii="Arial" w:cs="Arial" w:eastAsia="Arial" w:hAnsi="Arial"/>
                <w:sz w:val="14"/>
                <w:szCs w:val="14"/>
                <w:color w:val="auto"/>
              </w:rPr>
              <w:t>Selling, general and administrative: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1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PDC acquisition-related expenses</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2,959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2,959</w:t>
            </w:r>
          </w:p>
        </w:tc>
        <w:tc>
          <w:tcPr>
            <w:tcW w:w="0" w:type="dxa"/>
            <w:vAlign w:val="bottom"/>
          </w:tcPr>
          <w:p>
            <w:pPr>
              <w:spacing w:after="0"/>
              <w:rPr>
                <w:sz w:val="1"/>
                <w:szCs w:val="1"/>
                <w:color w:val="auto"/>
              </w:rPr>
            </w:pPr>
          </w:p>
        </w:tc>
      </w:tr>
      <w:tr>
        <w:trPr>
          <w:trHeight w:val="211"/>
        </w:trPr>
        <w:tc>
          <w:tcPr>
            <w:tcW w:w="416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1,316</w:t>
            </w:r>
          </w:p>
        </w:tc>
        <w:tc>
          <w:tcPr>
            <w:tcW w:w="0" w:type="dxa"/>
            <w:vAlign w:val="bottom"/>
          </w:tcPr>
          <w:p>
            <w:pPr>
              <w:spacing w:after="0"/>
              <w:rPr>
                <w:sz w:val="1"/>
                <w:szCs w:val="1"/>
                <w:color w:val="auto"/>
              </w:rPr>
            </w:pPr>
          </w:p>
        </w:tc>
      </w:tr>
      <w:tr>
        <w:trPr>
          <w:trHeight w:val="30"/>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Non-cash income tax charges related to PDC funding</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25,000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73"/>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Net Earnings from Continuing Operations Excluding Certain</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13,360</w:t>
            </w:r>
          </w:p>
        </w:tc>
        <w:tc>
          <w:tcPr>
            <w:tcW w:w="10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19,553</w:t>
            </w:r>
          </w:p>
        </w:tc>
        <w:tc>
          <w:tcPr>
            <w:tcW w:w="10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36,204</w:t>
            </w:r>
          </w:p>
        </w:tc>
        <w:tc>
          <w:tcPr>
            <w:tcW w:w="10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45,844</w:t>
            </w:r>
          </w:p>
        </w:tc>
        <w:tc>
          <w:tcPr>
            <w:tcW w:w="0" w:type="dxa"/>
            <w:vAlign w:val="bottom"/>
          </w:tcPr>
          <w:p>
            <w:pPr>
              <w:spacing w:after="0"/>
              <w:rPr>
                <w:sz w:val="1"/>
                <w:szCs w:val="1"/>
                <w:color w:val="auto"/>
              </w:rPr>
            </w:pPr>
          </w:p>
        </w:tc>
      </w:tr>
      <w:tr>
        <w:trPr>
          <w:trHeight w:val="202"/>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Items (non-GAAP measure)</w:t>
            </w:r>
          </w:p>
        </w:tc>
        <w:tc>
          <w:tcPr>
            <w:tcW w:w="1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706" w:right="1440"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color w:val="auto"/>
        </w:rPr>
        <w:t>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 Except Per Share Amounts)</w:t>
      </w:r>
    </w:p>
    <w:p>
      <w:pPr>
        <w:spacing w:after="0" w:line="3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Earnings from Continuing Operations Per Diluted Class A Nonvoting Common Share Excluding Certain Items:</w:t>
      </w:r>
    </w:p>
    <w:p>
      <w:pPr>
        <w:spacing w:after="0" w:line="72" w:lineRule="exact"/>
        <w:rPr>
          <w:sz w:val="20"/>
          <w:szCs w:val="20"/>
          <w:color w:val="auto"/>
        </w:rPr>
      </w:pPr>
    </w:p>
    <w:p>
      <w:pPr>
        <w:jc w:val="both"/>
        <w:ind w:left="20" w:right="1559"/>
        <w:spacing w:after="0" w:line="301" w:lineRule="auto"/>
        <w:rPr>
          <w:sz w:val="20"/>
          <w:szCs w:val="20"/>
          <w:color w:val="auto"/>
        </w:rPr>
      </w:pPr>
      <w:r>
        <w:rPr>
          <w:rFonts w:ascii="Arial" w:cs="Arial" w:eastAsia="Arial" w:hAnsi="Arial"/>
          <w:sz w:val="13"/>
          <w:szCs w:val="13"/>
          <w:color w:val="auto"/>
        </w:rPr>
        <w:t>Brady is presenting the Non-GAAP measure "Net Earnings from Continuing Operations Per Diluted Class A Nonvoting Common Share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Net Earnings from Continuing Operations Per Diluted Class A Nonvoting Common Share to Net Earnings from Continuing Operations Per Diluted Class A Nonvoting Common Share Excluding Certain Items: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20" w:type="dxa"/>
            <w:vAlign w:val="bottom"/>
          </w:tcPr>
          <w:p>
            <w:pPr>
              <w:spacing w:after="0"/>
              <w:rPr>
                <w:sz w:val="15"/>
                <w:szCs w:val="15"/>
                <w:color w:val="auto"/>
              </w:rPr>
            </w:pPr>
          </w:p>
        </w:tc>
        <w:tc>
          <w:tcPr>
            <w:tcW w:w="2300" w:type="dxa"/>
            <w:vAlign w:val="bottom"/>
            <w:gridSpan w:val="6"/>
          </w:tcPr>
          <w:p>
            <w:pPr>
              <w:ind w:left="140"/>
              <w:spacing w:after="0"/>
              <w:rPr>
                <w:sz w:val="20"/>
                <w:szCs w:val="20"/>
                <w:color w:val="auto"/>
              </w:rPr>
            </w:pPr>
            <w:r>
              <w:rPr>
                <w:rFonts w:ascii="Arial" w:cs="Arial" w:eastAsia="Arial" w:hAnsi="Arial"/>
                <w:sz w:val="14"/>
                <w:szCs w:val="14"/>
                <w:color w:val="auto"/>
              </w:rPr>
              <w:t>Three Months Ended January 31,</w:t>
            </w:r>
          </w:p>
        </w:tc>
        <w:tc>
          <w:tcPr>
            <w:tcW w:w="140" w:type="dxa"/>
            <w:vAlign w:val="bottom"/>
          </w:tcPr>
          <w:p>
            <w:pPr>
              <w:spacing w:after="0"/>
              <w:rPr>
                <w:sz w:val="15"/>
                <w:szCs w:val="15"/>
                <w:color w:val="auto"/>
              </w:rPr>
            </w:pPr>
          </w:p>
        </w:tc>
        <w:tc>
          <w:tcPr>
            <w:tcW w:w="2020" w:type="dxa"/>
            <w:vAlign w:val="bottom"/>
            <w:gridSpan w:val="4"/>
          </w:tcPr>
          <w:p>
            <w:pPr>
              <w:jc w:val="right"/>
              <w:ind w:right="108"/>
              <w:spacing w:after="0"/>
              <w:rPr>
                <w:sz w:val="20"/>
                <w:szCs w:val="20"/>
                <w:color w:val="auto"/>
              </w:rPr>
            </w:pPr>
            <w:r>
              <w:rPr>
                <w:rFonts w:ascii="Arial" w:cs="Arial" w:eastAsia="Arial" w:hAnsi="Arial"/>
                <w:sz w:val="14"/>
                <w:szCs w:val="14"/>
                <w:color w:val="auto"/>
                <w:w w:val="95"/>
              </w:rPr>
              <w:t>Six Months Ended January 31,</w:t>
            </w:r>
          </w:p>
        </w:tc>
        <w:tc>
          <w:tcPr>
            <w:tcW w:w="0" w:type="dxa"/>
            <w:vAlign w:val="bottom"/>
          </w:tcPr>
          <w:p>
            <w:pPr>
              <w:spacing w:after="0"/>
              <w:rPr>
                <w:sz w:val="1"/>
                <w:szCs w:val="1"/>
                <w:color w:val="auto"/>
              </w:rPr>
            </w:pPr>
          </w:p>
        </w:tc>
      </w:tr>
      <w:tr>
        <w:trPr>
          <w:trHeight w:val="30"/>
        </w:trPr>
        <w:tc>
          <w:tcPr>
            <w:tcW w:w="4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2014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28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2013</w:t>
            </w:r>
          </w:p>
        </w:tc>
        <w:tc>
          <w:tcPr>
            <w:tcW w:w="0" w:type="dxa"/>
            <w:vAlign w:val="bottom"/>
          </w:tcPr>
          <w:p>
            <w:pPr>
              <w:spacing w:after="0"/>
              <w:rPr>
                <w:sz w:val="1"/>
                <w:szCs w:val="1"/>
                <w:color w:val="auto"/>
              </w:rPr>
            </w:pPr>
          </w:p>
        </w:tc>
      </w:tr>
      <w:tr>
        <w:trPr>
          <w:trHeight w:val="30"/>
        </w:trPr>
        <w:tc>
          <w:tcPr>
            <w:tcW w:w="4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94"/>
              </w:rPr>
              <w:t>Net Earnings (Loss) from Continuing Operations Per Diluted Class</w:t>
            </w: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 Nonvoting Common Share (GAAP measure)</w:t>
            </w:r>
          </w:p>
        </w:tc>
        <w:tc>
          <w:tcPr>
            <w:tcW w:w="700" w:type="dxa"/>
            <w:vAlign w:val="bottom"/>
            <w:tcBorders>
              <w:bottom w:val="single" w:sz="8" w:color="CCEEFF"/>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0.20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0.55</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211"/>
        </w:trPr>
        <w:tc>
          <w:tcPr>
            <w:tcW w:w="4220" w:type="dxa"/>
            <w:vAlign w:val="bottom"/>
          </w:tcPr>
          <w:p>
            <w:pPr>
              <w:ind w:left="400"/>
              <w:spacing w:after="0"/>
              <w:rPr>
                <w:sz w:val="20"/>
                <w:szCs w:val="20"/>
                <w:color w:val="auto"/>
              </w:rPr>
            </w:pPr>
            <w:r>
              <w:rPr>
                <w:rFonts w:ascii="Arial" w:cs="Arial" w:eastAsia="Arial" w:hAnsi="Arial"/>
                <w:sz w:val="14"/>
                <w:szCs w:val="14"/>
                <w:color w:val="auto"/>
              </w:rPr>
              <w:t>Cost of goods sold:</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4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2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Purchase accounting expense related to inventory</w:t>
            </w:r>
          </w:p>
        </w:tc>
        <w:tc>
          <w:tcPr>
            <w:tcW w:w="7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11"/>
        </w:trPr>
        <w:tc>
          <w:tcPr>
            <w:tcW w:w="4220" w:type="dxa"/>
            <w:vAlign w:val="bottom"/>
          </w:tcPr>
          <w:p>
            <w:pPr>
              <w:ind w:left="400"/>
              <w:spacing w:after="0"/>
              <w:rPr>
                <w:sz w:val="20"/>
                <w:szCs w:val="20"/>
                <w:color w:val="auto"/>
              </w:rPr>
            </w:pPr>
            <w:r>
              <w:rPr>
                <w:rFonts w:ascii="Arial" w:cs="Arial" w:eastAsia="Arial" w:hAnsi="Arial"/>
                <w:sz w:val="14"/>
                <w:szCs w:val="14"/>
                <w:color w:val="auto"/>
              </w:rPr>
              <w:t>Selling, general and administrative:</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4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2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4"/>
                <w:szCs w:val="14"/>
                <w:color w:val="auto"/>
              </w:rPr>
              <w:t>PDC acquisition-related expenses</w:t>
            </w:r>
          </w:p>
        </w:tc>
        <w:tc>
          <w:tcPr>
            <w:tcW w:w="7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11"/>
        </w:trPr>
        <w:tc>
          <w:tcPr>
            <w:tcW w:w="422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7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95"/>
              </w:rPr>
              <w:t>0.05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30"/>
        </w:trPr>
        <w:tc>
          <w:tcPr>
            <w:tcW w:w="4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2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Non-cash income tax charges related to PDC funding</w:t>
            </w:r>
          </w:p>
        </w:tc>
        <w:tc>
          <w:tcPr>
            <w:tcW w:w="7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0.49</w:t>
            </w:r>
          </w:p>
        </w:tc>
        <w:tc>
          <w:tcPr>
            <w:tcW w:w="0" w:type="dxa"/>
            <w:vAlign w:val="bottom"/>
          </w:tcPr>
          <w:p>
            <w:pPr>
              <w:spacing w:after="0"/>
              <w:rPr>
                <w:sz w:val="1"/>
                <w:szCs w:val="1"/>
                <w:color w:val="auto"/>
              </w:rPr>
            </w:pPr>
          </w:p>
        </w:tc>
      </w:tr>
      <w:tr>
        <w:trPr>
          <w:trHeight w:val="173"/>
        </w:trPr>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Net Earnings from Continuing Operations Excluding Certain</w:t>
            </w:r>
          </w:p>
        </w:tc>
        <w:tc>
          <w:tcPr>
            <w:tcW w:w="7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20" w:type="dxa"/>
            <w:vAlign w:val="bottom"/>
          </w:tcPr>
          <w:p>
            <w:pPr>
              <w:ind w:left="20"/>
              <w:spacing w:after="0"/>
              <w:rPr>
                <w:sz w:val="20"/>
                <w:szCs w:val="20"/>
                <w:color w:val="auto"/>
              </w:rPr>
            </w:pPr>
            <w:r>
              <w:rPr>
                <w:rFonts w:ascii="Arial" w:cs="Arial" w:eastAsia="Arial" w:hAnsi="Arial"/>
                <w:sz w:val="14"/>
                <w:szCs w:val="14"/>
                <w:b w:val="1"/>
                <w:bCs w:val="1"/>
                <w:color w:val="auto"/>
                <w:w w:val="97"/>
              </w:rPr>
              <w:t>Items Per Diluted Class A Nonvoting Common Share (non-GAAP</w:t>
            </w:r>
          </w:p>
        </w:tc>
        <w:tc>
          <w:tcPr>
            <w:tcW w:w="700" w:type="dxa"/>
            <w:vAlign w:val="bottom"/>
            <w:vMerge w:val="restart"/>
          </w:tcPr>
          <w:p>
            <w:pPr>
              <w:jc w:val="right"/>
              <w:ind w:right="528"/>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w w:val="95"/>
              </w:rPr>
              <w:t>0.25</w:t>
            </w:r>
          </w:p>
        </w:tc>
        <w:tc>
          <w:tcPr>
            <w:tcW w:w="100" w:type="dxa"/>
            <w:vAlign w:val="bottom"/>
          </w:tcPr>
          <w:p>
            <w:pPr>
              <w:spacing w:after="0"/>
              <w:rPr>
                <w:sz w:val="15"/>
                <w:szCs w:val="15"/>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0.38</w:t>
            </w:r>
          </w:p>
        </w:tc>
        <w:tc>
          <w:tcPr>
            <w:tcW w:w="10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0.69</w:t>
            </w:r>
          </w:p>
        </w:tc>
        <w:tc>
          <w:tcPr>
            <w:tcW w:w="100" w:type="dxa"/>
            <w:vAlign w:val="bottom"/>
          </w:tcPr>
          <w:p>
            <w:pPr>
              <w:spacing w:after="0"/>
              <w:rPr>
                <w:sz w:val="15"/>
                <w:szCs w:val="15"/>
                <w:color w:val="auto"/>
              </w:rPr>
            </w:pP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0.89</w:t>
            </w:r>
          </w:p>
        </w:tc>
        <w:tc>
          <w:tcPr>
            <w:tcW w:w="0" w:type="dxa"/>
            <w:vAlign w:val="bottom"/>
          </w:tcPr>
          <w:p>
            <w:pPr>
              <w:spacing w:after="0"/>
              <w:rPr>
                <w:sz w:val="1"/>
                <w:szCs w:val="1"/>
                <w:color w:val="auto"/>
              </w:rPr>
            </w:pPr>
          </w:p>
        </w:tc>
      </w:tr>
      <w:tr>
        <w:trPr>
          <w:trHeight w:val="202"/>
        </w:trPr>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measure)</w:t>
            </w:r>
          </w:p>
        </w:tc>
        <w:tc>
          <w:tcPr>
            <w:tcW w:w="70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706" w:right="1440"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2019-12-05T19:52:13Z</dcterms:created>
  <dcterms:modified xsi:type="dcterms:W3CDTF">2019-12-05T19:52:13Z</dcterms:modified>
</cp:coreProperties>
</file>