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138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3854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PUNGELLO ELIZABETH P</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94 RED BUD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04/30/2010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CHAPEL HILL</w:t>
            </w:r>
          </w:p>
        </w:tc>
        <w:tc>
          <w:tcPr>
            <w:tcW w:w="900" w:type="dxa"/>
            <w:vAlign w:val="bottom"/>
          </w:tcPr>
          <w:p>
            <w:pPr>
              <w:ind w:left="80"/>
              <w:spacing w:after="0"/>
              <w:rPr>
                <w:sz w:val="20"/>
                <w:szCs w:val="20"/>
                <w:color w:val="auto"/>
              </w:rPr>
            </w:pPr>
            <w:r>
              <w:rPr>
                <w:rFonts w:ascii="Arial" w:cs="Arial" w:eastAsia="Arial" w:hAnsi="Arial"/>
                <w:sz w:val="17"/>
                <w:szCs w:val="17"/>
                <w:color w:val="0000FF"/>
              </w:rPr>
              <w:t>NC</w:t>
            </w:r>
          </w:p>
        </w:tc>
        <w:tc>
          <w:tcPr>
            <w:tcW w:w="1680" w:type="dxa"/>
            <w:vAlign w:val="bottom"/>
          </w:tcPr>
          <w:p>
            <w:pPr>
              <w:ind w:left="440"/>
              <w:spacing w:after="0"/>
              <w:rPr>
                <w:sz w:val="20"/>
                <w:szCs w:val="20"/>
                <w:color w:val="auto"/>
              </w:rPr>
            </w:pPr>
            <w:r>
              <w:rPr>
                <w:rFonts w:ascii="Arial" w:cs="Arial" w:eastAsia="Arial" w:hAnsi="Arial"/>
                <w:sz w:val="17"/>
                <w:szCs w:val="17"/>
                <w:color w:val="0000FF"/>
              </w:rPr>
              <w:t>27514</w:t>
            </w:r>
          </w:p>
        </w:tc>
      </w:tr>
      <w:tr>
        <w:trPr>
          <w:trHeight w:val="156"/>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2"/>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7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780" w:type="dxa"/>
            <w:vAlign w:val="bottom"/>
            <w:gridSpan w:val="4"/>
          </w:tcPr>
          <w:p>
            <w:pPr>
              <w:ind w:left="60"/>
              <w:spacing w:after="0"/>
              <w:rPr>
                <w:sz w:val="20"/>
                <w:szCs w:val="20"/>
                <w:color w:val="auto"/>
              </w:rPr>
            </w:pPr>
            <w:r>
              <w:rPr>
                <w:rFonts w:ascii="Arial" w:cs="Arial" w:eastAsia="Arial" w:hAnsi="Arial"/>
                <w:sz w:val="17"/>
                <w:szCs w:val="17"/>
                <w:color w:val="0000FF"/>
              </w:rPr>
              <w:t>Class A Common Stock (Robert and</w:t>
            </w: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60" w:type="dxa"/>
            <w:vAlign w:val="bottom"/>
            <w:gridSpan w:val="2"/>
            <w:vMerge w:val="restart"/>
          </w:tcPr>
          <w:p>
            <w:pPr>
              <w:jc w:val="center"/>
              <w:ind w:right="19"/>
              <w:spacing w:after="0"/>
              <w:rPr>
                <w:sz w:val="20"/>
                <w:szCs w:val="20"/>
                <w:color w:val="auto"/>
              </w:rPr>
            </w:pPr>
            <w:r>
              <w:rPr>
                <w:rFonts w:ascii="Arial" w:cs="Arial" w:eastAsia="Arial" w:hAnsi="Arial"/>
                <w:sz w:val="17"/>
                <w:szCs w:val="17"/>
                <w:color w:val="0000FF"/>
                <w:w w:val="88"/>
              </w:rPr>
              <w:t>430,706</w:t>
            </w:r>
            <w:r>
              <w:rPr>
                <w:rFonts w:ascii="Arial" w:cs="Arial" w:eastAsia="Arial" w:hAnsi="Arial"/>
                <w:sz w:val="22"/>
                <w:szCs w:val="22"/>
                <w:color w:val="008000"/>
                <w:w w:val="88"/>
                <w:vertAlign w:val="superscript"/>
              </w:rPr>
              <w:t>(1)</w:t>
            </w:r>
          </w:p>
        </w:tc>
        <w:tc>
          <w:tcPr>
            <w:tcW w:w="300" w:type="dxa"/>
            <w:vAlign w:val="bottom"/>
          </w:tcPr>
          <w:p>
            <w:pPr>
              <w:spacing w:after="0"/>
              <w:rPr>
                <w:sz w:val="22"/>
                <w:szCs w:val="22"/>
                <w:color w:val="auto"/>
              </w:rPr>
            </w:pPr>
          </w:p>
        </w:tc>
        <w:tc>
          <w:tcPr>
            <w:tcW w:w="600" w:type="dxa"/>
            <w:vAlign w:val="bottom"/>
            <w:vMerge w:val="restart"/>
          </w:tcPr>
          <w:p>
            <w:pPr>
              <w:ind w:left="40"/>
              <w:spacing w:after="0"/>
              <w:rPr>
                <w:sz w:val="20"/>
                <w:szCs w:val="20"/>
                <w:color w:val="auto"/>
              </w:rPr>
            </w:pPr>
            <w:r>
              <w:rPr>
                <w:rFonts w:ascii="Arial" w:cs="Arial" w:eastAsia="Arial" w:hAnsi="Arial"/>
                <w:sz w:val="17"/>
                <w:szCs w:val="17"/>
                <w:color w:val="0000FF"/>
              </w:rPr>
              <w:t>D</w:t>
            </w: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Elizabeth Pungello JTWROS)</w:t>
            </w: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gridSpan w:val="3"/>
            <w:vMerge w:val="continue"/>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780" w:type="dxa"/>
            <w:vAlign w:val="bottom"/>
            <w:tcBorders>
              <w:bottom w:val="single" w:sz="8" w:color="2C2C2C"/>
            </w:tcBorders>
            <w:gridSpan w:val="4"/>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780" w:type="dxa"/>
            <w:vAlign w:val="bottom"/>
            <w:gridSpan w:val="4"/>
          </w:tcPr>
          <w:p>
            <w:pPr>
              <w:ind w:left="60"/>
              <w:spacing w:after="0"/>
              <w:rPr>
                <w:sz w:val="20"/>
                <w:szCs w:val="20"/>
                <w:color w:val="auto"/>
              </w:rPr>
            </w:pPr>
            <w:r>
              <w:rPr>
                <w:rFonts w:ascii="Arial" w:cs="Arial" w:eastAsia="Arial" w:hAnsi="Arial"/>
                <w:sz w:val="17"/>
                <w:szCs w:val="17"/>
                <w:color w:val="0000FF"/>
              </w:rPr>
              <w:t>Class B Common Stock (Brady Corporation</w:t>
            </w: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1,769,304</w:t>
            </w:r>
            <w:r>
              <w:rPr>
                <w:rFonts w:ascii="Arial" w:cs="Arial" w:eastAsia="Arial" w:hAnsi="Arial"/>
                <w:sz w:val="22"/>
                <w:szCs w:val="22"/>
                <w:color w:val="008000"/>
                <w:w w:val="89"/>
                <w:vertAlign w:val="superscript"/>
              </w:rPr>
              <w:t>(2)</w:t>
            </w:r>
          </w:p>
        </w:tc>
        <w:tc>
          <w:tcPr>
            <w:tcW w:w="300" w:type="dxa"/>
            <w:vAlign w:val="bottom"/>
          </w:tcPr>
          <w:p>
            <w:pPr>
              <w:spacing w:after="0"/>
              <w:rPr>
                <w:sz w:val="22"/>
                <w:szCs w:val="22"/>
                <w:color w:val="auto"/>
              </w:rPr>
            </w:pPr>
          </w:p>
        </w:tc>
        <w:tc>
          <w:tcPr>
            <w:tcW w:w="60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1060" w:type="dxa"/>
            <w:vAlign w:val="bottom"/>
            <w:gridSpan w:val="4"/>
            <w:vMerge w:val="restart"/>
          </w:tcPr>
          <w:p>
            <w:pPr>
              <w:ind w:left="60"/>
              <w:spacing w:after="0"/>
              <w:rPr>
                <w:sz w:val="20"/>
                <w:szCs w:val="20"/>
                <w:color w:val="auto"/>
              </w:rPr>
            </w:pPr>
            <w:r>
              <w:rPr>
                <w:rFonts w:ascii="Arial" w:cs="Arial" w:eastAsia="Arial" w:hAnsi="Arial"/>
                <w:sz w:val="17"/>
                <w:szCs w:val="17"/>
                <w:color w:val="0000FF"/>
              </w:rPr>
              <w:t>Beneficiary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7"/>
                <w:szCs w:val="17"/>
                <w:color w:val="0000FF"/>
                <w:w w:val="95"/>
              </w:rPr>
              <w:t>Class B Stock Trust)</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780" w:type="dxa"/>
            <w:vAlign w:val="bottom"/>
            <w:tcBorders>
              <w:bottom w:val="single" w:sz="8" w:color="2C2C2C"/>
            </w:tcBorders>
            <w:gridSpan w:val="4"/>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780" w:type="dxa"/>
            <w:vAlign w:val="bottom"/>
            <w:gridSpan w:val="4"/>
          </w:tcPr>
          <w:p>
            <w:pPr>
              <w:ind w:left="60"/>
              <w:spacing w:after="0"/>
              <w:rPr>
                <w:sz w:val="20"/>
                <w:szCs w:val="20"/>
                <w:color w:val="auto"/>
              </w:rPr>
            </w:pPr>
            <w:r>
              <w:rPr>
                <w:rFonts w:ascii="Arial" w:cs="Arial" w:eastAsia="Arial" w:hAnsi="Arial"/>
                <w:sz w:val="17"/>
                <w:szCs w:val="17"/>
                <w:color w:val="0000FF"/>
              </w:rPr>
              <w:t>Class A Common Stock (EBL Inheritance</w:t>
            </w: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vMerge w:val="restart"/>
          </w:tcPr>
          <w:p>
            <w:pPr>
              <w:jc w:val="center"/>
              <w:ind w:left="355"/>
              <w:spacing w:after="0"/>
              <w:rPr>
                <w:sz w:val="20"/>
                <w:szCs w:val="20"/>
                <w:color w:val="auto"/>
              </w:rPr>
            </w:pPr>
            <w:r>
              <w:rPr>
                <w:rFonts w:ascii="Arial" w:cs="Arial" w:eastAsia="Arial" w:hAnsi="Arial"/>
                <w:sz w:val="34"/>
                <w:szCs w:val="34"/>
                <w:color w:val="0000FF"/>
                <w:w w:val="77"/>
                <w:vertAlign w:val="subscript"/>
              </w:rPr>
              <w:t>30</w:t>
            </w:r>
            <w:r>
              <w:rPr>
                <w:rFonts w:ascii="Arial" w:cs="Arial" w:eastAsia="Arial" w:hAnsi="Arial"/>
                <w:sz w:val="11"/>
                <w:szCs w:val="11"/>
                <w:color w:val="008000"/>
                <w:w w:val="77"/>
              </w:rPr>
              <w:t>(2)</w:t>
            </w: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1060" w:type="dxa"/>
            <w:vAlign w:val="bottom"/>
            <w:gridSpan w:val="4"/>
            <w:vMerge w:val="restart"/>
          </w:tcPr>
          <w:p>
            <w:pPr>
              <w:ind w:left="60"/>
              <w:spacing w:after="0"/>
              <w:rPr>
                <w:sz w:val="20"/>
                <w:szCs w:val="20"/>
                <w:color w:val="auto"/>
              </w:rPr>
            </w:pPr>
            <w:r>
              <w:rPr>
                <w:rFonts w:ascii="Arial" w:cs="Arial" w:eastAsia="Arial" w:hAnsi="Arial"/>
                <w:sz w:val="17"/>
                <w:szCs w:val="17"/>
                <w:color w:val="0000FF"/>
              </w:rPr>
              <w:t>Beneficiary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Trust)</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780" w:type="dxa"/>
            <w:vAlign w:val="bottom"/>
            <w:tcBorders>
              <w:bottom w:val="single" w:sz="8" w:color="2C2C2C"/>
            </w:tcBorders>
            <w:gridSpan w:val="4"/>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780" w:type="dxa"/>
            <w:vAlign w:val="bottom"/>
            <w:gridSpan w:val="4"/>
          </w:tcPr>
          <w:p>
            <w:pPr>
              <w:ind w:left="60"/>
              <w:spacing w:after="0"/>
              <w:rPr>
                <w:sz w:val="20"/>
                <w:szCs w:val="20"/>
                <w:color w:val="auto"/>
              </w:rPr>
            </w:pPr>
            <w:r>
              <w:rPr>
                <w:rFonts w:ascii="Arial" w:cs="Arial" w:eastAsia="Arial" w:hAnsi="Arial"/>
                <w:sz w:val="17"/>
                <w:szCs w:val="17"/>
                <w:color w:val="0000FF"/>
              </w:rPr>
              <w:t>Class A Common Stock (Elizabeth B. Lurie</w:t>
            </w: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876,796</w:t>
            </w:r>
          </w:p>
        </w:tc>
        <w:tc>
          <w:tcPr>
            <w:tcW w:w="300" w:type="dxa"/>
            <w:vAlign w:val="bottom"/>
          </w:tcPr>
          <w:p>
            <w:pPr>
              <w:spacing w:after="0"/>
              <w:rPr>
                <w:sz w:val="22"/>
                <w:szCs w:val="22"/>
                <w:color w:val="auto"/>
              </w:rPr>
            </w:pPr>
          </w:p>
        </w:tc>
        <w:tc>
          <w:tcPr>
            <w:tcW w:w="60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1060" w:type="dxa"/>
            <w:vAlign w:val="bottom"/>
            <w:gridSpan w:val="4"/>
            <w:vMerge w:val="restart"/>
          </w:tcPr>
          <w:p>
            <w:pPr>
              <w:ind w:left="60"/>
              <w:spacing w:after="0"/>
              <w:rPr>
                <w:sz w:val="20"/>
                <w:szCs w:val="20"/>
                <w:color w:val="auto"/>
              </w:rPr>
            </w:pPr>
            <w:r>
              <w:rPr>
                <w:rFonts w:ascii="Arial" w:cs="Arial" w:eastAsia="Arial" w:hAnsi="Arial"/>
                <w:sz w:val="17"/>
                <w:szCs w:val="17"/>
                <w:color w:val="0000FF"/>
              </w:rPr>
              <w:t>Beneficiary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7"/>
                <w:szCs w:val="17"/>
                <w:color w:val="0000FF"/>
              </w:rPr>
              <w:t>Living Trust)</w:t>
            </w:r>
          </w:p>
        </w:tc>
        <w:tc>
          <w:tcPr>
            <w:tcW w:w="10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0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gridSpan w:val="6"/>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8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vMerge w:val="restart"/>
          </w:tcPr>
          <w:p>
            <w:pPr>
              <w:ind w:left="32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2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0.0034</w:t>
            </w: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Comp</w:t>
            </w:r>
          </w:p>
        </w:tc>
        <w:tc>
          <w:tcPr>
            <w:tcW w:w="840" w:type="dxa"/>
            <w:vAlign w:val="bottom"/>
            <w:vMerge w:val="continue"/>
          </w:tcPr>
          <w:p>
            <w:pPr>
              <w:spacing w:after="0"/>
              <w:rPr>
                <w:sz w:val="12"/>
                <w:szCs w:val="12"/>
                <w:color w:val="auto"/>
              </w:rPr>
            </w:pPr>
          </w:p>
        </w:tc>
        <w:tc>
          <w:tcPr>
            <w:tcW w:w="1040" w:type="dxa"/>
            <w:vAlign w:val="bottom"/>
          </w:tcPr>
          <w:p>
            <w:pPr>
              <w:jc w:val="right"/>
              <w:ind w:right="138"/>
              <w:spacing w:after="0" w:line="148" w:lineRule="exact"/>
              <w:rPr>
                <w:sz w:val="20"/>
                <w:szCs w:val="20"/>
                <w:color w:val="auto"/>
              </w:rPr>
            </w:pPr>
            <w:r>
              <w:rPr>
                <w:rFonts w:ascii="Arial" w:cs="Arial" w:eastAsia="Arial" w:hAnsi="Arial"/>
                <w:sz w:val="13"/>
                <w:szCs w:val="13"/>
                <w:color w:val="0000FF"/>
              </w:rPr>
              <w:t>04/30/2010</w:t>
            </w:r>
          </w:p>
        </w:tc>
        <w:tc>
          <w:tcPr>
            <w:tcW w:w="1180" w:type="dxa"/>
            <w:vAlign w:val="bottom"/>
          </w:tcPr>
          <w:p>
            <w:pPr>
              <w:spacing w:after="0"/>
              <w:rPr>
                <w:sz w:val="12"/>
                <w:szCs w:val="12"/>
                <w:color w:val="auto"/>
              </w:rPr>
            </w:pPr>
          </w:p>
        </w:tc>
        <w:tc>
          <w:tcPr>
            <w:tcW w:w="640" w:type="dxa"/>
            <w:vAlign w:val="bottom"/>
          </w:tcPr>
          <w:p>
            <w:pPr>
              <w:ind w:left="180"/>
              <w:spacing w:after="0" w:line="148" w:lineRule="exact"/>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560" w:type="dxa"/>
            <w:vAlign w:val="bottom"/>
          </w:tcPr>
          <w:p>
            <w:pPr>
              <w:ind w:left="80"/>
              <w:spacing w:after="0" w:line="148" w:lineRule="exact"/>
              <w:rPr>
                <w:sz w:val="20"/>
                <w:szCs w:val="20"/>
                <w:color w:val="auto"/>
              </w:rPr>
            </w:pPr>
            <w:r>
              <w:rPr>
                <w:rFonts w:ascii="Arial" w:cs="Arial" w:eastAsia="Arial" w:hAnsi="Arial"/>
                <w:sz w:val="13"/>
                <w:szCs w:val="13"/>
                <w:color w:val="0000FF"/>
              </w:rPr>
              <w:t>0.0034</w:t>
            </w:r>
          </w:p>
        </w:tc>
        <w:tc>
          <w:tcPr>
            <w:tcW w:w="3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tcPr>
          <w:p>
            <w:pPr>
              <w:ind w:left="8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760" w:type="dxa"/>
            <w:vAlign w:val="bottom"/>
          </w:tcPr>
          <w:p>
            <w:pPr>
              <w:ind w:left="18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35.13</w:t>
            </w:r>
          </w:p>
        </w:tc>
        <w:tc>
          <w:tcPr>
            <w:tcW w:w="800" w:type="dxa"/>
            <w:vAlign w:val="bottom"/>
            <w:gridSpan w:val="2"/>
          </w:tcPr>
          <w:p>
            <w:pPr>
              <w:ind w:left="140"/>
              <w:spacing w:after="0" w:line="148" w:lineRule="exact"/>
              <w:rPr>
                <w:sz w:val="20"/>
                <w:szCs w:val="20"/>
                <w:color w:val="auto"/>
              </w:rPr>
            </w:pPr>
            <w:r>
              <w:rPr>
                <w:rFonts w:ascii="Arial" w:cs="Arial" w:eastAsia="Arial" w:hAnsi="Arial"/>
                <w:sz w:val="13"/>
                <w:szCs w:val="13"/>
                <w:color w:val="0000FF"/>
                <w:w w:val="98"/>
              </w:rPr>
              <w:t>2,092.9749</w:t>
            </w:r>
          </w:p>
        </w:tc>
        <w:tc>
          <w:tcPr>
            <w:tcW w:w="600" w:type="dxa"/>
            <w:vAlign w:val="bottom"/>
          </w:tcPr>
          <w:p>
            <w:pPr>
              <w:ind w:left="460"/>
              <w:spacing w:after="0" w:line="148" w:lineRule="exact"/>
              <w:rPr>
                <w:sz w:val="20"/>
                <w:szCs w:val="20"/>
                <w:color w:val="auto"/>
              </w:rPr>
            </w:pPr>
            <w:r>
              <w:rPr>
                <w:rFonts w:ascii="Arial" w:cs="Arial" w:eastAsia="Arial" w:hAnsi="Arial"/>
                <w:sz w:val="13"/>
                <w:szCs w:val="13"/>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the reporting person is the beneficiary for Section 16 or any other purpose.</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non-derivative security is held by the filer as a beneficiary of the Trust.</w:t>
      </w:r>
    </w:p>
    <w:p>
      <w:pPr>
        <w:spacing w:after="0" w:line="51" w:lineRule="exact"/>
        <w:rPr>
          <w:rFonts w:ascii="Arial" w:cs="Arial" w:eastAsia="Arial" w:hAnsi="Arial"/>
          <w:sz w:val="13"/>
          <w:szCs w:val="13"/>
          <w:color w:val="008000"/>
        </w:rPr>
      </w:pPr>
    </w:p>
    <w:p>
      <w:pPr>
        <w:ind w:left="40" w:right="3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deferred compensation stock units were acquired under the Brady Corporation director deferred compensation plan. Each deferred compensation unit is the economic equivalent of one share of Class A Common Stock. The deferred compensation units become payable in shares of Brady's Class A Common Stock upon the reporting persons cessation of service as a director.</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Krista Ebbens, as Attoney-In-</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05/04/2010</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095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2019-12-18T13:00:03Z</dcterms:created>
  <dcterms:modified xsi:type="dcterms:W3CDTF">2019-12-18T13:00:03Z</dcterms:modified>
</cp:coreProperties>
</file>