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4"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Washington, D.C. 20549</w:t>
      </w:r>
    </w:p>
    <w:p>
      <w:pPr>
        <w:spacing w:after="0" w:line="149" w:lineRule="exact"/>
        <w:rPr>
          <w:sz w:val="20"/>
          <w:szCs w:val="20"/>
          <w:color w:val="auto"/>
        </w:rPr>
      </w:pPr>
    </w:p>
    <w:p>
      <w:pPr>
        <w:jc w:val="center"/>
        <w:ind w:right="-180"/>
        <w:spacing w:after="0"/>
        <w:rPr>
          <w:sz w:val="20"/>
          <w:szCs w:val="20"/>
          <w:color w:val="auto"/>
        </w:rPr>
      </w:pPr>
      <w:r>
        <w:rPr>
          <w:rFonts w:ascii="Arial" w:cs="Arial" w:eastAsia="Arial" w:hAnsi="Arial"/>
          <w:sz w:val="32"/>
          <w:szCs w:val="32"/>
          <w:b w:val="1"/>
          <w:bCs w:val="1"/>
          <w:color w:val="auto"/>
        </w:rPr>
        <w:t>FORM 11-K</w:t>
      </w:r>
    </w:p>
    <w:p>
      <w:pPr>
        <w:spacing w:after="0" w:line="216" w:lineRule="exact"/>
        <w:rPr>
          <w:sz w:val="20"/>
          <w:szCs w:val="20"/>
          <w:color w:val="auto"/>
        </w:rPr>
      </w:pPr>
    </w:p>
    <w:p>
      <w:pPr>
        <w:ind w:left="1500" w:right="1419" w:hanging="918"/>
        <w:spacing w:after="0" w:line="261"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21" w:lineRule="exact"/>
        <w:rPr>
          <w:sz w:val="20"/>
          <w:szCs w:val="20"/>
          <w:color w:val="auto"/>
        </w:rPr>
      </w:pPr>
    </w:p>
    <w:p>
      <w:pPr>
        <w:jc w:val="right"/>
        <w:ind w:right="4919"/>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b w:val="1"/>
          <w:bCs w:val="1"/>
          <w:u w:val="single" w:color="auto"/>
          <w:color w:val="auto"/>
        </w:rPr>
        <w:t>December 31, 2010</w:t>
      </w:r>
    </w:p>
    <w:p>
      <w:pPr>
        <w:spacing w:after="0" w:line="171" w:lineRule="exact"/>
        <w:rPr>
          <w:sz w:val="20"/>
          <w:szCs w:val="20"/>
          <w:color w:val="auto"/>
        </w:rPr>
      </w:pPr>
    </w:p>
    <w:p>
      <w:pPr>
        <w:jc w:val="right"/>
        <w:ind w:right="4899"/>
        <w:spacing w:after="0"/>
        <w:rPr>
          <w:sz w:val="20"/>
          <w:szCs w:val="20"/>
          <w:color w:val="auto"/>
        </w:rPr>
      </w:pPr>
      <w:r>
        <w:rPr>
          <w:rFonts w:ascii="Arial" w:cs="Arial" w:eastAsia="Arial" w:hAnsi="Arial"/>
          <w:sz w:val="18"/>
          <w:szCs w:val="18"/>
          <w:b w:val="1"/>
          <w:bCs w:val="1"/>
          <w:color w:val="auto"/>
        </w:rPr>
        <w:t>OR</w:t>
      </w:r>
    </w:p>
    <w:p>
      <w:pPr>
        <w:spacing w:after="0" w:line="189" w:lineRule="exact"/>
        <w:rPr>
          <w:sz w:val="20"/>
          <w:szCs w:val="20"/>
          <w:color w:val="auto"/>
        </w:rPr>
      </w:pPr>
    </w:p>
    <w:p>
      <w:pPr>
        <w:ind w:left="1500" w:right="999" w:hanging="877"/>
        <w:spacing w:after="0" w:line="261"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135" w:lineRule="exact"/>
        <w:rPr>
          <w:sz w:val="20"/>
          <w:szCs w:val="20"/>
          <w:color w:val="auto"/>
        </w:rPr>
      </w:pPr>
    </w:p>
    <w:p>
      <w:pPr>
        <w:ind w:left="1500"/>
        <w:spacing w:after="0"/>
        <w:tabs>
          <w:tab w:leader="none" w:pos="51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2590165</wp:posOffset>
            </wp:positionH>
            <wp:positionV relativeFrom="paragraph">
              <wp:posOffset>-5080</wp:posOffset>
            </wp:positionV>
            <wp:extent cx="1441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1450" cy="8890"/>
                    </a:xfrm>
                    <a:prstGeom prst="rect">
                      <a:avLst/>
                    </a:prstGeom>
                    <a:noFill/>
                  </pic:spPr>
                </pic:pic>
              </a:graphicData>
            </a:graphic>
          </wp:anchor>
        </w:drawing>
      </w:r>
    </w:p>
    <w:p>
      <w:pPr>
        <w:spacing w:after="0" w:line="15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Commission file number 1-14959 Brady Corporation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132" w:lineRule="exact"/>
        <w:rPr>
          <w:sz w:val="20"/>
          <w:szCs w:val="20"/>
          <w:color w:val="auto"/>
        </w:rPr>
      </w:pPr>
    </w:p>
    <w:p>
      <w:pPr>
        <w:jc w:val="center"/>
        <w:ind w:right="-180"/>
        <w:spacing w:after="0"/>
        <w:rPr>
          <w:sz w:val="20"/>
          <w:szCs w:val="20"/>
          <w:color w:val="auto"/>
        </w:rPr>
      </w:pPr>
      <w:r>
        <w:rPr>
          <w:rFonts w:ascii="Arial" w:cs="Arial" w:eastAsia="Arial" w:hAnsi="Arial"/>
          <w:sz w:val="43"/>
          <w:szCs w:val="43"/>
          <w:b w:val="1"/>
          <w:bCs w:val="1"/>
          <w:color w:val="auto"/>
        </w:rPr>
        <w:t>BRADY MATCHED 401(k) PLAN</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16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BRADY CORPORATION</w:t>
      </w:r>
    </w:p>
    <w:p>
      <w:pPr>
        <w:jc w:val="center"/>
        <w:ind w:right="-180"/>
        <w:spacing w:after="0" w:line="234" w:lineRule="auto"/>
        <w:rPr>
          <w:sz w:val="20"/>
          <w:szCs w:val="20"/>
          <w:color w:val="auto"/>
        </w:rPr>
      </w:pPr>
      <w:r>
        <w:rPr>
          <w:rFonts w:ascii="Arial" w:cs="Arial" w:eastAsia="Arial" w:hAnsi="Arial"/>
          <w:sz w:val="18"/>
          <w:szCs w:val="18"/>
          <w:color w:val="auto"/>
        </w:rPr>
        <w:t>6555 WEST GOOD HOPE ROAD</w:t>
      </w:r>
    </w:p>
    <w:p>
      <w:pPr>
        <w:jc w:val="center"/>
        <w:ind w:right="-180"/>
        <w:spacing w:after="0" w:line="235" w:lineRule="auto"/>
        <w:rPr>
          <w:sz w:val="20"/>
          <w:szCs w:val="20"/>
          <w:color w:val="auto"/>
        </w:rPr>
      </w:pPr>
      <w:r>
        <w:rPr>
          <w:rFonts w:ascii="Arial" w:cs="Arial" w:eastAsia="Arial" w:hAnsi="Arial"/>
          <w:sz w:val="18"/>
          <w:szCs w:val="18"/>
          <w:color w:val="auto"/>
        </w:rPr>
        <w:t>PO BOX 571</w:t>
      </w:r>
    </w:p>
    <w:p>
      <w:pPr>
        <w:spacing w:after="0" w:line="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MILWAUKEE WI 53202-0571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126365</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143510</wp:posOffset>
            </wp:positionV>
            <wp:extent cx="61747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784860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Brady Matched 401(k) Plan</w:t>
      </w:r>
    </w:p>
    <w:p>
      <w:pPr>
        <w:spacing w:after="0" w:line="189" w:lineRule="exact"/>
        <w:rPr>
          <w:sz w:val="20"/>
          <w:szCs w:val="20"/>
          <w:color w:val="auto"/>
        </w:rPr>
      </w:pPr>
    </w:p>
    <w:p>
      <w:pPr>
        <w:ind w:left="340" w:right="179"/>
        <w:spacing w:after="0" w:line="267" w:lineRule="auto"/>
        <w:rPr>
          <w:sz w:val="20"/>
          <w:szCs w:val="20"/>
          <w:color w:val="auto"/>
        </w:rPr>
      </w:pPr>
      <w:r>
        <w:rPr>
          <w:rFonts w:ascii="Arial" w:cs="Arial" w:eastAsia="Arial" w:hAnsi="Arial"/>
          <w:sz w:val="18"/>
          <w:szCs w:val="18"/>
          <w:i w:val="1"/>
          <w:iCs w:val="1"/>
          <w:color w:val="auto"/>
        </w:rPr>
        <w:t>Financial Statements as of and for the Years Ended December 31, 2010 and 2009, Supplemental Schedules as of December 31, 2010, and Reports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592455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t>BRADY MATCHED 401(k) PLAN</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PAGE</w:t>
            </w:r>
          </w:p>
        </w:tc>
      </w:tr>
      <w:tr>
        <w:trPr>
          <w:trHeight w:val="372"/>
        </w:trPr>
        <w:tc>
          <w:tcPr>
            <w:tcW w:w="8660" w:type="dxa"/>
            <w:vAlign w:val="bottom"/>
            <w:gridSpan w:val="8"/>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REPORT OF INDEPENDENT REGISTERED PUBLIC ACCOUNTING FIRM</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6"/>
        </w:trPr>
        <w:tc>
          <w:tcPr>
            <w:tcW w:w="6080" w:type="dxa"/>
            <w:vAlign w:val="bottom"/>
            <w:tcBorders>
              <w:top w:val="single" w:sz="8" w:color="0000EE"/>
            </w:tcBorders>
            <w:gridSpan w:val="7"/>
          </w:tcPr>
          <w:p>
            <w:pPr>
              <w:spacing w:after="0"/>
              <w:rPr>
                <w:sz w:val="20"/>
                <w:szCs w:val="20"/>
                <w:color w:val="auto"/>
              </w:rPr>
            </w:pPr>
            <w:r>
              <w:rPr>
                <w:rFonts w:ascii="Arial" w:cs="Arial" w:eastAsia="Arial" w:hAnsi="Arial"/>
                <w:sz w:val="18"/>
                <w:szCs w:val="18"/>
                <w:b w:val="1"/>
                <w:bCs w:val="1"/>
                <w:color w:val="auto"/>
              </w:rPr>
              <w:t>FINANCIAL STATEMENTS</w:t>
            </w:r>
          </w:p>
        </w:tc>
        <w:tc>
          <w:tcPr>
            <w:tcW w:w="2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65"/>
        </w:trPr>
        <w:tc>
          <w:tcPr>
            <w:tcW w:w="200" w:type="dxa"/>
            <w:vAlign w:val="bottom"/>
          </w:tcPr>
          <w:p>
            <w:pPr>
              <w:spacing w:after="0"/>
              <w:rPr>
                <w:sz w:val="24"/>
                <w:szCs w:val="24"/>
                <w:color w:val="auto"/>
              </w:rPr>
            </w:pPr>
          </w:p>
        </w:tc>
        <w:tc>
          <w:tcPr>
            <w:tcW w:w="8460" w:type="dxa"/>
            <w:vAlign w:val="bottom"/>
            <w:gridSpan w:val="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Statements of Net Assets Available for Benefits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85"/>
        </w:trPr>
        <w:tc>
          <w:tcPr>
            <w:tcW w:w="200" w:type="dxa"/>
            <w:vAlign w:val="bottom"/>
          </w:tcPr>
          <w:p>
            <w:pPr>
              <w:spacing w:after="0"/>
              <w:rPr>
                <w:sz w:val="24"/>
                <w:szCs w:val="24"/>
                <w:color w:val="auto"/>
              </w:rPr>
            </w:pPr>
          </w:p>
        </w:tc>
        <w:tc>
          <w:tcPr>
            <w:tcW w:w="8460" w:type="dxa"/>
            <w:vAlign w:val="bottom"/>
            <w:gridSpan w:val="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Statements of Changes in Net Assets Available for Benefits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85"/>
        </w:trPr>
        <w:tc>
          <w:tcPr>
            <w:tcW w:w="200" w:type="dxa"/>
            <w:vAlign w:val="bottom"/>
          </w:tcPr>
          <w:p>
            <w:pPr>
              <w:spacing w:after="0"/>
              <w:rPr>
                <w:sz w:val="24"/>
                <w:szCs w:val="24"/>
                <w:color w:val="auto"/>
              </w:rPr>
            </w:pPr>
          </w:p>
        </w:tc>
        <w:tc>
          <w:tcPr>
            <w:tcW w:w="2400" w:type="dxa"/>
            <w:vAlign w:val="bottom"/>
            <w:tcBorders>
              <w:top w:val="single" w:sz="8" w:color="0000EE"/>
              <w:bottom w:val="single" w:sz="8" w:color="0000EE"/>
            </w:tcBorders>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Notes to Financial Statements</w:t>
              </w:r>
            </w:hyperlink>
          </w:p>
        </w:tc>
        <w:tc>
          <w:tcPr>
            <w:tcW w:w="2320" w:type="dxa"/>
            <w:vAlign w:val="bottom"/>
            <w:tcBorders>
              <w:top w:val="single" w:sz="8" w:color="0000EE"/>
            </w:tcBorders>
            <w:gridSpan w:val="2"/>
          </w:tcPr>
          <w:p>
            <w:pPr>
              <w:spacing w:after="0"/>
              <w:rPr>
                <w:sz w:val="24"/>
                <w:szCs w:val="24"/>
                <w:color w:val="auto"/>
              </w:rPr>
            </w:pPr>
          </w:p>
        </w:tc>
        <w:tc>
          <w:tcPr>
            <w:tcW w:w="374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26"/>
        </w:trPr>
        <w:tc>
          <w:tcPr>
            <w:tcW w:w="8660" w:type="dxa"/>
            <w:vAlign w:val="bottom"/>
            <w:gridSpan w:val="8"/>
          </w:tcPr>
          <w:p>
            <w:pPr>
              <w:spacing w:after="0"/>
              <w:rPr>
                <w:sz w:val="20"/>
                <w:szCs w:val="20"/>
                <w:color w:val="auto"/>
              </w:rPr>
            </w:pPr>
            <w:r>
              <w:rPr>
                <w:rFonts w:ascii="Arial" w:cs="Arial" w:eastAsia="Arial" w:hAnsi="Arial"/>
                <w:sz w:val="18"/>
                <w:szCs w:val="18"/>
                <w:b w:val="1"/>
                <w:bCs w:val="1"/>
                <w:color w:val="auto"/>
              </w:rPr>
              <w:t>SUPPLEMENTAL SCHEDULES</w:t>
            </w: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65"/>
        </w:trPr>
        <w:tc>
          <w:tcPr>
            <w:tcW w:w="200" w:type="dxa"/>
            <w:vAlign w:val="bottom"/>
          </w:tcPr>
          <w:p>
            <w:pPr>
              <w:spacing w:after="0"/>
              <w:rPr>
                <w:sz w:val="24"/>
                <w:szCs w:val="24"/>
                <w:color w:val="auto"/>
              </w:rPr>
            </w:pPr>
          </w:p>
        </w:tc>
        <w:tc>
          <w:tcPr>
            <w:tcW w:w="8460" w:type="dxa"/>
            <w:vAlign w:val="bottom"/>
            <w:gridSpan w:val="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Schedule H, Line 4a — Schedule of Delinquent Participant Contributions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85"/>
        </w:trPr>
        <w:tc>
          <w:tcPr>
            <w:tcW w:w="200" w:type="dxa"/>
            <w:vAlign w:val="bottom"/>
          </w:tcPr>
          <w:p>
            <w:pPr>
              <w:spacing w:after="0"/>
              <w:rPr>
                <w:sz w:val="24"/>
                <w:szCs w:val="24"/>
                <w:color w:val="auto"/>
              </w:rPr>
            </w:pPr>
          </w:p>
        </w:tc>
        <w:tc>
          <w:tcPr>
            <w:tcW w:w="5760" w:type="dxa"/>
            <w:vAlign w:val="bottom"/>
            <w:tcBorders>
              <w:top w:val="single" w:sz="8" w:color="0000EE"/>
            </w:tcBorders>
            <w:gridSpan w:val="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Schedule H, Line 4i — Schedule of Assets (Held at End of Year)</w:t>
              </w:r>
            </w:hyperlink>
          </w:p>
        </w:tc>
        <w:tc>
          <w:tcPr>
            <w:tcW w:w="2700" w:type="dxa"/>
            <w:vAlign w:val="bottom"/>
            <w:gridSpan w:val="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20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23.1 - Consent of Clifton Gunderson LLP</w:t>
      </w:r>
    </w:p>
    <w:p>
      <w:pPr>
        <w:spacing w:after="0" w:line="113" w:lineRule="exact"/>
        <w:rPr>
          <w:sz w:val="20"/>
          <w:szCs w:val="20"/>
          <w:color w:val="auto"/>
        </w:rPr>
      </w:pPr>
    </w:p>
    <w:p>
      <w:pPr>
        <w:jc w:val="both"/>
        <w:ind w:left="620" w:right="179" w:hanging="634"/>
        <w:spacing w:after="0"/>
        <w:rPr>
          <w:sz w:val="20"/>
          <w:szCs w:val="20"/>
          <w:color w:val="auto"/>
        </w:rPr>
      </w:pPr>
      <w:r>
        <w:rPr>
          <w:rFonts w:ascii="Arial" w:cs="Arial" w:eastAsia="Arial" w:hAnsi="Arial"/>
          <w:sz w:val="18"/>
          <w:szCs w:val="18"/>
          <w:color w:val="auto"/>
        </w:rPr>
        <w:t>NOTE: All 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615950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27"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Retirement Committee</w:t>
      </w:r>
    </w:p>
    <w:p>
      <w:pPr>
        <w:ind w:left="340"/>
        <w:spacing w:after="0" w:line="234" w:lineRule="auto"/>
        <w:rPr>
          <w:sz w:val="20"/>
          <w:szCs w:val="20"/>
          <w:color w:val="auto"/>
        </w:rPr>
      </w:pPr>
      <w:r>
        <w:rPr>
          <w:rFonts w:ascii="Arial" w:cs="Arial" w:eastAsia="Arial" w:hAnsi="Arial"/>
          <w:sz w:val="18"/>
          <w:szCs w:val="18"/>
          <w:color w:val="auto"/>
        </w:rPr>
        <w:t>Brady Matched 401(k) Plan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Milwaukee, Wisconsin</w:t>
      </w:r>
    </w:p>
    <w:p>
      <w:pPr>
        <w:spacing w:after="0" w:line="171" w:lineRule="exact"/>
        <w:rPr>
          <w:sz w:val="20"/>
          <w:szCs w:val="20"/>
          <w:color w:val="auto"/>
        </w:rPr>
      </w:pPr>
    </w:p>
    <w:p>
      <w:pPr>
        <w:jc w:val="both"/>
        <w:ind w:left="340" w:right="159"/>
        <w:spacing w:after="0" w:line="239" w:lineRule="auto"/>
        <w:rPr>
          <w:sz w:val="20"/>
          <w:szCs w:val="20"/>
          <w:color w:val="auto"/>
        </w:rPr>
      </w:pPr>
      <w:r>
        <w:rPr>
          <w:rFonts w:ascii="Arial" w:cs="Arial" w:eastAsia="Arial" w:hAnsi="Arial"/>
          <w:sz w:val="18"/>
          <w:szCs w:val="18"/>
          <w:color w:val="auto"/>
        </w:rPr>
        <w:t>We have audited the accompanying statements of net assets available for benefits of Brady Matched 401(k) Plan as of December 31, 2010 and 2009,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61" w:lineRule="exact"/>
        <w:rPr>
          <w:sz w:val="20"/>
          <w:szCs w:val="20"/>
          <w:color w:val="auto"/>
        </w:rPr>
      </w:pPr>
    </w:p>
    <w:p>
      <w:pPr>
        <w:jc w:val="both"/>
        <w:ind w:left="340" w:right="159"/>
        <w:spacing w:after="0" w:line="23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jc w:val="both"/>
        <w:ind w:left="340" w:right="179"/>
        <w:spacing w:after="0" w:line="23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Brady Matched 401(k) Plan as of December 31, 2010 and 2009, and the changes in net assets available for benefits for the years then ended in conformity with accounting principles generally accepted in the United States of America.</w:t>
      </w:r>
    </w:p>
    <w:p>
      <w:pPr>
        <w:spacing w:after="0" w:line="161" w:lineRule="exact"/>
        <w:rPr>
          <w:sz w:val="20"/>
          <w:szCs w:val="20"/>
          <w:color w:val="auto"/>
        </w:rPr>
      </w:pPr>
    </w:p>
    <w:p>
      <w:pPr>
        <w:jc w:val="both"/>
        <w:ind w:left="340" w:right="159"/>
        <w:spacing w:after="0" w:line="237" w:lineRule="auto"/>
        <w:rPr>
          <w:sz w:val="20"/>
          <w:szCs w:val="20"/>
          <w:color w:val="auto"/>
        </w:rPr>
      </w:pPr>
      <w:r>
        <w:rPr>
          <w:rFonts w:ascii="Arial" w:cs="Arial" w:eastAsia="Arial" w:hAnsi="Arial"/>
          <w:sz w:val="18"/>
          <w:szCs w:val="18"/>
          <w:color w:val="auto"/>
        </w:rPr>
        <w:t>Our audits were performed for the purpose of forming an opinion on the basic financial statements taken as a whole. The accompanying supplemental schedules are presented for purposes of additional analysis and are not a required part of the basic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 supplemental schedules have been subjected to the auditing procedures applied in the audits of the basic financial statements and, in our opinion, are presented fairly, in all material respects in relation to the basic financial statements taken as a whole.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Clifton Gunderson LLP</w:t>
      </w:r>
    </w:p>
    <w:p>
      <w:pPr>
        <w:ind w:left="340"/>
        <w:spacing w:after="0" w:line="234" w:lineRule="auto"/>
        <w:rPr>
          <w:sz w:val="20"/>
          <w:szCs w:val="20"/>
          <w:color w:val="auto"/>
        </w:rPr>
      </w:pPr>
      <w:r>
        <w:rPr>
          <w:rFonts w:ascii="Arial" w:cs="Arial" w:eastAsia="Arial" w:hAnsi="Arial"/>
          <w:sz w:val="18"/>
          <w:szCs w:val="18"/>
          <w:color w:val="auto"/>
        </w:rPr>
        <w:t>Milwaukee, Wisconsin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24, 2011</w:t>
      </w:r>
    </w:p>
    <w:p>
      <w:pPr>
        <w:spacing w:after="0" w:line="200" w:lineRule="exact"/>
        <w:rPr>
          <w:sz w:val="20"/>
          <w:szCs w:val="20"/>
          <w:color w:val="auto"/>
        </w:rPr>
      </w:pPr>
    </w:p>
    <w:p>
      <w:pPr>
        <w:spacing w:after="0" w:line="36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97"/>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BRADY MATCHED 401(k) PLAN</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320" w:type="dxa"/>
            <w:vAlign w:val="bottom"/>
            <w:gridSpan w:val="3"/>
          </w:tcPr>
          <w:p>
            <w:pPr>
              <w:jc w:val="center"/>
              <w:ind w:left="250"/>
              <w:spacing w:after="0" w:line="202" w:lineRule="exact"/>
              <w:rPr>
                <w:sz w:val="20"/>
                <w:szCs w:val="20"/>
                <w:color w:val="auto"/>
              </w:rPr>
            </w:pPr>
            <w:r>
              <w:rPr>
                <w:rFonts w:ascii="Arial" w:cs="Arial" w:eastAsia="Arial" w:hAnsi="Arial"/>
                <w:sz w:val="18"/>
                <w:szCs w:val="18"/>
                <w:b w:val="1"/>
                <w:bCs w:val="1"/>
                <w:color w:val="auto"/>
                <w:w w:val="99"/>
              </w:rPr>
              <w:t>STATEMENTS OF NET ASSETS AVAILABLE FOR BENEFITS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December 31, 2010 and 2009</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4"/>
                <w:szCs w:val="2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7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0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Investments — at fair value</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163,101,545</w:t>
            </w:r>
          </w:p>
        </w:tc>
        <w:tc>
          <w:tcPr>
            <w:tcW w:w="1380" w:type="dxa"/>
            <w:vAlign w:val="bottom"/>
            <w:gridSpan w:val="3"/>
          </w:tcPr>
          <w:p>
            <w:pPr>
              <w:jc w:val="right"/>
              <w:ind w:right="1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147,712,095</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70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Cash</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34,145</w:t>
            </w:r>
          </w:p>
        </w:tc>
        <w:tc>
          <w:tcPr>
            <w:tcW w:w="13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w:t>
            </w:r>
          </w:p>
        </w:tc>
      </w:tr>
      <w:tr>
        <w:trPr>
          <w:trHeight w:val="412"/>
        </w:trPr>
        <w:tc>
          <w:tcPr>
            <w:tcW w:w="340" w:type="dxa"/>
            <w:vAlign w:val="bottom"/>
          </w:tcPr>
          <w:p>
            <w:pPr>
              <w:spacing w:after="0"/>
              <w:rPr>
                <w:sz w:val="24"/>
                <w:szCs w:val="24"/>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Receivables</w:t>
            </w: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70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Company contributions</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911,924</w:t>
            </w:r>
          </w:p>
        </w:tc>
        <w:tc>
          <w:tcPr>
            <w:tcW w:w="13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730,242</w:t>
            </w:r>
          </w:p>
        </w:tc>
      </w:tr>
      <w:tr>
        <w:trPr>
          <w:trHeight w:val="203"/>
        </w:trPr>
        <w:tc>
          <w:tcPr>
            <w:tcW w:w="340" w:type="dxa"/>
            <w:vAlign w:val="bottom"/>
          </w:tcPr>
          <w:p>
            <w:pPr>
              <w:spacing w:after="0"/>
              <w:rPr>
                <w:sz w:val="17"/>
                <w:szCs w:val="17"/>
                <w:color w:val="auto"/>
              </w:rPr>
            </w:pPr>
          </w:p>
        </w:tc>
        <w:tc>
          <w:tcPr>
            <w:tcW w:w="700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Participant contributions</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252,800</w:t>
            </w:r>
          </w:p>
        </w:tc>
      </w:tr>
      <w:tr>
        <w:trPr>
          <w:trHeight w:val="203"/>
        </w:trPr>
        <w:tc>
          <w:tcPr>
            <w:tcW w:w="340" w:type="dxa"/>
            <w:vAlign w:val="bottom"/>
          </w:tcPr>
          <w:p>
            <w:pPr>
              <w:spacing w:after="0"/>
              <w:rPr>
                <w:sz w:val="17"/>
                <w:szCs w:val="17"/>
                <w:color w:val="auto"/>
              </w:rPr>
            </w:pPr>
          </w:p>
        </w:tc>
        <w:tc>
          <w:tcPr>
            <w:tcW w:w="70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Notes receivable from participants</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3,088,834</w:t>
            </w:r>
          </w:p>
        </w:tc>
        <w:tc>
          <w:tcPr>
            <w:tcW w:w="13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2,859,611</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7000" w:type="dxa"/>
            <w:vAlign w:val="bottom"/>
            <w:gridSpan w:val="2"/>
          </w:tcPr>
          <w:p>
            <w:pPr>
              <w:ind w:left="600"/>
              <w:spacing w:after="0"/>
              <w:rPr>
                <w:sz w:val="20"/>
                <w:szCs w:val="20"/>
                <w:color w:val="auto"/>
              </w:rPr>
            </w:pPr>
            <w:r>
              <w:rPr>
                <w:rFonts w:ascii="Arial" w:cs="Arial" w:eastAsia="Arial" w:hAnsi="Arial"/>
                <w:sz w:val="18"/>
                <w:szCs w:val="18"/>
                <w:color w:val="auto"/>
              </w:rPr>
              <w:t>Total receivables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4,000,758</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3,842,653</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700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Total assets</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167,136,448</w:t>
            </w:r>
          </w:p>
        </w:tc>
        <w:tc>
          <w:tcPr>
            <w:tcW w:w="13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151,554,755</w:t>
            </w:r>
          </w:p>
        </w:tc>
      </w:tr>
      <w:tr>
        <w:trPr>
          <w:trHeight w:val="405"/>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LIABILITIES — </w:t>
            </w:r>
            <w:r>
              <w:rPr>
                <w:rFonts w:ascii="Arial" w:cs="Arial" w:eastAsia="Arial" w:hAnsi="Arial"/>
                <w:sz w:val="18"/>
                <w:szCs w:val="18"/>
                <w:color w:val="auto"/>
              </w:rPr>
              <w:t>excess contributions payable</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(808)</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(6,866)</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ASSETS AVAILABLE FOR BENEFITS AT FAIR VALUE</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167,135,640</w:t>
            </w:r>
          </w:p>
        </w:tc>
        <w:tc>
          <w:tcPr>
            <w:tcW w:w="13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151,547,889</w:t>
            </w:r>
          </w:p>
        </w:tc>
      </w:tr>
      <w:tr>
        <w:trPr>
          <w:trHeight w:val="404"/>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Adjustments from fair value to contract value for fully benefit-responsive investment</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700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contracts</w:t>
            </w:r>
          </w:p>
        </w:tc>
        <w:tc>
          <w:tcPr>
            <w:tcW w:w="13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(378,761)</w:t>
            </w:r>
          </w:p>
        </w:tc>
        <w:tc>
          <w:tcPr>
            <w:tcW w:w="138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rPr>
              <w:t>44,408</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ASSETS AVAILABLE FOR BENEFITS</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166,756,879</w:t>
            </w:r>
          </w:p>
        </w:tc>
        <w:tc>
          <w:tcPr>
            <w:tcW w:w="13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151,592,297</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34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7"/>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BRADY MATCHED 401(k) PLAN</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300" w:type="dxa"/>
            <w:vAlign w:val="bottom"/>
            <w:gridSpan w:val="4"/>
          </w:tcPr>
          <w:p>
            <w:pPr>
              <w:jc w:val="center"/>
              <w:ind w:left="290"/>
              <w:spacing w:after="0" w:line="202" w:lineRule="exact"/>
              <w:rPr>
                <w:sz w:val="20"/>
                <w:szCs w:val="20"/>
                <w:color w:val="auto"/>
              </w:rPr>
            </w:pPr>
            <w:r>
              <w:rPr>
                <w:rFonts w:ascii="Arial" w:cs="Arial" w:eastAsia="Arial" w:hAnsi="Arial"/>
                <w:sz w:val="18"/>
                <w:szCs w:val="18"/>
                <w:b w:val="1"/>
                <w:bCs w:val="1"/>
                <w:color w:val="auto"/>
                <w:w w:val="99"/>
              </w:rPr>
              <w:t>STATEMENTS OF CHANGES IN NET ASSETS AVAILABLE FOR BENEFITS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b w:val="1"/>
                <w:bCs w:val="1"/>
                <w:color w:val="auto"/>
                <w:w w:val="99"/>
              </w:rPr>
              <w:t>Years Ended December 31, 2010 and 2009</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ADDITIONS TO NET ASSETS ATTRIBUTED TO</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Contributions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Participant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8,212,415</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7,393,574</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Company</w:t>
            </w:r>
          </w:p>
        </w:tc>
        <w:tc>
          <w:tcPr>
            <w:tcW w:w="120" w:type="dxa"/>
            <w:vAlign w:val="bottom"/>
          </w:tcPr>
          <w:p>
            <w:pPr>
              <w:spacing w:after="0"/>
              <w:rPr>
                <w:sz w:val="17"/>
                <w:szCs w:val="17"/>
                <w:color w:val="auto"/>
              </w:rPr>
            </w:pP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4,274,744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4,165,190</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Rollover</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733,279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229,034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7000" w:type="dxa"/>
            <w:vAlign w:val="bottom"/>
            <w:gridSpan w:val="2"/>
          </w:tcPr>
          <w:p>
            <w:pPr>
              <w:ind w:left="600"/>
              <w:spacing w:after="0"/>
              <w:rPr>
                <w:sz w:val="20"/>
                <w:szCs w:val="20"/>
                <w:color w:val="auto"/>
              </w:rPr>
            </w:pPr>
            <w:r>
              <w:rPr>
                <w:rFonts w:ascii="Arial" w:cs="Arial" w:eastAsia="Arial" w:hAnsi="Arial"/>
                <w:sz w:val="18"/>
                <w:szCs w:val="18"/>
                <w:color w:val="auto"/>
              </w:rPr>
              <w:t>Total contributions</w:t>
            </w:r>
          </w:p>
        </w:tc>
        <w:tc>
          <w:tcPr>
            <w:tcW w:w="12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13,220,438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11,787,798</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Investment income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Net appreciation in fair value of investments</w:t>
            </w:r>
          </w:p>
        </w:tc>
        <w:tc>
          <w:tcPr>
            <w:tcW w:w="120" w:type="dxa"/>
            <w:vAlign w:val="bottom"/>
          </w:tcPr>
          <w:p>
            <w:pPr>
              <w:spacing w:after="0"/>
              <w:rPr>
                <w:sz w:val="17"/>
                <w:szCs w:val="17"/>
                <w:color w:val="auto"/>
              </w:rPr>
            </w:pP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15,390,998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25,620,160</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Dividends</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2,340,887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2,361,252</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17"/>
                <w:szCs w:val="17"/>
                <w:color w:val="auto"/>
              </w:rPr>
            </w:pP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Net investment income</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17,732,062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27,983,000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Interest income from notes receivable from participants</w:t>
            </w:r>
          </w:p>
        </w:tc>
        <w:tc>
          <w:tcPr>
            <w:tcW w:w="12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135,778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143,192</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Transfers of assets from affiliated plans</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3,841,937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10,075,594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7000" w:type="dxa"/>
            <w:vAlign w:val="bottom"/>
            <w:gridSpan w:val="2"/>
          </w:tcPr>
          <w:p>
            <w:pPr>
              <w:ind w:left="600"/>
              <w:spacing w:after="0"/>
              <w:rPr>
                <w:sz w:val="20"/>
                <w:szCs w:val="20"/>
                <w:color w:val="auto"/>
              </w:rPr>
            </w:pPr>
            <w:r>
              <w:rPr>
                <w:rFonts w:ascii="Arial" w:cs="Arial" w:eastAsia="Arial" w:hAnsi="Arial"/>
                <w:sz w:val="18"/>
                <w:szCs w:val="18"/>
                <w:color w:val="auto"/>
              </w:rPr>
              <w:t>Total additions</w:t>
            </w:r>
          </w:p>
        </w:tc>
        <w:tc>
          <w:tcPr>
            <w:tcW w:w="12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34,930,215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49,989,584</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DEDUCTIONS FROM NET ASSETS ATTRIBUTED TO</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Benefits paid to participants</w:t>
            </w:r>
          </w:p>
        </w:tc>
        <w:tc>
          <w:tcPr>
            <w:tcW w:w="120" w:type="dxa"/>
            <w:vAlign w:val="bottom"/>
          </w:tcPr>
          <w:p>
            <w:pPr>
              <w:spacing w:after="0"/>
              <w:rPr>
                <w:sz w:val="17"/>
                <w:szCs w:val="17"/>
                <w:color w:val="auto"/>
              </w:rPr>
            </w:pP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19,371,498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18,027,408</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Administrative expenses</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394,135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319,081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7000" w:type="dxa"/>
            <w:vAlign w:val="bottom"/>
            <w:gridSpan w:val="2"/>
          </w:tcPr>
          <w:p>
            <w:pPr>
              <w:ind w:left="600"/>
              <w:spacing w:after="0"/>
              <w:rPr>
                <w:sz w:val="20"/>
                <w:szCs w:val="20"/>
                <w:color w:val="auto"/>
              </w:rPr>
            </w:pPr>
            <w:r>
              <w:rPr>
                <w:rFonts w:ascii="Arial" w:cs="Arial" w:eastAsia="Arial" w:hAnsi="Arial"/>
                <w:sz w:val="18"/>
                <w:szCs w:val="18"/>
                <w:color w:val="auto"/>
              </w:rPr>
              <w:t>Total deductions</w:t>
            </w:r>
          </w:p>
        </w:tc>
        <w:tc>
          <w:tcPr>
            <w:tcW w:w="12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19,765,633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18,346,489</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INCREASE</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15,164,582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31,643,095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ASSETS AVAILABLE FOR BENEFITS, BEGINNING OF YEAR</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70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151,592,297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119,949,202</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ASSETS AVAILABLE FOR BENEFITS, END OF YEAR</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7"/>
              </w:rPr>
              <w:t>166,756,879</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7"/>
              </w:rPr>
              <w:t>151,592,297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34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BRADY MATCHED 401(k) PLAN</w:t>
      </w:r>
    </w:p>
    <w:p>
      <w:pPr>
        <w:spacing w:after="0" w:line="13"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FINANCIAL STATEMENTS</w:t>
      </w:r>
    </w:p>
    <w:p>
      <w:pPr>
        <w:jc w:val="center"/>
        <w:ind w:right="-180"/>
        <w:spacing w:after="0"/>
        <w:rPr>
          <w:sz w:val="20"/>
          <w:szCs w:val="20"/>
          <w:color w:val="auto"/>
        </w:rPr>
      </w:pPr>
      <w:r>
        <w:rPr>
          <w:rFonts w:ascii="Arial" w:cs="Arial" w:eastAsia="Arial" w:hAnsi="Arial"/>
          <w:sz w:val="18"/>
          <w:szCs w:val="18"/>
          <w:b w:val="1"/>
          <w:bCs w:val="1"/>
          <w:color w:val="auto"/>
        </w:rPr>
        <w:t>AS OF AND FOR THE YEARS ENDED DECEMBER 31, 2010 AND 2009</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 — DESCRIPTION OF THE PLAN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description of the Brady Matched 401(k) Plan (the Plan) is provided for general information purposes only.</w:t>
      </w:r>
    </w:p>
    <w:p>
      <w:pPr>
        <w:ind w:left="340"/>
        <w:spacing w:after="0"/>
        <w:rPr>
          <w:sz w:val="20"/>
          <w:szCs w:val="20"/>
          <w:color w:val="auto"/>
        </w:rPr>
      </w:pPr>
      <w:r>
        <w:rPr>
          <w:rFonts w:ascii="Arial" w:cs="Arial" w:eastAsia="Arial" w:hAnsi="Arial"/>
          <w:sz w:val="18"/>
          <w:szCs w:val="18"/>
          <w:color w:val="auto"/>
        </w:rPr>
        <w:t>Participants should refer to the Plan document for more complete information.</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General</w:t>
      </w:r>
    </w:p>
    <w:p>
      <w:pPr>
        <w:spacing w:after="0" w:line="207" w:lineRule="exact"/>
        <w:rPr>
          <w:sz w:val="20"/>
          <w:szCs w:val="20"/>
          <w:color w:val="auto"/>
        </w:rPr>
      </w:pPr>
    </w:p>
    <w:p>
      <w:pPr>
        <w:jc w:val="both"/>
        <w:ind w:left="340" w:right="159"/>
        <w:spacing w:after="0" w:line="238" w:lineRule="auto"/>
        <w:rPr>
          <w:sz w:val="20"/>
          <w:szCs w:val="20"/>
          <w:color w:val="auto"/>
        </w:rPr>
      </w:pPr>
      <w:r>
        <w:rPr>
          <w:rFonts w:ascii="Arial" w:cs="Arial" w:eastAsia="Arial" w:hAnsi="Arial"/>
          <w:sz w:val="18"/>
          <w:szCs w:val="18"/>
          <w:color w:val="auto"/>
        </w:rPr>
        <w:t>The Plan is a defined contribution plan, which provides retirement benefits to substantially all full-time employees of Brady Corporation (the Company). The Plan does not provide benefits for employees covered by a collective bargaining agreement, leased employees, co-op students, on-call employees or interns. An employee may become a participant in the Plan on the employee’s initial date of employment. The Plan is subject to the provisions of the Employee Retirement Income Security Act of 1974, as amended (ERISA).</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Contributions</w:t>
      </w:r>
    </w:p>
    <w:p>
      <w:pPr>
        <w:spacing w:after="0" w:line="193" w:lineRule="exact"/>
        <w:rPr>
          <w:sz w:val="20"/>
          <w:szCs w:val="20"/>
          <w:color w:val="auto"/>
        </w:rPr>
      </w:pPr>
    </w:p>
    <w:p>
      <w:pPr>
        <w:jc w:val="both"/>
        <w:ind w:left="340" w:right="159"/>
        <w:spacing w:after="0" w:line="237" w:lineRule="auto"/>
        <w:rPr>
          <w:sz w:val="20"/>
          <w:szCs w:val="20"/>
          <w:color w:val="auto"/>
        </w:rPr>
      </w:pPr>
      <w:r>
        <w:rPr>
          <w:rFonts w:ascii="Arial" w:cs="Arial" w:eastAsia="Arial" w:hAnsi="Arial"/>
          <w:sz w:val="18"/>
          <w:szCs w:val="18"/>
          <w:color w:val="auto"/>
        </w:rPr>
        <w:t>Each year, participants may contribute up to 50% of their annual base compensation subject to the Internal Revenue Code (IRC) limitations. These voluntary contributions can be withdrawn in whole or part in the event of qualifying emergencies (as defined by the Plan), subject to certain restrictions. The Company is required to contribute a 100% matching contribution of the first 3% and 50% of the next 2% that a participant contributes, subject to compensation limits of $245,000 for calendar year 2010, adjusted for inflation. Participants self-direct all participant and Company contributions.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Participant Accounts</w:t>
      </w:r>
    </w:p>
    <w:p>
      <w:pPr>
        <w:spacing w:after="0" w:line="193" w:lineRule="exact"/>
        <w:rPr>
          <w:sz w:val="20"/>
          <w:szCs w:val="20"/>
          <w:color w:val="auto"/>
        </w:rPr>
      </w:pPr>
    </w:p>
    <w:p>
      <w:pPr>
        <w:jc w:val="both"/>
        <w:ind w:left="340" w:right="159"/>
        <w:spacing w:after="0" w:line="239" w:lineRule="auto"/>
        <w:rPr>
          <w:sz w:val="20"/>
          <w:szCs w:val="20"/>
          <w:color w:val="auto"/>
        </w:rPr>
      </w:pPr>
      <w:r>
        <w:rPr>
          <w:rFonts w:ascii="Arial" w:cs="Arial" w:eastAsia="Arial" w:hAnsi="Arial"/>
          <w:sz w:val="18"/>
          <w:szCs w:val="18"/>
          <w:color w:val="auto"/>
        </w:rPr>
        <w:t>Individual accounts are maintained for each Plan participant. Each participant’s account is credited with the participant’s contribution, the Company’s matching contribution (net of participant forfeitures) and Plan earnings, and charged with withdrawals and an allocation of Plan losses and administrative expenses. The benefit to which a participant is entitled is the benefit that can be provided from the participant’s vested account.</w:t>
      </w:r>
    </w:p>
    <w:p>
      <w:pPr>
        <w:spacing w:after="0" w:line="161" w:lineRule="exact"/>
        <w:rPr>
          <w:sz w:val="20"/>
          <w:szCs w:val="20"/>
          <w:color w:val="auto"/>
        </w:rPr>
      </w:pPr>
    </w:p>
    <w:p>
      <w:pPr>
        <w:jc w:val="both"/>
        <w:ind w:left="340" w:right="159"/>
        <w:spacing w:after="0"/>
        <w:rPr>
          <w:sz w:val="20"/>
          <w:szCs w:val="20"/>
          <w:color w:val="auto"/>
        </w:rPr>
      </w:pPr>
      <w:r>
        <w:rPr>
          <w:rFonts w:ascii="Arial" w:cs="Arial" w:eastAsia="Arial" w:hAnsi="Arial"/>
          <w:sz w:val="18"/>
          <w:szCs w:val="18"/>
          <w:color w:val="auto"/>
        </w:rPr>
        <w:t>For any newly eligible participant, the Plan will automatically withhold 3% of the employee’s pay, on a pre-tax basis, unless a waiver form to opt-out of the plan was completed by the employee within ninety days of their hire date. The withheld funds will be deposited into an account under the employee’s name in the Plan.</w:t>
      </w:r>
    </w:p>
    <w:p>
      <w:pPr>
        <w:spacing w:after="0" w:line="200" w:lineRule="exact"/>
        <w:rPr>
          <w:sz w:val="20"/>
          <w:szCs w:val="20"/>
          <w:color w:val="auto"/>
        </w:rPr>
      </w:pPr>
    </w:p>
    <w:p>
      <w:pPr>
        <w:spacing w:after="0" w:line="35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BRADY MATCHED 401(k) PLAN</w:t>
      </w:r>
    </w:p>
    <w:p>
      <w:pPr>
        <w:spacing w:after="0" w:line="13"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FINANCIAL STATEMENTS</w:t>
      </w:r>
    </w:p>
    <w:p>
      <w:pPr>
        <w:jc w:val="center"/>
        <w:ind w:right="-180"/>
        <w:spacing w:after="0"/>
        <w:rPr>
          <w:sz w:val="20"/>
          <w:szCs w:val="20"/>
          <w:color w:val="auto"/>
        </w:rPr>
      </w:pPr>
      <w:r>
        <w:rPr>
          <w:rFonts w:ascii="Arial" w:cs="Arial" w:eastAsia="Arial" w:hAnsi="Arial"/>
          <w:sz w:val="18"/>
          <w:szCs w:val="18"/>
          <w:b w:val="1"/>
          <w:bCs w:val="1"/>
          <w:color w:val="auto"/>
        </w:rPr>
        <w:t>AS OF AND FOR THE YEARS ENDED DECEMBER 31, 2010 AND 2009</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NOTE 1 — DESCRIPTION OF THE PLAN </w:t>
      </w:r>
      <w:r>
        <w:rPr>
          <w:rFonts w:ascii="Arial" w:cs="Arial" w:eastAsia="Arial" w:hAnsi="Arial"/>
          <w:sz w:val="18"/>
          <w:szCs w:val="18"/>
          <w:color w:val="auto"/>
        </w:rPr>
        <w:t>(continued)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Investments</w:t>
      </w:r>
    </w:p>
    <w:p>
      <w:pPr>
        <w:spacing w:after="0" w:line="193" w:lineRule="exact"/>
        <w:rPr>
          <w:sz w:val="20"/>
          <w:szCs w:val="20"/>
          <w:color w:val="auto"/>
        </w:rPr>
      </w:pPr>
    </w:p>
    <w:p>
      <w:pPr>
        <w:jc w:val="both"/>
        <w:ind w:left="340" w:right="159"/>
        <w:spacing w:after="0" w:line="246" w:lineRule="auto"/>
        <w:rPr>
          <w:sz w:val="20"/>
          <w:szCs w:val="20"/>
          <w:color w:val="auto"/>
        </w:rPr>
      </w:pPr>
      <w:r>
        <w:rPr>
          <w:rFonts w:ascii="Arial" w:cs="Arial" w:eastAsia="Arial" w:hAnsi="Arial"/>
          <w:sz w:val="18"/>
          <w:szCs w:val="18"/>
          <w:color w:val="auto"/>
        </w:rPr>
        <w:t>Investment options include various equity funds, a common collective trust fund, a bond fund, two money market funds, and Brady Corporation Class A Non-Voting Common Stock.</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Vesting</w:t>
      </w:r>
    </w:p>
    <w:p>
      <w:pPr>
        <w:spacing w:after="0" w:line="193" w:lineRule="exact"/>
        <w:rPr>
          <w:sz w:val="20"/>
          <w:szCs w:val="20"/>
          <w:color w:val="auto"/>
        </w:rPr>
      </w:pPr>
    </w:p>
    <w:p>
      <w:pPr>
        <w:jc w:val="both"/>
        <w:ind w:left="340" w:right="159"/>
        <w:spacing w:after="0" w:line="239" w:lineRule="auto"/>
        <w:rPr>
          <w:sz w:val="20"/>
          <w:szCs w:val="20"/>
          <w:color w:val="auto"/>
        </w:rPr>
      </w:pPr>
      <w:r>
        <w:rPr>
          <w:rFonts w:ascii="Arial" w:cs="Arial" w:eastAsia="Arial" w:hAnsi="Arial"/>
          <w:sz w:val="18"/>
          <w:szCs w:val="18"/>
          <w:color w:val="auto"/>
        </w:rPr>
        <w:t>The Plan provides for full vesting of participants’ contributions from the date they are made. Company contributions will become vested after a two-year period of continuous service for all contributions made after January 1, 2008. The participants’ share of the Company contribution becomes fully vested, in any event, upon normal retirement at age 65, termination due to permanent or total disability or death, or a plan termination.</w:t>
      </w:r>
    </w:p>
    <w:p>
      <w:pPr>
        <w:spacing w:after="0" w:line="161" w:lineRule="exact"/>
        <w:rPr>
          <w:sz w:val="20"/>
          <w:szCs w:val="20"/>
          <w:color w:val="auto"/>
        </w:rPr>
      </w:pPr>
    </w:p>
    <w:p>
      <w:pPr>
        <w:jc w:val="both"/>
        <w:ind w:left="340" w:right="159"/>
        <w:spacing w:after="0"/>
        <w:rPr>
          <w:sz w:val="20"/>
          <w:szCs w:val="20"/>
          <w:color w:val="auto"/>
        </w:rPr>
      </w:pPr>
      <w:r>
        <w:rPr>
          <w:rFonts w:ascii="Arial" w:cs="Arial" w:eastAsia="Arial" w:hAnsi="Arial"/>
          <w:sz w:val="18"/>
          <w:szCs w:val="18"/>
          <w:color w:val="auto"/>
        </w:rPr>
        <w:t>Participants may withdraw their vested interests upon retirement, approved hardship withdrawal, death, disability, or other termination of employment. Withdrawals are made at the participant’s option in the form of a lump sum, installments, or in-kind in shares of Brady Corporation Class A Non-Voting Common Stock.</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Notes Receivable from Participants</w:t>
      </w:r>
    </w:p>
    <w:p>
      <w:pPr>
        <w:spacing w:after="0" w:line="193" w:lineRule="exact"/>
        <w:rPr>
          <w:sz w:val="20"/>
          <w:szCs w:val="20"/>
          <w:color w:val="auto"/>
        </w:rPr>
      </w:pPr>
    </w:p>
    <w:p>
      <w:pPr>
        <w:jc w:val="both"/>
        <w:ind w:left="340" w:right="159"/>
        <w:spacing w:after="0" w:line="238" w:lineRule="auto"/>
        <w:rPr>
          <w:sz w:val="20"/>
          <w:szCs w:val="20"/>
          <w:color w:val="auto"/>
        </w:rPr>
      </w:pPr>
      <w:r>
        <w:rPr>
          <w:rFonts w:ascii="Arial" w:cs="Arial" w:eastAsia="Arial" w:hAnsi="Arial"/>
          <w:sz w:val="18"/>
          <w:szCs w:val="18"/>
          <w:color w:val="auto"/>
        </w:rPr>
        <w:t>Participants may borrow up to 50% of their vested account balance. Individual loan amounts must be at least $ 1,000; however, aggregate loan amounts may not exceed $50,000. The interest rate for the loans is the prime rate. Loan terms may range from one to five years, or longer if for the purchase of a primary residence. The loans are secured by the balance in the participant’s account. As of December 31, 2010, the interest rates on outstanding loans range from 3.25% to 10.25%.</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Payment of Benefits</w:t>
      </w:r>
    </w:p>
    <w:p>
      <w:pPr>
        <w:spacing w:after="0" w:line="207" w:lineRule="exact"/>
        <w:rPr>
          <w:sz w:val="20"/>
          <w:szCs w:val="20"/>
          <w:color w:val="auto"/>
        </w:rPr>
      </w:pPr>
    </w:p>
    <w:p>
      <w:pPr>
        <w:jc w:val="both"/>
        <w:ind w:left="340" w:right="159"/>
        <w:spacing w:after="0" w:line="239" w:lineRule="auto"/>
        <w:rPr>
          <w:sz w:val="20"/>
          <w:szCs w:val="20"/>
          <w:color w:val="auto"/>
        </w:rPr>
      </w:pPr>
      <w:r>
        <w:rPr>
          <w:rFonts w:ascii="Arial" w:cs="Arial" w:eastAsia="Arial" w:hAnsi="Arial"/>
          <w:sz w:val="18"/>
          <w:szCs w:val="18"/>
          <w:color w:val="auto"/>
        </w:rPr>
        <w:t>On termination of service due to death, disability, or retirement, a participant may elect to receive either a lump-sum amount equal to the value of the participant’s vested interest in his or her account, or installments over a specified period. For termination of service for other reasons, a participant may receive the value of the vested interest in his or her account as a lump-sum distribution.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Forfeited Accounts</w:t>
      </w:r>
    </w:p>
    <w:p>
      <w:pPr>
        <w:spacing w:after="0" w:line="193" w:lineRule="exact"/>
        <w:rPr>
          <w:sz w:val="20"/>
          <w:szCs w:val="20"/>
          <w:color w:val="auto"/>
        </w:rPr>
      </w:pPr>
    </w:p>
    <w:p>
      <w:pPr>
        <w:jc w:val="both"/>
        <w:ind w:left="340" w:right="159"/>
        <w:spacing w:after="0" w:line="246" w:lineRule="auto"/>
        <w:rPr>
          <w:sz w:val="20"/>
          <w:szCs w:val="20"/>
          <w:color w:val="auto"/>
        </w:rPr>
      </w:pPr>
      <w:r>
        <w:rPr>
          <w:rFonts w:ascii="Arial" w:cs="Arial" w:eastAsia="Arial" w:hAnsi="Arial"/>
          <w:sz w:val="18"/>
          <w:szCs w:val="18"/>
          <w:color w:val="auto"/>
        </w:rPr>
        <w:t>At December 31, 2010 and 2009, forfeited non-vested accounts totaled $55,056 and $282,737, respectively. These amounts were used to reduce Company contribution receivables as of December 31, 2010 and 2009.</w:t>
      </w:r>
    </w:p>
    <w:p>
      <w:pPr>
        <w:spacing w:after="0" w:line="200" w:lineRule="exact"/>
        <w:rPr>
          <w:sz w:val="20"/>
          <w:szCs w:val="20"/>
          <w:color w:val="auto"/>
        </w:rPr>
      </w:pPr>
    </w:p>
    <w:p>
      <w:pPr>
        <w:spacing w:after="0" w:line="34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BRADY MATCHED 401(k) PLAN</w:t>
      </w:r>
    </w:p>
    <w:p>
      <w:pPr>
        <w:spacing w:after="0" w:line="13"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FINANCIAL STATEMENTS</w:t>
      </w:r>
    </w:p>
    <w:p>
      <w:pPr>
        <w:jc w:val="center"/>
        <w:ind w:right="-180"/>
        <w:spacing w:after="0"/>
        <w:rPr>
          <w:sz w:val="20"/>
          <w:szCs w:val="20"/>
          <w:color w:val="auto"/>
        </w:rPr>
      </w:pPr>
      <w:r>
        <w:rPr>
          <w:rFonts w:ascii="Arial" w:cs="Arial" w:eastAsia="Arial" w:hAnsi="Arial"/>
          <w:sz w:val="18"/>
          <w:szCs w:val="18"/>
          <w:b w:val="1"/>
          <w:bCs w:val="1"/>
          <w:color w:val="auto"/>
        </w:rPr>
        <w:t>AS OF AND FOR THE YEARS ENDED DECEMBER 31, 2010 AND 2009</w:t>
      </w:r>
    </w:p>
    <w:p>
      <w:pPr>
        <w:spacing w:after="0" w:line="163" w:lineRule="exact"/>
        <w:rPr>
          <w:sz w:val="20"/>
          <w:szCs w:val="20"/>
          <w:color w:val="auto"/>
        </w:rPr>
      </w:pPr>
    </w:p>
    <w:p>
      <w:pPr>
        <w:ind w:left="340" w:right="4379"/>
        <w:spacing w:after="0" w:line="451" w:lineRule="auto"/>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b w:val="1"/>
          <w:bCs w:val="1"/>
          <w:u w:val="single" w:color="auto"/>
          <w:color w:val="auto"/>
        </w:rPr>
        <w:t>Basis of Accounting</w:t>
      </w:r>
    </w:p>
    <w:p>
      <w:pPr>
        <w:jc w:val="both"/>
        <w:ind w:left="340" w:right="159"/>
        <w:spacing w:after="0" w:line="246" w:lineRule="auto"/>
        <w:rPr>
          <w:sz w:val="20"/>
          <w:szCs w:val="20"/>
          <w:color w:val="auto"/>
        </w:rPr>
      </w:pPr>
      <w:r>
        <w:rPr>
          <w:rFonts w:ascii="Arial" w:cs="Arial" w:eastAsia="Arial" w:hAnsi="Arial"/>
          <w:sz w:val="18"/>
          <w:szCs w:val="18"/>
          <w:color w:val="auto"/>
        </w:rPr>
        <w:t>The accompanying financial statements have been prepared under the accrual basis in accordance with accounting principles generally accepted in the United States of America.</w:t>
      </w:r>
    </w:p>
    <w:p>
      <w:pPr>
        <w:spacing w:after="0" w:line="170" w:lineRule="exact"/>
        <w:rPr>
          <w:sz w:val="20"/>
          <w:szCs w:val="20"/>
          <w:color w:val="auto"/>
        </w:rPr>
      </w:pPr>
    </w:p>
    <w:p>
      <w:pPr>
        <w:jc w:val="both"/>
        <w:ind w:left="340" w:right="159"/>
        <w:spacing w:after="0" w:line="237" w:lineRule="auto"/>
        <w:rPr>
          <w:sz w:val="20"/>
          <w:szCs w:val="20"/>
          <w:color w:val="auto"/>
        </w:rPr>
      </w:pPr>
      <w:r>
        <w:rPr>
          <w:rFonts w:ascii="Arial" w:cs="Arial" w:eastAsia="Arial" w:hAnsi="Arial"/>
          <w:sz w:val="18"/>
          <w:szCs w:val="18"/>
          <w:color w:val="auto"/>
        </w:rPr>
        <w:t>Investment contracts held by a defined-contribution plan are required to be reported at fair value. However, contract value is the relevant measurement attribute for that portion of the net assets available for benefits for a defined contribution plan attributable for fully benefit-responsive investment contracts because contract value is the amount participants would receive if they were to initiate permitted transactions under the terms of the plans. The Statement of Net Assets Available for Benefits presents the fair value of the investment contract as well as the adjustment of the fully benefit-responsive investment contract from fair value to contract value. The Statement of Changes in Net Assets Available for Benefits is prepared on a contract value basis.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193" w:lineRule="exact"/>
        <w:rPr>
          <w:sz w:val="20"/>
          <w:szCs w:val="20"/>
          <w:color w:val="auto"/>
        </w:rPr>
      </w:pPr>
    </w:p>
    <w:p>
      <w:pPr>
        <w:jc w:val="both"/>
        <w:ind w:left="340" w:right="159"/>
        <w:spacing w:after="0"/>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Plan management to make estimates and assumptions that affect the reported amounts of net assets available for benefits and changes therein. Actual results could differ from those estimates.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Notes Receivable from Participants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receivable from participants are measured at their unpaid principal balance plus any accrued but unpaid interest.</w:t>
      </w:r>
    </w:p>
    <w:p>
      <w:pPr>
        <w:ind w:left="340"/>
        <w:spacing w:after="0"/>
        <w:rPr>
          <w:sz w:val="20"/>
          <w:szCs w:val="20"/>
          <w:color w:val="auto"/>
        </w:rPr>
      </w:pPr>
      <w:r>
        <w:rPr>
          <w:rFonts w:ascii="Arial" w:cs="Arial" w:eastAsia="Arial" w:hAnsi="Arial"/>
          <w:sz w:val="18"/>
          <w:szCs w:val="18"/>
          <w:color w:val="auto"/>
        </w:rPr>
        <w:t>Delinquent participant loans are reclassified as distributions based upon the terms of the Plan document.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Risks and Uncertainties</w:t>
      </w:r>
    </w:p>
    <w:p>
      <w:pPr>
        <w:spacing w:after="0" w:line="207" w:lineRule="exact"/>
        <w:rPr>
          <w:sz w:val="20"/>
          <w:szCs w:val="20"/>
          <w:color w:val="auto"/>
        </w:rPr>
      </w:pPr>
    </w:p>
    <w:p>
      <w:pPr>
        <w:jc w:val="both"/>
        <w:ind w:left="340" w:right="159"/>
        <w:spacing w:after="0" w:line="238" w:lineRule="auto"/>
        <w:rPr>
          <w:sz w:val="20"/>
          <w:szCs w:val="20"/>
          <w:color w:val="auto"/>
        </w:rPr>
      </w:pPr>
      <w:r>
        <w:rPr>
          <w:rFonts w:ascii="Arial" w:cs="Arial" w:eastAsia="Arial" w:hAnsi="Arial"/>
          <w:sz w:val="18"/>
          <w:szCs w:val="18"/>
          <w:color w:val="auto"/>
        </w:rPr>
        <w:t>The Plan utilizes various investment instruments, including various equity funds, a common collective trust fund, a bond fund, two money market funds, and common stock.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the amounts reported in the financial statements.</w:t>
      </w:r>
    </w:p>
    <w:p>
      <w:pPr>
        <w:spacing w:after="0" w:line="200" w:lineRule="exact"/>
        <w:rPr>
          <w:sz w:val="20"/>
          <w:szCs w:val="20"/>
          <w:color w:val="auto"/>
        </w:rPr>
      </w:pPr>
    </w:p>
    <w:p>
      <w:pPr>
        <w:spacing w:after="0" w:line="34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BRADY MATCHED 401(k) PLAN</w:t>
      </w:r>
    </w:p>
    <w:p>
      <w:pPr>
        <w:spacing w:after="0" w:line="13"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FINANCIAL STATEMENTS</w:t>
      </w:r>
    </w:p>
    <w:p>
      <w:pPr>
        <w:jc w:val="center"/>
        <w:ind w:right="-180"/>
        <w:spacing w:after="0"/>
        <w:rPr>
          <w:sz w:val="20"/>
          <w:szCs w:val="20"/>
          <w:color w:val="auto"/>
        </w:rPr>
      </w:pPr>
      <w:r>
        <w:rPr>
          <w:rFonts w:ascii="Arial" w:cs="Arial" w:eastAsia="Arial" w:hAnsi="Arial"/>
          <w:sz w:val="18"/>
          <w:szCs w:val="18"/>
          <w:b w:val="1"/>
          <w:bCs w:val="1"/>
          <w:color w:val="auto"/>
        </w:rPr>
        <w:t>AS OF AND FOR THE YEARS ENDED DECEMBER 31, 2010 AND 2009</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(continued)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Changes in Accounting Principles</w:t>
      </w:r>
    </w:p>
    <w:p>
      <w:pPr>
        <w:spacing w:after="0" w:line="175" w:lineRule="exact"/>
        <w:rPr>
          <w:sz w:val="20"/>
          <w:szCs w:val="20"/>
          <w:color w:val="auto"/>
        </w:rPr>
      </w:pPr>
    </w:p>
    <w:p>
      <w:pPr>
        <w:jc w:val="both"/>
        <w:ind w:left="340" w:right="159"/>
        <w:spacing w:after="0" w:line="239" w:lineRule="auto"/>
        <w:rPr>
          <w:sz w:val="20"/>
          <w:szCs w:val="20"/>
          <w:color w:val="auto"/>
        </w:rPr>
      </w:pPr>
      <w:r>
        <w:rPr>
          <w:rFonts w:ascii="Arial" w:cs="Arial" w:eastAsia="Arial" w:hAnsi="Arial"/>
          <w:sz w:val="18"/>
          <w:szCs w:val="18"/>
          <w:color w:val="auto"/>
        </w:rPr>
        <w:t xml:space="preserve">The Plan adopted a new accounting standard, </w:t>
      </w:r>
      <w:r>
        <w:rPr>
          <w:rFonts w:ascii="Arial" w:cs="Arial" w:eastAsia="Arial" w:hAnsi="Arial"/>
          <w:sz w:val="18"/>
          <w:szCs w:val="18"/>
          <w:i w:val="1"/>
          <w:iCs w:val="1"/>
          <w:color w:val="auto"/>
        </w:rPr>
        <w:t>Reporting Loans to Participants by Defined Contribution Pension Plans,</w:t>
      </w:r>
      <w:r>
        <w:rPr>
          <w:rFonts w:ascii="Arial" w:cs="Arial" w:eastAsia="Arial" w:hAnsi="Arial"/>
          <w:sz w:val="18"/>
          <w:szCs w:val="18"/>
          <w:color w:val="auto"/>
        </w:rPr>
        <w:t xml:space="preserve"> which provides clarification on how loans to participants should be classified and measured by defined contribution pension benefit plans. This guidance requires that loans to participants be reported as notes receivable from participants in the statement of net assets available for benefits and be measured at their unpaid principal balance plus any accrued but unpaid interest. The Plan adopted this standard in its December 31, 2010 financial statements and has reclassified participant loans of $2,859,611 from participant-directed investments to notes receivable from participants as of December 31, 2009. The Plan also reclassified interest income from participant loans of $143,192 from investment income to interest income from notes receivable from participants for the year ended December 31, 2009. Net assets of the Plan were not affected by the adoption of this standard.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Investment Valuation and Income Recognition</w:t>
      </w:r>
    </w:p>
    <w:p>
      <w:pPr>
        <w:spacing w:after="0" w:line="193" w:lineRule="exact"/>
        <w:rPr>
          <w:sz w:val="20"/>
          <w:szCs w:val="20"/>
          <w:color w:val="auto"/>
        </w:rPr>
      </w:pPr>
    </w:p>
    <w:p>
      <w:pPr>
        <w:jc w:val="both"/>
        <w:ind w:left="340" w:right="159"/>
        <w:spacing w:after="0" w:line="246" w:lineRule="auto"/>
        <w:rPr>
          <w:sz w:val="20"/>
          <w:szCs w:val="20"/>
          <w:color w:val="auto"/>
        </w:rPr>
      </w:pPr>
      <w:r>
        <w:rPr>
          <w:rFonts w:ascii="Arial" w:cs="Arial" w:eastAsia="Arial" w:hAnsi="Arial"/>
          <w:sz w:val="18"/>
          <w:szCs w:val="18"/>
          <w:color w:val="auto"/>
        </w:rPr>
        <w:t>Investments are reported at fair value. Fair value is the price that would be received to sell an asset or paid to transfer a liability in an orderly transaction between market participants at the measurement date. Refer to Note 4 below.</w:t>
      </w:r>
    </w:p>
    <w:p>
      <w:pPr>
        <w:spacing w:after="0" w:line="156" w:lineRule="exact"/>
        <w:rPr>
          <w:sz w:val="20"/>
          <w:szCs w:val="20"/>
          <w:color w:val="auto"/>
        </w:rPr>
      </w:pPr>
    </w:p>
    <w:p>
      <w:pPr>
        <w:jc w:val="both"/>
        <w:ind w:left="340" w:right="159"/>
        <w:spacing w:after="0"/>
        <w:rPr>
          <w:sz w:val="20"/>
          <w:szCs w:val="20"/>
          <w:color w:val="auto"/>
        </w:rPr>
      </w:pPr>
      <w:r>
        <w:rPr>
          <w:rFonts w:ascii="Arial" w:cs="Arial" w:eastAsia="Arial" w:hAnsi="Arial"/>
          <w:sz w:val="18"/>
          <w:szCs w:val="18"/>
          <w:color w:val="auto"/>
        </w:rPr>
        <w:t>Purchases and sales of securities are recorded on a trade-date basis. Interest income is recorded on the accrual basis. Dividends are recorded on the ex-dividend date. Net appreciation includes the Plan’s gains and losses on investments bought and sold as well as held during the year.</w:t>
      </w:r>
    </w:p>
    <w:p>
      <w:pPr>
        <w:spacing w:after="0" w:line="176" w:lineRule="exact"/>
        <w:rPr>
          <w:sz w:val="20"/>
          <w:szCs w:val="20"/>
          <w:color w:val="auto"/>
        </w:rPr>
      </w:pPr>
    </w:p>
    <w:p>
      <w:pPr>
        <w:jc w:val="both"/>
        <w:ind w:left="340" w:right="179"/>
        <w:spacing w:after="0"/>
        <w:rPr>
          <w:sz w:val="20"/>
          <w:szCs w:val="20"/>
          <w:color w:val="auto"/>
        </w:rPr>
      </w:pPr>
      <w:r>
        <w:rPr>
          <w:rFonts w:ascii="Arial" w:cs="Arial" w:eastAsia="Arial" w:hAnsi="Arial"/>
          <w:sz w:val="18"/>
          <w:szCs w:val="18"/>
          <w:color w:val="auto"/>
        </w:rPr>
        <w:t>Management fees and operating expenses charged to the Plan for investments in the mutual funds are deducted from income earned on a daily basis and are not separately reflected. Consequently, management fees and operating expenses are reflected as a reduction of investment return for such investments.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Administrative Expenses</w:t>
      </w:r>
    </w:p>
    <w:p>
      <w:pPr>
        <w:spacing w:after="0" w:line="193" w:lineRule="exact"/>
        <w:rPr>
          <w:sz w:val="20"/>
          <w:szCs w:val="20"/>
          <w:color w:val="auto"/>
        </w:rPr>
      </w:pPr>
    </w:p>
    <w:p>
      <w:pPr>
        <w:jc w:val="both"/>
        <w:ind w:left="340" w:right="179"/>
        <w:spacing w:after="0" w:line="246" w:lineRule="auto"/>
        <w:rPr>
          <w:sz w:val="20"/>
          <w:szCs w:val="20"/>
          <w:color w:val="auto"/>
        </w:rPr>
      </w:pPr>
      <w:r>
        <w:rPr>
          <w:rFonts w:ascii="Arial" w:cs="Arial" w:eastAsia="Arial" w:hAnsi="Arial"/>
          <w:sz w:val="18"/>
          <w:szCs w:val="18"/>
          <w:color w:val="auto"/>
        </w:rPr>
        <w:t>Administrative fees are paid by the Plan. The Company pays the other accounting, investment management, legal and miscellaneous fees of the Plan.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Payment of Benefits</w:t>
      </w:r>
    </w:p>
    <w:p>
      <w:pPr>
        <w:spacing w:after="0" w:line="193" w:lineRule="exact"/>
        <w:rPr>
          <w:sz w:val="20"/>
          <w:szCs w:val="20"/>
          <w:color w:val="auto"/>
        </w:rPr>
      </w:pPr>
    </w:p>
    <w:p>
      <w:pPr>
        <w:jc w:val="both"/>
        <w:ind w:left="340" w:right="179"/>
        <w:spacing w:after="0" w:line="246" w:lineRule="auto"/>
        <w:rPr>
          <w:sz w:val="20"/>
          <w:szCs w:val="20"/>
          <w:color w:val="auto"/>
        </w:rPr>
      </w:pPr>
      <w:r>
        <w:rPr>
          <w:rFonts w:ascii="Arial" w:cs="Arial" w:eastAsia="Arial" w:hAnsi="Arial"/>
          <w:sz w:val="18"/>
          <w:szCs w:val="18"/>
          <w:color w:val="auto"/>
        </w:rPr>
        <w:t>Benefit payments to participants are recorded upon distribution. There were no amounts allocated to accounts of persons who have elected to withdraw from the Plan, but have not yet been paid as of December 31, 2010 and 2009.</w:t>
      </w:r>
    </w:p>
    <w:p>
      <w:pPr>
        <w:spacing w:after="0" w:line="200" w:lineRule="exact"/>
        <w:rPr>
          <w:sz w:val="20"/>
          <w:szCs w:val="20"/>
          <w:color w:val="auto"/>
        </w:rPr>
      </w:pPr>
    </w:p>
    <w:p>
      <w:pPr>
        <w:spacing w:after="0" w:line="34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BRADY MATCHED 401(k) PLAN</w:t>
      </w:r>
    </w:p>
    <w:p>
      <w:pPr>
        <w:spacing w:after="0" w:line="13"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FINANCIAL STATEMENTS</w:t>
      </w:r>
    </w:p>
    <w:p>
      <w:pPr>
        <w:jc w:val="center"/>
        <w:ind w:right="1040"/>
        <w:spacing w:after="0"/>
        <w:rPr>
          <w:sz w:val="20"/>
          <w:szCs w:val="20"/>
          <w:color w:val="auto"/>
        </w:rPr>
      </w:pPr>
      <w:r>
        <w:rPr>
          <w:rFonts w:ascii="Arial" w:cs="Arial" w:eastAsia="Arial" w:hAnsi="Arial"/>
          <w:sz w:val="18"/>
          <w:szCs w:val="18"/>
          <w:b w:val="1"/>
          <w:bCs w:val="1"/>
          <w:color w:val="auto"/>
        </w:rPr>
        <w:t>AS OF AND FOR THE YEARS ENDED DECEMBER 31, 2010 AND 2009</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(continued)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Excess Contributions Payable</w:t>
      </w:r>
    </w:p>
    <w:p>
      <w:pPr>
        <w:spacing w:after="0" w:line="193" w:lineRule="exact"/>
        <w:rPr>
          <w:sz w:val="20"/>
          <w:szCs w:val="20"/>
          <w:color w:val="auto"/>
        </w:rPr>
      </w:pPr>
    </w:p>
    <w:p>
      <w:pPr>
        <w:jc w:val="both"/>
        <w:ind w:left="340" w:right="1360"/>
        <w:spacing w:after="0"/>
        <w:rPr>
          <w:sz w:val="20"/>
          <w:szCs w:val="20"/>
          <w:color w:val="auto"/>
        </w:rPr>
      </w:pPr>
      <w:r>
        <w:rPr>
          <w:rFonts w:ascii="Arial" w:cs="Arial" w:eastAsia="Arial" w:hAnsi="Arial"/>
          <w:sz w:val="18"/>
          <w:szCs w:val="18"/>
          <w:color w:val="auto"/>
        </w:rPr>
        <w:t>The Plan is required to return contributions received during the Plan year in excess of the IRC limits to the contributing participants. There were excess contributions of $808 and $6,866 for the years ended December 31, 2010 and 2009, respectively.</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3 — INVESTMENTS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value of individual investments held which exceeded 5% of the net assets available for benefits at December 31,</w:t>
      </w:r>
    </w:p>
    <w:p>
      <w:pPr>
        <w:ind w:left="340"/>
        <w:spacing w:after="0"/>
        <w:rPr>
          <w:sz w:val="20"/>
          <w:szCs w:val="20"/>
          <w:color w:val="auto"/>
        </w:rPr>
      </w:pPr>
      <w:r>
        <w:rPr>
          <w:rFonts w:ascii="Arial" w:cs="Arial" w:eastAsia="Arial" w:hAnsi="Arial"/>
          <w:sz w:val="18"/>
          <w:szCs w:val="18"/>
          <w:color w:val="auto"/>
        </w:rPr>
        <w:t>2010 and 2009, was as follows:</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25"/>
        </w:trPr>
        <w:tc>
          <w:tcPr>
            <w:tcW w:w="7060" w:type="dxa"/>
            <w:vAlign w:val="bottom"/>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9"/>
                <w:szCs w:val="19"/>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196"/>
        </w:trPr>
        <w:tc>
          <w:tcPr>
            <w:tcW w:w="7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Growth Fund of America</w:t>
            </w:r>
          </w:p>
        </w:tc>
        <w:tc>
          <w:tcPr>
            <w:tcW w:w="15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  26,399,363</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$26,267,719</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PNC Investment Contract Fund*</w:t>
            </w:r>
          </w:p>
        </w:tc>
        <w:tc>
          <w:tcPr>
            <w:tcW w:w="15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**17,791,748</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17,708,602</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Vanguard Institutional Index Fund</w:t>
            </w:r>
          </w:p>
        </w:tc>
        <w:tc>
          <w:tcPr>
            <w:tcW w:w="15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13,677,163</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12,254,421</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Vanguard Total Bond Index Inst</w:t>
            </w:r>
          </w:p>
        </w:tc>
        <w:tc>
          <w:tcPr>
            <w:tcW w:w="15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13,195,596</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11,663,878</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Fidelity Diversified International Fund</w:t>
            </w:r>
          </w:p>
        </w:tc>
        <w:tc>
          <w:tcPr>
            <w:tcW w:w="15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11,843,958</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11,219,485</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Oppenheimer Developing Markets</w:t>
            </w:r>
          </w:p>
        </w:tc>
        <w:tc>
          <w:tcPr>
            <w:tcW w:w="15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10,370,602</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8,718,437</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Vanguard Prime Money Market Fund</w:t>
            </w:r>
          </w:p>
        </w:tc>
        <w:tc>
          <w:tcPr>
            <w:tcW w:w="15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10,367,180</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10,856,178</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LSV Value Equity Fund</w:t>
            </w:r>
          </w:p>
        </w:tc>
        <w:tc>
          <w:tcPr>
            <w:tcW w:w="15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9,399,024</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7,727,108</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 Rowe Price Retirement 2030</w:t>
            </w:r>
          </w:p>
        </w:tc>
        <w:tc>
          <w:tcPr>
            <w:tcW w:w="15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8,460,191</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Party-in-interest in the Plan.</w:t>
      </w:r>
    </w:p>
    <w:p>
      <w:pPr>
        <w:spacing w:after="0" w:line="63" w:lineRule="exact"/>
        <w:rPr>
          <w:sz w:val="20"/>
          <w:szCs w:val="20"/>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represents contract value which differs from fair value as noted in the supplemental schedule.</w:t>
      </w:r>
    </w:p>
    <w:p>
      <w:pPr>
        <w:spacing w:after="0" w:line="63"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5% of the Plan’s net assets.</w:t>
      </w:r>
    </w:p>
    <w:p>
      <w:pPr>
        <w:spacing w:after="0" w:line="171" w:lineRule="exact"/>
        <w:rPr>
          <w:sz w:val="20"/>
          <w:szCs w:val="20"/>
          <w:color w:val="auto"/>
        </w:rPr>
      </w:pPr>
    </w:p>
    <w:p>
      <w:pPr>
        <w:ind w:left="340" w:right="1380"/>
        <w:spacing w:after="0" w:line="246" w:lineRule="auto"/>
        <w:rPr>
          <w:sz w:val="20"/>
          <w:szCs w:val="20"/>
          <w:color w:val="auto"/>
        </w:rPr>
      </w:pPr>
      <w:r>
        <w:rPr>
          <w:rFonts w:ascii="Arial" w:cs="Arial" w:eastAsia="Arial" w:hAnsi="Arial"/>
          <w:sz w:val="18"/>
          <w:szCs w:val="18"/>
          <w:color w:val="auto"/>
        </w:rPr>
        <w:t>During the years ended December 31, 2010 and 2009, the Plan’s investments (including gains and losses on investments bought and sold, as well as held during the year) appreciated in value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3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9"/>
                <w:szCs w:val="19"/>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funds</w:t>
            </w:r>
          </w:p>
        </w:tc>
        <w:tc>
          <w:tcPr>
            <w:tcW w:w="43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$14,380,502</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$23,579,784</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Bond fund</w:t>
            </w:r>
          </w:p>
        </w:tc>
        <w:tc>
          <w:tcPr>
            <w:tcW w:w="43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281,421</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184,160</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collective trust fund</w:t>
            </w:r>
          </w:p>
        </w:tc>
        <w:tc>
          <w:tcPr>
            <w:tcW w:w="43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382,031</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585,435</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Brady Corporation common stock</w:t>
            </w:r>
          </w:p>
        </w:tc>
        <w:tc>
          <w:tcPr>
            <w:tcW w:w="43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347,044</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1,270,781</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appreciation in fair value of investments</w:t>
            </w:r>
          </w:p>
        </w:tc>
        <w:tc>
          <w:tcPr>
            <w:tcW w:w="43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15,390,998</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25,620,160</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940" w:type="dxa"/>
            <w:vAlign w:val="bottom"/>
            <w:vMerge w:val="restart"/>
          </w:tcPr>
          <w:p>
            <w:pPr>
              <w:jc w:val="right"/>
              <w:ind w:right="2230"/>
              <w:spacing w:after="0"/>
              <w:rPr>
                <w:sz w:val="20"/>
                <w:szCs w:val="20"/>
                <w:color w:val="auto"/>
              </w:rPr>
            </w:pPr>
            <w:r>
              <w:rPr>
                <w:rFonts w:ascii="Arial" w:cs="Arial" w:eastAsia="Arial" w:hAnsi="Arial"/>
                <w:sz w:val="18"/>
                <w:szCs w:val="18"/>
                <w:color w:val="auto"/>
              </w:rPr>
              <w:t>8</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4280" w:type="dxa"/>
            <w:vAlign w:val="bottom"/>
            <w:tcBorders>
              <w:bottom w:val="single" w:sz="8" w:color="808080"/>
            </w:tcBorders>
          </w:tcPr>
          <w:p>
            <w:pPr>
              <w:spacing w:after="0"/>
              <w:rPr>
                <w:sz w:val="18"/>
                <w:szCs w:val="18"/>
                <w:color w:val="auto"/>
              </w:rPr>
            </w:pPr>
          </w:p>
        </w:tc>
        <w:tc>
          <w:tcPr>
            <w:tcW w:w="294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BRADY MATCHED 401(k) PLAN</w:t>
      </w:r>
    </w:p>
    <w:p>
      <w:pPr>
        <w:spacing w:after="0" w:line="13"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FINANCIAL STATEMENTS</w:t>
      </w:r>
    </w:p>
    <w:p>
      <w:pPr>
        <w:jc w:val="center"/>
        <w:ind w:right="-180"/>
        <w:spacing w:after="0"/>
        <w:rPr>
          <w:sz w:val="20"/>
          <w:szCs w:val="20"/>
          <w:color w:val="auto"/>
        </w:rPr>
      </w:pPr>
      <w:r>
        <w:rPr>
          <w:rFonts w:ascii="Arial" w:cs="Arial" w:eastAsia="Arial" w:hAnsi="Arial"/>
          <w:sz w:val="18"/>
          <w:szCs w:val="18"/>
          <w:b w:val="1"/>
          <w:bCs w:val="1"/>
          <w:color w:val="auto"/>
        </w:rPr>
        <w:t>AS OF AND FOR THE YEARS ENDED DECEMBER 31, 2010 AND 2009</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4 — FAIR VALUE MEASUREMENT</w:t>
      </w:r>
    </w:p>
    <w:p>
      <w:pPr>
        <w:spacing w:after="0" w:line="193" w:lineRule="exact"/>
        <w:rPr>
          <w:sz w:val="20"/>
          <w:szCs w:val="20"/>
          <w:color w:val="auto"/>
        </w:rPr>
      </w:pPr>
    </w:p>
    <w:p>
      <w:pPr>
        <w:jc w:val="both"/>
        <w:ind w:left="340" w:right="159"/>
        <w:spacing w:after="0" w:line="238" w:lineRule="auto"/>
        <w:rPr>
          <w:sz w:val="20"/>
          <w:szCs w:val="20"/>
          <w:color w:val="auto"/>
        </w:rPr>
      </w:pPr>
      <w:r>
        <w:rPr>
          <w:rFonts w:ascii="Arial" w:cs="Arial" w:eastAsia="Arial" w:hAnsi="Arial"/>
          <w:sz w:val="18"/>
          <w:szCs w:val="18"/>
          <w:color w:val="auto"/>
        </w:rPr>
        <w:t>Generally accepted accounting principles establishes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Plan’s net assets measured at fair market value are classified in one of the following categories:</w:t>
      </w:r>
    </w:p>
    <w:p>
      <w:pPr>
        <w:sectPr>
          <w:pgSz w:w="11900" w:h="16838" w:orient="portrait"/>
          <w:cols w:equalWidth="0" w:num="1">
            <w:col w:w="10219"/>
          </w:cols>
          <w:pgMar w:left="240" w:top="419" w:right="1440" w:bottom="1440" w:gutter="0" w:footer="0" w:header="0"/>
        </w:sectPr>
      </w:pP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1</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379"/>
        <w:spacing w:after="0" w:line="246" w:lineRule="auto"/>
        <w:rPr>
          <w:sz w:val="20"/>
          <w:szCs w:val="20"/>
          <w:color w:val="auto"/>
        </w:rPr>
      </w:pPr>
      <w:r>
        <w:rPr>
          <w:rFonts w:ascii="Arial" w:cs="Arial" w:eastAsia="Arial" w:hAnsi="Arial"/>
          <w:sz w:val="18"/>
          <w:szCs w:val="18"/>
          <w:color w:val="auto"/>
        </w:rPr>
        <w:t>Assets for which fair value is based on quoted market prices in active markets for identical instruments as of the reporting date.</w:t>
      </w:r>
    </w:p>
    <w:p>
      <w:pPr>
        <w:spacing w:after="0" w:line="183" w:lineRule="exact"/>
        <w:rPr>
          <w:sz w:val="20"/>
          <w:szCs w:val="20"/>
          <w:color w:val="auto"/>
        </w:rPr>
      </w:pPr>
    </w:p>
    <w:p>
      <w:pPr>
        <w:sectPr>
          <w:pgSz w:w="11900" w:h="16838" w:orient="portrait"/>
          <w:cols w:equalWidth="0" w:num="2">
            <w:col w:w="980" w:space="720"/>
            <w:col w:w="8519"/>
          </w:cols>
          <w:pgMar w:left="240" w:top="419" w:right="1440"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Level 2</w:t>
      </w:r>
    </w:p>
    <w:p>
      <w:pPr>
        <w:spacing w:after="0" w:line="20" w:lineRule="exact"/>
        <w:rPr>
          <w:sz w:val="20"/>
          <w:szCs w:val="20"/>
          <w:color w:val="auto"/>
        </w:rPr>
      </w:pPr>
      <w:r>
        <w:rPr>
          <w:sz w:val="20"/>
          <w:szCs w:val="20"/>
          <w:color w:val="auto"/>
        </w:rPr>
        <w:br w:type="column"/>
      </w:r>
    </w:p>
    <w:p>
      <w:pPr>
        <w:ind w:right="399"/>
        <w:spacing w:after="0" w:line="246" w:lineRule="auto"/>
        <w:rPr>
          <w:sz w:val="20"/>
          <w:szCs w:val="20"/>
          <w:color w:val="auto"/>
        </w:rPr>
      </w:pPr>
      <w:r>
        <w:rPr>
          <w:rFonts w:ascii="Arial" w:cs="Arial" w:eastAsia="Arial" w:hAnsi="Arial"/>
          <w:sz w:val="18"/>
          <w:szCs w:val="18"/>
          <w:color w:val="auto"/>
        </w:rPr>
        <w:t>Assets for which fair value is based on valuation models for which pricing inputs were either directly or indirectly observable.</w:t>
      </w:r>
    </w:p>
    <w:p>
      <w:pPr>
        <w:spacing w:after="0" w:line="183" w:lineRule="exact"/>
        <w:rPr>
          <w:sz w:val="20"/>
          <w:szCs w:val="20"/>
          <w:color w:val="auto"/>
        </w:rPr>
      </w:pPr>
    </w:p>
    <w:p>
      <w:pPr>
        <w:sectPr>
          <w:pgSz w:w="11900" w:h="16838" w:orient="portrait"/>
          <w:cols w:equalWidth="0" w:num="2">
            <w:col w:w="980" w:space="720"/>
            <w:col w:w="8519"/>
          </w:cols>
          <w:pgMar w:left="240" w:top="419" w:right="1440"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Level 3</w:t>
      </w:r>
    </w:p>
    <w:p>
      <w:pPr>
        <w:spacing w:after="0" w:line="20" w:lineRule="exact"/>
        <w:rPr>
          <w:sz w:val="20"/>
          <w:szCs w:val="20"/>
          <w:color w:val="auto"/>
        </w:rPr>
      </w:pPr>
      <w:r>
        <w:rPr>
          <w:sz w:val="20"/>
          <w:szCs w:val="20"/>
          <w:color w:val="auto"/>
        </w:rPr>
        <w:br w:type="column"/>
      </w:r>
    </w:p>
    <w:p>
      <w:pPr>
        <w:ind w:right="239"/>
        <w:spacing w:after="0" w:line="246" w:lineRule="auto"/>
        <w:rPr>
          <w:sz w:val="20"/>
          <w:szCs w:val="20"/>
          <w:color w:val="auto"/>
        </w:rPr>
      </w:pPr>
      <w:r>
        <w:rPr>
          <w:rFonts w:ascii="Arial" w:cs="Arial" w:eastAsia="Arial" w:hAnsi="Arial"/>
          <w:sz w:val="18"/>
          <w:szCs w:val="18"/>
          <w:color w:val="auto"/>
        </w:rPr>
        <w:t>Assets for which fair value is based on valuation models with significant unobservable pricing inputs and which result in the use of management estimates.</w:t>
      </w:r>
    </w:p>
    <w:p>
      <w:pPr>
        <w:spacing w:after="0" w:line="170" w:lineRule="exact"/>
        <w:rPr>
          <w:sz w:val="20"/>
          <w:szCs w:val="20"/>
          <w:color w:val="auto"/>
        </w:rPr>
      </w:pPr>
    </w:p>
    <w:p>
      <w:pPr>
        <w:sectPr>
          <w:pgSz w:w="11900" w:h="16838" w:orient="portrait"/>
          <w:cols w:equalWidth="0" w:num="2">
            <w:col w:w="980" w:space="720"/>
            <w:col w:w="8519"/>
          </w:cols>
          <w:pgMar w:left="240" w:top="419" w:right="1440" w:bottom="1440" w:gutter="0" w:footer="0" w:header="0"/>
          <w:type w:val="continuous"/>
        </w:sectPr>
      </w:pPr>
    </w:p>
    <w:p>
      <w:pPr>
        <w:jc w:val="both"/>
        <w:ind w:left="340" w:right="159"/>
        <w:spacing w:after="0"/>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inputs that is significant to the fair value measurement. Valuation techniques used need to maximize the use of observable inputs and minimize the use of unobservable inputs.</w:t>
      </w:r>
    </w:p>
    <w:p>
      <w:pPr>
        <w:spacing w:after="0" w:line="162" w:lineRule="exact"/>
        <w:rPr>
          <w:sz w:val="20"/>
          <w:szCs w:val="20"/>
          <w:color w:val="auto"/>
        </w:rPr>
      </w:pPr>
    </w:p>
    <w:p>
      <w:pPr>
        <w:jc w:val="both"/>
        <w:ind w:left="340" w:right="159"/>
        <w:spacing w:after="0" w:line="246" w:lineRule="auto"/>
        <w:rPr>
          <w:sz w:val="20"/>
          <w:szCs w:val="20"/>
          <w:color w:val="auto"/>
        </w:rPr>
      </w:pPr>
      <w:r>
        <w:rPr>
          <w:rFonts w:ascii="Arial" w:cs="Arial" w:eastAsia="Arial" w:hAnsi="Arial"/>
          <w:sz w:val="18"/>
          <w:szCs w:val="18"/>
          <w:color w:val="auto"/>
        </w:rPr>
        <w:t>The following is a description of the valuation methodologies used for assets measured at fair value. There have been no changes in the methodologies used at December 31, 2010.</w:t>
      </w:r>
    </w:p>
    <w:p>
      <w:pPr>
        <w:spacing w:after="0" w:line="156" w:lineRule="exact"/>
        <w:rPr>
          <w:sz w:val="20"/>
          <w:szCs w:val="20"/>
          <w:color w:val="auto"/>
        </w:rPr>
      </w:pPr>
    </w:p>
    <w:p>
      <w:pPr>
        <w:jc w:val="both"/>
        <w:ind w:left="340" w:right="159"/>
        <w:spacing w:after="0"/>
        <w:rPr>
          <w:sz w:val="20"/>
          <w:szCs w:val="20"/>
          <w:color w:val="auto"/>
        </w:rPr>
      </w:pPr>
      <w:r>
        <w:rPr>
          <w:rFonts w:ascii="Arial" w:cs="Arial" w:eastAsia="Arial" w:hAnsi="Arial"/>
          <w:sz w:val="18"/>
          <w:szCs w:val="18"/>
          <w:color w:val="auto"/>
        </w:rPr>
        <w:t>Shares of equity funds and bond funds are valued at quoted market prices, which represent the net asset value of shares held by the Plan at year end. Common stock is valued at quoted market prices. Such securities are classified within Level 1 of the valuation hierarchy.</w:t>
      </w:r>
    </w:p>
    <w:p>
      <w:pPr>
        <w:spacing w:after="0" w:line="176" w:lineRule="exact"/>
        <w:rPr>
          <w:sz w:val="20"/>
          <w:szCs w:val="20"/>
          <w:color w:val="auto"/>
        </w:rPr>
      </w:pPr>
    </w:p>
    <w:p>
      <w:pPr>
        <w:jc w:val="both"/>
        <w:ind w:left="340" w:right="159"/>
        <w:spacing w:after="0" w:line="238" w:lineRule="auto"/>
        <w:rPr>
          <w:sz w:val="20"/>
          <w:szCs w:val="20"/>
          <w:color w:val="auto"/>
        </w:rPr>
      </w:pPr>
      <w:r>
        <w:rPr>
          <w:rFonts w:ascii="Arial" w:cs="Arial" w:eastAsia="Arial" w:hAnsi="Arial"/>
          <w:sz w:val="18"/>
          <w:szCs w:val="18"/>
          <w:color w:val="auto"/>
        </w:rPr>
        <w:t>The common collective trust fund is valued at the net asset value of the fund based on the fair value of the underlying investments and then adjusted by the issuer to contract value. The collective trust fund does not have a finite life, unfunded commitments relating to these types of investments, or significant restrictions on redemption. The money market funds are valued at a stable $1.00 net asset value. Such securities are classified within Level 2 of the valuation hierarchy.</w:t>
      </w:r>
    </w:p>
    <w:p>
      <w:pPr>
        <w:spacing w:after="0" w:line="162" w:lineRule="exact"/>
        <w:rPr>
          <w:sz w:val="20"/>
          <w:szCs w:val="20"/>
          <w:color w:val="auto"/>
        </w:rPr>
      </w:pPr>
    </w:p>
    <w:p>
      <w:pPr>
        <w:jc w:val="both"/>
        <w:ind w:left="340" w:right="159"/>
        <w:spacing w:after="0" w:line="239"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different fair value measurement at the reporting date.</w:t>
      </w: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BRADY MATCHED 401(k) PLAN</w:t>
      </w:r>
    </w:p>
    <w:p>
      <w:pPr>
        <w:spacing w:after="0" w:line="1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FINANCIAL STATEMENTS</w:t>
      </w:r>
    </w:p>
    <w:p>
      <w:pPr>
        <w:jc w:val="center"/>
        <w:ind w:right="-160"/>
        <w:spacing w:after="0"/>
        <w:rPr>
          <w:sz w:val="20"/>
          <w:szCs w:val="20"/>
          <w:color w:val="auto"/>
        </w:rPr>
      </w:pPr>
      <w:r>
        <w:rPr>
          <w:rFonts w:ascii="Arial" w:cs="Arial" w:eastAsia="Arial" w:hAnsi="Arial"/>
          <w:sz w:val="18"/>
          <w:szCs w:val="18"/>
          <w:b w:val="1"/>
          <w:bCs w:val="1"/>
          <w:color w:val="auto"/>
        </w:rPr>
        <w:t>AS OF AND FOR THE YEARS ENDED DECEMBER 31, 2010 AND 2009</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NOTE 4 — FAIR VALUE MEASUREMENT </w:t>
      </w:r>
      <w:r>
        <w:rPr>
          <w:rFonts w:ascii="Arial" w:cs="Arial" w:eastAsia="Arial" w:hAnsi="Arial"/>
          <w:sz w:val="18"/>
          <w:szCs w:val="18"/>
          <w:color w:val="auto"/>
        </w:rPr>
        <w:t>(continued)</w:t>
      </w:r>
    </w:p>
    <w:p>
      <w:pPr>
        <w:spacing w:after="0" w:line="193" w:lineRule="exact"/>
        <w:rPr>
          <w:sz w:val="20"/>
          <w:szCs w:val="20"/>
          <w:color w:val="auto"/>
        </w:rPr>
      </w:pPr>
    </w:p>
    <w:p>
      <w:pPr>
        <w:ind w:left="340" w:right="179"/>
        <w:spacing w:after="0" w:line="246" w:lineRule="auto"/>
        <w:rPr>
          <w:sz w:val="20"/>
          <w:szCs w:val="20"/>
          <w:color w:val="auto"/>
        </w:rPr>
      </w:pPr>
      <w:r>
        <w:rPr>
          <w:rFonts w:ascii="Arial" w:cs="Arial" w:eastAsia="Arial" w:hAnsi="Arial"/>
          <w:sz w:val="18"/>
          <w:szCs w:val="18"/>
          <w:color w:val="auto"/>
        </w:rPr>
        <w:t>The following table sets forth by level, within the fair value hierarchy, the Plan’s assets at fair value as of December 31, 2010.</w:t>
      </w:r>
    </w:p>
    <w:p>
      <w:pPr>
        <w:spacing w:after="0" w:line="161" w:lineRule="exact"/>
        <w:rPr>
          <w:sz w:val="20"/>
          <w:szCs w:val="20"/>
          <w:color w:val="auto"/>
        </w:rPr>
      </w:pPr>
    </w:p>
    <w:tbl>
      <w:tblPr>
        <w:tblLayout w:type="fixed"/>
        <w:tblInd w:w="340" w:type="dxa"/>
        <w:tblCellMar>
          <w:top w:w="0" w:type="dxa"/>
          <w:left w:w="0" w:type="dxa"/>
          <w:bottom w:w="0" w:type="dxa"/>
          <w:right w:w="0" w:type="dxa"/>
        </w:tblCellMar>
      </w:tblPr>
      <w:tr>
        <w:trPr>
          <w:trHeight w:val="225"/>
        </w:trPr>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9"/>
                <w:szCs w:val="19"/>
                <w:color w:val="auto"/>
              </w:rPr>
            </w:pPr>
          </w:p>
        </w:tc>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Growth funds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33,791,311</w:t>
            </w:r>
          </w:p>
        </w:tc>
        <w:tc>
          <w:tcPr>
            <w:tcW w:w="18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33,791,311</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Balanced funds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13,677,163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w w:val="88"/>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13,677,163</w:t>
            </w:r>
          </w:p>
        </w:tc>
        <w:tc>
          <w:tcPr>
            <w:tcW w:w="0" w:type="dxa"/>
            <w:vAlign w:val="bottom"/>
          </w:tcPr>
          <w:p>
            <w:pPr>
              <w:spacing w:after="0"/>
              <w:rPr>
                <w:sz w:val="1"/>
                <w:szCs w:val="1"/>
                <w:color w:val="auto"/>
              </w:rPr>
            </w:pPr>
          </w:p>
        </w:tc>
      </w:tr>
      <w:tr>
        <w:trPr>
          <w:trHeight w:val="203"/>
        </w:trPr>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Value funds</w:t>
            </w: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16,674,805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16,674,805</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International funds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22,214,560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w w:val="88"/>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22,214,560</w:t>
            </w:r>
          </w:p>
        </w:tc>
        <w:tc>
          <w:tcPr>
            <w:tcW w:w="0" w:type="dxa"/>
            <w:vAlign w:val="bottom"/>
          </w:tcPr>
          <w:p>
            <w:pPr>
              <w:spacing w:after="0"/>
              <w:rPr>
                <w:sz w:val="1"/>
                <w:szCs w:val="1"/>
                <w:color w:val="auto"/>
              </w:rPr>
            </w:pPr>
          </w:p>
        </w:tc>
      </w:tr>
      <w:tr>
        <w:trPr>
          <w:trHeight w:val="203"/>
        </w:trPr>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Target date funds</w:t>
            </w: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27,258,589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27,258,589</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Bond funds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13,195,596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w w:val="88"/>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13,195,596</w:t>
            </w:r>
          </w:p>
        </w:tc>
        <w:tc>
          <w:tcPr>
            <w:tcW w:w="0" w:type="dxa"/>
            <w:vAlign w:val="bottom"/>
          </w:tcPr>
          <w:p>
            <w:pPr>
              <w:spacing w:after="0"/>
              <w:rPr>
                <w:sz w:val="1"/>
                <w:szCs w:val="1"/>
                <w:color w:val="auto"/>
              </w:rPr>
            </w:pPr>
          </w:p>
        </w:tc>
      </w:tr>
      <w:tr>
        <w:trPr>
          <w:trHeight w:val="203"/>
        </w:trPr>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Other funds</w:t>
            </w:r>
          </w:p>
        </w:tc>
        <w:tc>
          <w:tcPr>
            <w:tcW w:w="10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3,690,103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3,690,103</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9"/>
              </w:rPr>
              <w:t>10,373,593</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w w:val="88"/>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10,373,593</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Brady common stock</w:t>
            </w:r>
          </w:p>
        </w:tc>
        <w:tc>
          <w:tcPr>
            <w:tcW w:w="10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4,055,316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4,055,316</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collective trust fund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18,170,509</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w w:val="88"/>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18,170,509</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2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134,557,443</w:t>
            </w:r>
          </w:p>
        </w:tc>
        <w:tc>
          <w:tcPr>
            <w:tcW w:w="1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28,544,102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163,101,545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spacing w:after="0" w:line="246" w:lineRule="auto"/>
        <w:rPr>
          <w:sz w:val="20"/>
          <w:szCs w:val="20"/>
          <w:color w:val="auto"/>
        </w:rPr>
      </w:pPr>
      <w:r>
        <w:rPr>
          <w:rFonts w:ascii="Arial" w:cs="Arial" w:eastAsia="Arial" w:hAnsi="Arial"/>
          <w:sz w:val="18"/>
          <w:szCs w:val="18"/>
          <w:color w:val="auto"/>
        </w:rPr>
        <w:t>The following table sets forth by level, within the fair value hierarchy, the Plan’s assets at fair value as of December 31, 2009.</w:t>
      </w:r>
    </w:p>
    <w:p>
      <w:pPr>
        <w:spacing w:after="0" w:line="161" w:lineRule="exact"/>
        <w:rPr>
          <w:sz w:val="20"/>
          <w:szCs w:val="20"/>
          <w:color w:val="auto"/>
        </w:rPr>
      </w:pPr>
    </w:p>
    <w:tbl>
      <w:tblPr>
        <w:tblLayout w:type="fixed"/>
        <w:tblInd w:w="340" w:type="dxa"/>
        <w:tblCellMar>
          <w:top w:w="0" w:type="dxa"/>
          <w:left w:w="0" w:type="dxa"/>
          <w:bottom w:w="0" w:type="dxa"/>
          <w:right w:w="0" w:type="dxa"/>
        </w:tblCellMar>
      </w:tblPr>
      <w:tr>
        <w:trPr>
          <w:trHeight w:val="225"/>
        </w:trPr>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9"/>
                <w:szCs w:val="19"/>
                <w:color w:val="auto"/>
              </w:rPr>
            </w:pPr>
          </w:p>
        </w:tc>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Growth funds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32,895,893</w:t>
            </w:r>
          </w:p>
        </w:tc>
        <w:tc>
          <w:tcPr>
            <w:tcW w:w="18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32,895,893</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Balanced funds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12,254,421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w w:val="88"/>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12,254,421</w:t>
            </w:r>
          </w:p>
        </w:tc>
        <w:tc>
          <w:tcPr>
            <w:tcW w:w="0" w:type="dxa"/>
            <w:vAlign w:val="bottom"/>
          </w:tcPr>
          <w:p>
            <w:pPr>
              <w:spacing w:after="0"/>
              <w:rPr>
                <w:sz w:val="1"/>
                <w:szCs w:val="1"/>
                <w:color w:val="auto"/>
              </w:rPr>
            </w:pPr>
          </w:p>
        </w:tc>
      </w:tr>
      <w:tr>
        <w:trPr>
          <w:trHeight w:val="203"/>
        </w:trPr>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Value funds</w:t>
            </w: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13,505,011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13,505,011</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International funds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19,937,922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w w:val="88"/>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19,937,922</w:t>
            </w:r>
          </w:p>
        </w:tc>
        <w:tc>
          <w:tcPr>
            <w:tcW w:w="0" w:type="dxa"/>
            <w:vAlign w:val="bottom"/>
          </w:tcPr>
          <w:p>
            <w:pPr>
              <w:spacing w:after="0"/>
              <w:rPr>
                <w:sz w:val="1"/>
                <w:szCs w:val="1"/>
                <w:color w:val="auto"/>
              </w:rPr>
            </w:pPr>
          </w:p>
        </w:tc>
      </w:tr>
      <w:tr>
        <w:trPr>
          <w:trHeight w:val="203"/>
        </w:trPr>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Target date funds</w:t>
            </w: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23,128,261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23,128,261</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Bond funds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11,663,878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w w:val="88"/>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11,663,878</w:t>
            </w:r>
          </w:p>
        </w:tc>
        <w:tc>
          <w:tcPr>
            <w:tcW w:w="0" w:type="dxa"/>
            <w:vAlign w:val="bottom"/>
          </w:tcPr>
          <w:p>
            <w:pPr>
              <w:spacing w:after="0"/>
              <w:rPr>
                <w:sz w:val="1"/>
                <w:szCs w:val="1"/>
                <w:color w:val="auto"/>
              </w:rPr>
            </w:pPr>
          </w:p>
        </w:tc>
      </w:tr>
      <w:tr>
        <w:trPr>
          <w:trHeight w:val="203"/>
        </w:trPr>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Other funds</w:t>
            </w:r>
          </w:p>
        </w:tc>
        <w:tc>
          <w:tcPr>
            <w:tcW w:w="10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1,904,967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1,904,967</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9"/>
              </w:rPr>
              <w:t>10,856,308</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w w:val="88"/>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10,856,308</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Brady common stock</w:t>
            </w:r>
          </w:p>
        </w:tc>
        <w:tc>
          <w:tcPr>
            <w:tcW w:w="10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3,901,240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3,901,240</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collective trust fund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17,664,194</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w w:val="88"/>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17,664,194</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2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119,191,593</w:t>
            </w:r>
          </w:p>
        </w:tc>
        <w:tc>
          <w:tcPr>
            <w:tcW w:w="1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28,520,502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147,712,095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BRADY MATCHED 401(k) PLAN</w:t>
      </w:r>
    </w:p>
    <w:p>
      <w:pPr>
        <w:spacing w:after="0" w:line="13"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FINANCIAL STATEMENTS</w:t>
      </w:r>
    </w:p>
    <w:p>
      <w:pPr>
        <w:jc w:val="center"/>
        <w:ind w:right="1040"/>
        <w:spacing w:after="0"/>
        <w:rPr>
          <w:sz w:val="20"/>
          <w:szCs w:val="20"/>
          <w:color w:val="auto"/>
        </w:rPr>
      </w:pPr>
      <w:r>
        <w:rPr>
          <w:rFonts w:ascii="Arial" w:cs="Arial" w:eastAsia="Arial" w:hAnsi="Arial"/>
          <w:sz w:val="18"/>
          <w:szCs w:val="18"/>
          <w:b w:val="1"/>
          <w:bCs w:val="1"/>
          <w:color w:val="auto"/>
        </w:rPr>
        <w:t>AS OF AND FOR THE YEARS ENDED DECEMBER 31, 2010 AND 2009</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PLAN TERMINATION</w:t>
      </w:r>
    </w:p>
    <w:p>
      <w:pPr>
        <w:spacing w:after="0" w:line="193" w:lineRule="exact"/>
        <w:rPr>
          <w:sz w:val="20"/>
          <w:szCs w:val="20"/>
          <w:color w:val="auto"/>
        </w:rPr>
      </w:pPr>
    </w:p>
    <w:p>
      <w:pPr>
        <w:jc w:val="both"/>
        <w:ind w:left="340" w:right="1360"/>
        <w:spacing w:after="0" w:line="239" w:lineRule="auto"/>
        <w:rPr>
          <w:sz w:val="20"/>
          <w:szCs w:val="20"/>
          <w:color w:val="auto"/>
        </w:rPr>
      </w:pPr>
      <w:r>
        <w:rPr>
          <w:rFonts w:ascii="Arial" w:cs="Arial" w:eastAsia="Arial" w:hAnsi="Arial"/>
          <w:sz w:val="18"/>
          <w:szCs w:val="18"/>
          <w:color w:val="auto"/>
        </w:rPr>
        <w:t>Although it has not expressed any intention to do so, the Company has the right under the Plan provisions to discontinue its contributions at any time and to terminate the Plan subject to the provisions set forth in ERISA. In the event that the Plan is terminated, participants would become 100 percent vested in unvested Company matching contributions in their accounts.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6 — FEDERAL INCOME TAX STATUS</w:t>
      </w:r>
    </w:p>
    <w:p>
      <w:pPr>
        <w:spacing w:after="0" w:line="207" w:lineRule="exact"/>
        <w:rPr>
          <w:sz w:val="20"/>
          <w:szCs w:val="20"/>
          <w:color w:val="auto"/>
        </w:rPr>
      </w:pPr>
    </w:p>
    <w:p>
      <w:pPr>
        <w:jc w:val="both"/>
        <w:ind w:left="340" w:right="1360"/>
        <w:spacing w:after="0" w:line="238" w:lineRule="auto"/>
        <w:rPr>
          <w:sz w:val="20"/>
          <w:szCs w:val="20"/>
          <w:color w:val="auto"/>
        </w:rPr>
      </w:pPr>
      <w:r>
        <w:rPr>
          <w:rFonts w:ascii="Arial" w:cs="Arial" w:eastAsia="Arial" w:hAnsi="Arial"/>
          <w:sz w:val="18"/>
          <w:szCs w:val="18"/>
          <w:color w:val="auto"/>
        </w:rPr>
        <w:t>The Plan uses a prototype plan document sponsored by PNC Bank (PNC or the Trustee). PNC received an opinion letter from the Internal Revenue Service (IRS), dated November 19, 2001, which states that the prototype document satisfies the applicable provisions of the IRC. The Plan itself has not received a determination letter from the IRS. However, the Plan’s management believes that the Plan is currently designed and being operated in compliance with the applicable requirements of the IRC. Therefore, no provision for income tax has been included in the Plan’s financial statements.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7 — EXEMPT PARTY-IN-INTEREST TRANSACTIONS</w:t>
      </w:r>
    </w:p>
    <w:p>
      <w:pPr>
        <w:spacing w:after="0" w:line="193" w:lineRule="exact"/>
        <w:rPr>
          <w:sz w:val="20"/>
          <w:szCs w:val="20"/>
          <w:color w:val="auto"/>
        </w:rPr>
      </w:pPr>
    </w:p>
    <w:p>
      <w:pPr>
        <w:jc w:val="both"/>
        <w:ind w:left="340" w:right="1360"/>
        <w:spacing w:after="0" w:line="239" w:lineRule="auto"/>
        <w:rPr>
          <w:sz w:val="20"/>
          <w:szCs w:val="20"/>
          <w:color w:val="auto"/>
        </w:rPr>
      </w:pPr>
      <w:r>
        <w:rPr>
          <w:rFonts w:ascii="Arial" w:cs="Arial" w:eastAsia="Arial" w:hAnsi="Arial"/>
          <w:sz w:val="18"/>
          <w:szCs w:val="18"/>
          <w:color w:val="auto"/>
        </w:rPr>
        <w:t>The Plan invests in Company common stock. In addition, certain plan investments represent shares of mutual funds and a common collective trust fund managed by the Trustee. Fees paid by the Plan for investment management services were included as a reduction of the return earned on each fund. These transactions are considered party-in-interest transactions. These transactions are not, however, considered prohibited transactions under ERISA regulations.</w:t>
      </w:r>
    </w:p>
    <w:p>
      <w:pPr>
        <w:spacing w:after="0" w:line="175" w:lineRule="exact"/>
        <w:rPr>
          <w:sz w:val="20"/>
          <w:szCs w:val="20"/>
          <w:color w:val="auto"/>
        </w:rPr>
      </w:pPr>
    </w:p>
    <w:p>
      <w:pPr>
        <w:jc w:val="both"/>
        <w:ind w:left="340" w:right="1360"/>
        <w:spacing w:after="0" w:line="239" w:lineRule="auto"/>
        <w:rPr>
          <w:sz w:val="20"/>
          <w:szCs w:val="20"/>
          <w:color w:val="auto"/>
        </w:rPr>
      </w:pPr>
      <w:r>
        <w:rPr>
          <w:rFonts w:ascii="Arial" w:cs="Arial" w:eastAsia="Arial" w:hAnsi="Arial"/>
          <w:sz w:val="18"/>
          <w:szCs w:val="18"/>
          <w:color w:val="auto"/>
        </w:rPr>
        <w:t>At December 31, 2010 and 2009, the Plan held 124,358 and 129,998 shares, respectively, of common stock of Brady Corporation, with a cost basis of $2,905,633 and $2,824,087, respectively. During the years ended December 31, 2010 and 2009, the Plan recorded dividend income from the common stock of Brady Corporation of $90,186 and $93,305, respectively.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8 — RECONCILIATION TO FORM 5500</w:t>
      </w:r>
    </w:p>
    <w:p>
      <w:pPr>
        <w:spacing w:after="0" w:line="193" w:lineRule="exact"/>
        <w:rPr>
          <w:sz w:val="20"/>
          <w:szCs w:val="20"/>
          <w:color w:val="auto"/>
        </w:rPr>
      </w:pPr>
    </w:p>
    <w:p>
      <w:pPr>
        <w:jc w:val="both"/>
        <w:ind w:left="340" w:right="1360"/>
        <w:spacing w:after="0" w:line="246" w:lineRule="auto"/>
        <w:rPr>
          <w:sz w:val="20"/>
          <w:szCs w:val="20"/>
          <w:color w:val="auto"/>
        </w:rPr>
      </w:pPr>
      <w:r>
        <w:rPr>
          <w:rFonts w:ascii="Arial" w:cs="Arial" w:eastAsia="Arial" w:hAnsi="Arial"/>
          <w:sz w:val="18"/>
          <w:szCs w:val="18"/>
          <w:color w:val="auto"/>
        </w:rPr>
        <w:t>Net assets available for benefits in the accompanying financial statements are reported at contract value; however, they are recorded at fair value in the Plan’s Form 5500.</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reconciles net assets available for benefits per the financial statements to the Plan’s Form 5500 as of</w:t>
      </w:r>
    </w:p>
    <w:p>
      <w:pPr>
        <w:ind w:left="340"/>
        <w:spacing w:after="0"/>
        <w:rPr>
          <w:sz w:val="20"/>
          <w:szCs w:val="20"/>
          <w:color w:val="auto"/>
        </w:rPr>
      </w:pPr>
      <w:r>
        <w:rPr>
          <w:rFonts w:ascii="Arial" w:cs="Arial" w:eastAsia="Arial" w:hAnsi="Arial"/>
          <w:sz w:val="18"/>
          <w:szCs w:val="18"/>
          <w:color w:val="auto"/>
        </w:rPr>
        <w:t>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available for benefits per financial statements</w:t>
            </w:r>
          </w:p>
        </w:tc>
        <w:tc>
          <w:tcPr>
            <w:tcW w:w="13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5"/>
              </w:rPr>
              <w:t>$ 166,756,879</w:t>
            </w:r>
          </w:p>
        </w:tc>
        <w:tc>
          <w:tcPr>
            <w:tcW w:w="14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$ 151,592,297</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34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tcPr>
          <w:p>
            <w:pPr>
              <w:ind w:left="200"/>
              <w:spacing w:after="0" w:line="203" w:lineRule="exact"/>
              <w:rPr>
                <w:sz w:val="20"/>
                <w:szCs w:val="20"/>
                <w:color w:val="auto"/>
              </w:rPr>
            </w:pPr>
            <w:r>
              <w:rPr>
                <w:rFonts w:ascii="Arial" w:cs="Arial" w:eastAsia="Arial" w:hAnsi="Arial"/>
                <w:sz w:val="18"/>
                <w:szCs w:val="18"/>
                <w:color w:val="auto"/>
              </w:rPr>
              <w:t>contracts</w:t>
            </w:r>
          </w:p>
        </w:tc>
        <w:tc>
          <w:tcPr>
            <w:tcW w:w="132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378,761</w:t>
            </w:r>
          </w:p>
        </w:tc>
        <w:tc>
          <w:tcPr>
            <w:tcW w:w="140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(44,408)</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Amounts reported per Form 5500</w:t>
            </w:r>
          </w:p>
        </w:tc>
        <w:tc>
          <w:tcPr>
            <w:tcW w:w="13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167,135,640</w:t>
            </w:r>
          </w:p>
        </w:tc>
        <w:tc>
          <w:tcPr>
            <w:tcW w:w="14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151,547,889</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vMerge w:val="restart"/>
          </w:tcPr>
          <w:p>
            <w:pPr>
              <w:ind w:left="4760"/>
              <w:spacing w:after="0"/>
              <w:rPr>
                <w:sz w:val="20"/>
                <w:szCs w:val="20"/>
                <w:color w:val="auto"/>
              </w:rPr>
            </w:pPr>
            <w:r>
              <w:rPr>
                <w:rFonts w:ascii="Arial" w:cs="Arial" w:eastAsia="Arial" w:hAnsi="Arial"/>
                <w:sz w:val="18"/>
                <w:szCs w:val="18"/>
                <w:color w:val="auto"/>
              </w:rPr>
              <w:t>11</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340" w:type="dxa"/>
            <w:vAlign w:val="bottom"/>
          </w:tcPr>
          <w:p>
            <w:pPr>
              <w:spacing w:after="0"/>
              <w:rPr>
                <w:sz w:val="24"/>
                <w:szCs w:val="24"/>
                <w:color w:val="auto"/>
              </w:rPr>
            </w:pPr>
          </w:p>
        </w:tc>
        <w:tc>
          <w:tcPr>
            <w:tcW w:w="70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700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BRADY MATCHED 401(k) PLAN</w:t>
      </w:r>
    </w:p>
    <w:p>
      <w:pPr>
        <w:spacing w:after="0" w:line="1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FINANCIAL STATEMENTS</w:t>
      </w:r>
    </w:p>
    <w:p>
      <w:pPr>
        <w:jc w:val="center"/>
        <w:ind w:right="-160"/>
        <w:spacing w:after="0"/>
        <w:rPr>
          <w:sz w:val="20"/>
          <w:szCs w:val="20"/>
          <w:color w:val="auto"/>
        </w:rPr>
      </w:pPr>
      <w:r>
        <w:rPr>
          <w:rFonts w:ascii="Arial" w:cs="Arial" w:eastAsia="Arial" w:hAnsi="Arial"/>
          <w:sz w:val="18"/>
          <w:szCs w:val="18"/>
          <w:b w:val="1"/>
          <w:bCs w:val="1"/>
          <w:color w:val="auto"/>
        </w:rPr>
        <w:t>AS OF AND FOR THE YEARS ENDED DECEMBER 31, 2010 AND 2009</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NOTE 8 — RECONCILIATION TO FORM 5500 </w:t>
      </w:r>
      <w:r>
        <w:rPr>
          <w:rFonts w:ascii="Arial" w:cs="Arial" w:eastAsia="Arial" w:hAnsi="Arial"/>
          <w:sz w:val="18"/>
          <w:szCs w:val="18"/>
          <w:color w:val="auto"/>
        </w:rPr>
        <w:t>(continued)</w:t>
      </w:r>
    </w:p>
    <w:p>
      <w:pPr>
        <w:spacing w:after="0" w:line="193" w:lineRule="exact"/>
        <w:rPr>
          <w:sz w:val="20"/>
          <w:szCs w:val="20"/>
          <w:color w:val="auto"/>
        </w:rPr>
      </w:pPr>
    </w:p>
    <w:p>
      <w:pPr>
        <w:jc w:val="both"/>
        <w:ind w:left="340" w:right="179"/>
        <w:spacing w:after="0"/>
        <w:rPr>
          <w:sz w:val="20"/>
          <w:szCs w:val="20"/>
          <w:color w:val="auto"/>
        </w:rPr>
      </w:pPr>
      <w:r>
        <w:rPr>
          <w:rFonts w:ascii="Arial" w:cs="Arial" w:eastAsia="Arial" w:hAnsi="Arial"/>
          <w:sz w:val="18"/>
          <w:szCs w:val="18"/>
          <w:color w:val="auto"/>
        </w:rPr>
        <w:t>The increase in net assets available for benefits per the financial statements for the years ended December 31, 2010 and 2009 includes the transfer of assets from another plan. The amounts reported per Form 5500 do not include the transfer of assets from another plan.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reconciles the increase in net assets available for benefits per the financial statements to the</w:t>
      </w:r>
    </w:p>
    <w:p>
      <w:pPr>
        <w:ind w:left="340"/>
        <w:spacing w:after="0"/>
        <w:rPr>
          <w:sz w:val="20"/>
          <w:szCs w:val="20"/>
          <w:color w:val="auto"/>
        </w:rPr>
      </w:pPr>
      <w:r>
        <w:rPr>
          <w:rFonts w:ascii="Arial" w:cs="Arial" w:eastAsia="Arial" w:hAnsi="Arial"/>
          <w:sz w:val="18"/>
          <w:szCs w:val="18"/>
          <w:color w:val="auto"/>
        </w:rPr>
        <w:t>Form 5500 for the year ended December 31:</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25"/>
        </w:trPr>
        <w:tc>
          <w:tcPr>
            <w:tcW w:w="7140" w:type="dxa"/>
            <w:vAlign w:val="bottom"/>
          </w:tcPr>
          <w:p>
            <w:pPr>
              <w:spacing w:after="0"/>
              <w:rPr>
                <w:sz w:val="19"/>
                <w:szCs w:val="19"/>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9"/>
                <w:szCs w:val="19"/>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net assets available for benefits per financial statements</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$ 15,164,582</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$ 31,643,095</w:t>
            </w:r>
          </w:p>
        </w:tc>
        <w:tc>
          <w:tcPr>
            <w:tcW w:w="0" w:type="dxa"/>
            <w:vAlign w:val="bottom"/>
          </w:tcPr>
          <w:p>
            <w:pPr>
              <w:spacing w:after="0"/>
              <w:rPr>
                <w:sz w:val="1"/>
                <w:szCs w:val="1"/>
                <w:color w:val="auto"/>
              </w:rPr>
            </w:pPr>
          </w:p>
        </w:tc>
      </w:tr>
      <w:tr>
        <w:trPr>
          <w:trHeight w:val="404"/>
        </w:trPr>
        <w:tc>
          <w:tcPr>
            <w:tcW w:w="714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140" w:type="dxa"/>
            <w:vAlign w:val="bottom"/>
          </w:tcPr>
          <w:p>
            <w:pPr>
              <w:ind w:left="200"/>
              <w:spacing w:after="0"/>
              <w:rPr>
                <w:sz w:val="20"/>
                <w:szCs w:val="20"/>
                <w:color w:val="auto"/>
              </w:rPr>
            </w:pPr>
            <w:r>
              <w:rPr>
                <w:rFonts w:ascii="Arial" w:cs="Arial" w:eastAsia="Arial" w:hAnsi="Arial"/>
                <w:sz w:val="18"/>
                <w:szCs w:val="18"/>
                <w:color w:val="auto"/>
              </w:rPr>
              <w:t>contract at end of year</w:t>
            </w:r>
          </w:p>
        </w:tc>
        <w:tc>
          <w:tcPr>
            <w:tcW w:w="1020" w:type="dxa"/>
            <w:vAlign w:val="bottom"/>
          </w:tcPr>
          <w:p>
            <w:pPr>
              <w:jc w:val="right"/>
              <w:spacing w:after="0"/>
              <w:rPr>
                <w:sz w:val="20"/>
                <w:szCs w:val="20"/>
                <w:color w:val="auto"/>
              </w:rPr>
            </w:pPr>
            <w:r>
              <w:rPr>
                <w:rFonts w:ascii="Arial" w:cs="Arial" w:eastAsia="Arial" w:hAnsi="Arial"/>
                <w:sz w:val="18"/>
                <w:szCs w:val="18"/>
                <w:color w:val="auto"/>
              </w:rPr>
              <w:t>378,761</w:t>
            </w: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(44,408)</w:t>
            </w:r>
          </w:p>
        </w:tc>
        <w:tc>
          <w:tcPr>
            <w:tcW w:w="0" w:type="dxa"/>
            <w:vAlign w:val="bottom"/>
          </w:tcPr>
          <w:p>
            <w:pPr>
              <w:spacing w:after="0"/>
              <w:rPr>
                <w:sz w:val="1"/>
                <w:szCs w:val="1"/>
                <w:color w:val="auto"/>
              </w:rPr>
            </w:pPr>
          </w:p>
        </w:tc>
      </w:tr>
      <w:tr>
        <w:trPr>
          <w:trHeight w:val="189"/>
        </w:trPr>
        <w:tc>
          <w:tcPr>
            <w:tcW w:w="7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from contract value to fair value for fully benefit-responsive investment</w:t>
            </w: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contract at beginning of year</w:t>
            </w:r>
          </w:p>
        </w:tc>
        <w:tc>
          <w:tcPr>
            <w:tcW w:w="140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44,408</w:t>
            </w:r>
          </w:p>
        </w:tc>
        <w:tc>
          <w:tcPr>
            <w:tcW w:w="11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800,143</w:t>
            </w:r>
          </w:p>
        </w:tc>
        <w:tc>
          <w:tcPr>
            <w:tcW w:w="0" w:type="dxa"/>
            <w:vAlign w:val="bottom"/>
          </w:tcPr>
          <w:p>
            <w:pPr>
              <w:spacing w:after="0"/>
              <w:rPr>
                <w:sz w:val="1"/>
                <w:szCs w:val="1"/>
                <w:color w:val="auto"/>
              </w:rPr>
            </w:pPr>
          </w:p>
        </w:tc>
      </w:tr>
      <w:tr>
        <w:trPr>
          <w:trHeight w:val="405"/>
        </w:trPr>
        <w:tc>
          <w:tcPr>
            <w:tcW w:w="7140" w:type="dxa"/>
            <w:vAlign w:val="bottom"/>
          </w:tcPr>
          <w:p>
            <w:pPr>
              <w:spacing w:after="0"/>
              <w:rPr>
                <w:sz w:val="20"/>
                <w:szCs w:val="20"/>
                <w:color w:val="auto"/>
              </w:rPr>
            </w:pPr>
            <w:r>
              <w:rPr>
                <w:rFonts w:ascii="Arial" w:cs="Arial" w:eastAsia="Arial" w:hAnsi="Arial"/>
                <w:sz w:val="18"/>
                <w:szCs w:val="18"/>
                <w:color w:val="auto"/>
              </w:rPr>
              <w:t>Transfer of assets to Plan</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(3,841,937)</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(10,075,594)</w:t>
            </w:r>
          </w:p>
        </w:tc>
        <w:tc>
          <w:tcPr>
            <w:tcW w:w="0" w:type="dxa"/>
            <w:vAlign w:val="bottom"/>
          </w:tcPr>
          <w:p>
            <w:pPr>
              <w:spacing w:after="0"/>
              <w:rPr>
                <w:sz w:val="1"/>
                <w:szCs w:val="1"/>
                <w:color w:val="auto"/>
              </w:rPr>
            </w:pPr>
          </w:p>
        </w:tc>
      </w:tr>
      <w:tr>
        <w:trPr>
          <w:trHeight w:val="210"/>
        </w:trPr>
        <w:tc>
          <w:tcPr>
            <w:tcW w:w="7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Amounts reported per Form 5500</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11,745,814</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$ 22,323,236</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b w:val="1"/>
                <w:bCs w:val="1"/>
                <w:color w:val="auto"/>
              </w:rPr>
              <w:t>NOTE 9 — TRANSFERS OF ASSETS FROM AFFILIATED PLANS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1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79"/>
        <w:spacing w:after="0" w:line="246" w:lineRule="auto"/>
        <w:rPr>
          <w:sz w:val="20"/>
          <w:szCs w:val="20"/>
          <w:color w:val="auto"/>
        </w:rPr>
      </w:pPr>
      <w:r>
        <w:rPr>
          <w:rFonts w:ascii="Arial" w:cs="Arial" w:eastAsia="Arial" w:hAnsi="Arial"/>
          <w:sz w:val="18"/>
          <w:szCs w:val="18"/>
          <w:color w:val="auto"/>
        </w:rPr>
        <w:t>Effective January 1, 2010, the Clement Communications Incorporated Pension Plan and the Stopware, Inc. 401(k) Plan merged into the Plan, resulting in a transfer of assets to the Plan of $3,841,937 for the year ended December 31, 2010.</w:t>
      </w:r>
    </w:p>
    <w:p>
      <w:pPr>
        <w:spacing w:after="0" w:line="156" w:lineRule="exact"/>
        <w:rPr>
          <w:sz w:val="20"/>
          <w:szCs w:val="20"/>
          <w:color w:val="auto"/>
        </w:rPr>
      </w:pPr>
    </w:p>
    <w:p>
      <w:pPr>
        <w:jc w:val="both"/>
        <w:ind w:left="340" w:right="159"/>
        <w:spacing w:after="0" w:line="239" w:lineRule="auto"/>
        <w:rPr>
          <w:sz w:val="20"/>
          <w:szCs w:val="20"/>
          <w:color w:val="auto"/>
        </w:rPr>
      </w:pPr>
      <w:r>
        <w:rPr>
          <w:rFonts w:ascii="Arial" w:cs="Arial" w:eastAsia="Arial" w:hAnsi="Arial"/>
          <w:sz w:val="18"/>
          <w:szCs w:val="18"/>
          <w:color w:val="auto"/>
        </w:rPr>
        <w:t>Effective January 1, 2009, the Sorbent Products Co., Inc. Profit Sharing Plan; the Electromark Co. Permar Systems Inc. 401 (k) Profit Sharing &amp; Trust; the AIO Acquisitions Inc. 401 (k) Plan; the IDR &amp; CIPI Savings Plan; and the Tricor/EMED Co. Inc. 401 (k) Plan (formerly known as EMED Co. Inc. 401 (k) Plan) merged into the Plan, resulting in a transfer of assets to the Plan of $10,075,594 for the year ended December 31, 2009.</w:t>
      </w: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BRADY MATCHED 401(k) PLAN</w:t>
      </w:r>
    </w:p>
    <w:p>
      <w:pPr>
        <w:spacing w:after="0" w:line="13"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FINANCIAL STATEMENTS</w:t>
      </w:r>
    </w:p>
    <w:p>
      <w:pPr>
        <w:jc w:val="center"/>
        <w:ind w:right="-180"/>
        <w:spacing w:after="0"/>
        <w:rPr>
          <w:sz w:val="20"/>
          <w:szCs w:val="20"/>
          <w:color w:val="auto"/>
        </w:rPr>
      </w:pPr>
      <w:r>
        <w:rPr>
          <w:rFonts w:ascii="Arial" w:cs="Arial" w:eastAsia="Arial" w:hAnsi="Arial"/>
          <w:sz w:val="18"/>
          <w:szCs w:val="18"/>
          <w:b w:val="1"/>
          <w:bCs w:val="1"/>
          <w:color w:val="auto"/>
        </w:rPr>
        <w:t>AS OF AND FOR THE YEARS ENDED DECEMBER 31, 2010 AND 2009</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10 — SUBSEQUENT EVENTS</w:t>
      </w:r>
    </w:p>
    <w:p>
      <w:pPr>
        <w:spacing w:after="0" w:line="193" w:lineRule="exact"/>
        <w:rPr>
          <w:sz w:val="20"/>
          <w:szCs w:val="20"/>
          <w:color w:val="auto"/>
        </w:rPr>
      </w:pPr>
    </w:p>
    <w:p>
      <w:pPr>
        <w:jc w:val="both"/>
        <w:ind w:left="340" w:right="159"/>
        <w:spacing w:after="0" w:line="237" w:lineRule="auto"/>
        <w:rPr>
          <w:sz w:val="20"/>
          <w:szCs w:val="20"/>
          <w:color w:val="auto"/>
        </w:rPr>
      </w:pPr>
      <w:r>
        <w:rPr>
          <w:rFonts w:ascii="Arial" w:cs="Arial" w:eastAsia="Arial" w:hAnsi="Arial"/>
          <w:sz w:val="18"/>
          <w:szCs w:val="18"/>
          <w:color w:val="auto"/>
        </w:rPr>
        <w:t>Management evaluated subsequent events through the date the financial statements were issued. Events or transactions occurring after December 31, 2010, but prior to when the financial statements were issued that provide additional evidence about conditions that existed at December 31, 2010 have been recognized in the financial statements for the year ended December 31, 2010. Events or transactions that provided evidence about conditions that did not exist at December 31, 2010 but arose before the financial statements were issued, have not been recognized in the financial statements for the year ended December 31, 2010.</w:t>
      </w:r>
    </w:p>
    <w:p>
      <w:pPr>
        <w:spacing w:after="0" w:line="16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This information is an integral part of the accompanying financial statements.</w:t>
      </w:r>
    </w:p>
    <w:p>
      <w:pPr>
        <w:spacing w:after="0" w:line="200" w:lineRule="exact"/>
        <w:rPr>
          <w:sz w:val="20"/>
          <w:szCs w:val="20"/>
          <w:color w:val="auto"/>
        </w:rPr>
      </w:pPr>
    </w:p>
    <w:p>
      <w:pPr>
        <w:spacing w:after="0" w:line="36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SUPPLEMENTAL SCHEDULES</w:t>
      </w:r>
    </w:p>
    <w:p>
      <w:pPr>
        <w:spacing w:after="0" w:line="200" w:lineRule="exact"/>
        <w:rPr>
          <w:sz w:val="20"/>
          <w:szCs w:val="20"/>
          <w:color w:val="auto"/>
        </w:rPr>
      </w:pPr>
    </w:p>
    <w:p>
      <w:pPr>
        <w:spacing w:after="0" w:line="39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2040" w:type="dxa"/>
            <w:vAlign w:val="bottom"/>
            <w:gridSpan w:val="5"/>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7"/>
        </w:trPr>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gridSpan w:val="5"/>
          </w:tcPr>
          <w:p>
            <w:pPr>
              <w:jc w:val="center"/>
              <w:ind w:left="470"/>
              <w:spacing w:after="0"/>
              <w:rPr>
                <w:sz w:val="20"/>
                <w:szCs w:val="20"/>
                <w:color w:val="auto"/>
              </w:rPr>
            </w:pPr>
            <w:r>
              <w:rPr>
                <w:rFonts w:ascii="Arial" w:cs="Arial" w:eastAsia="Arial" w:hAnsi="Arial"/>
                <w:sz w:val="18"/>
                <w:szCs w:val="18"/>
                <w:b w:val="1"/>
                <w:bCs w:val="1"/>
                <w:color w:val="auto"/>
                <w:w w:val="99"/>
              </w:rPr>
              <w:t>BRADY MATCHED 401(k) PLAN</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40" w:type="dxa"/>
            <w:vAlign w:val="bottom"/>
            <w:gridSpan w:val="1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SCHEDULE H, LINE 4a — SCHEDULE OF DELINQUENT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gridSpan w:val="5"/>
          </w:tcPr>
          <w:p>
            <w:pPr>
              <w:jc w:val="center"/>
              <w:ind w:left="450"/>
              <w:spacing w:after="0" w:line="202" w:lineRule="exact"/>
              <w:rPr>
                <w:sz w:val="20"/>
                <w:szCs w:val="20"/>
                <w:color w:val="auto"/>
              </w:rPr>
            </w:pPr>
            <w:r>
              <w:rPr>
                <w:rFonts w:ascii="Arial" w:cs="Arial" w:eastAsia="Arial" w:hAnsi="Arial"/>
                <w:sz w:val="18"/>
                <w:szCs w:val="18"/>
                <w:b w:val="1"/>
                <w:bCs w:val="1"/>
                <w:color w:val="auto"/>
                <w:w w:val="99"/>
              </w:rPr>
              <w:t>PARTICIPANT CONTRIBUTIONS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gridSpan w:val="5"/>
          </w:tcPr>
          <w:p>
            <w:pPr>
              <w:jc w:val="center"/>
              <w:ind w:left="470"/>
              <w:spacing w:after="0"/>
              <w:rPr>
                <w:sz w:val="20"/>
                <w:szCs w:val="20"/>
                <w:color w:val="auto"/>
              </w:rPr>
            </w:pPr>
            <w:r>
              <w:rPr>
                <w:rFonts w:ascii="Arial" w:cs="Arial" w:eastAsia="Arial" w:hAnsi="Arial"/>
                <w:sz w:val="18"/>
                <w:szCs w:val="18"/>
                <w:b w:val="1"/>
                <w:bCs w:val="1"/>
                <w:color w:val="auto"/>
                <w:w w:val="99"/>
              </w:rPr>
              <w:t>As of December 31, 2010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5"/>
          </w:tcPr>
          <w:p>
            <w:pPr>
              <w:jc w:val="center"/>
              <w:ind w:right="1300"/>
              <w:spacing w:after="0"/>
              <w:rPr>
                <w:sz w:val="20"/>
                <w:szCs w:val="20"/>
                <w:color w:val="auto"/>
              </w:rPr>
            </w:pPr>
            <w:r>
              <w:rPr>
                <w:rFonts w:ascii="Arial" w:cs="Arial" w:eastAsia="Arial" w:hAnsi="Arial"/>
                <w:sz w:val="18"/>
                <w:szCs w:val="18"/>
                <w:b w:val="1"/>
                <w:bCs w:val="1"/>
                <w:color w:val="auto"/>
                <w:w w:val="99"/>
              </w:rPr>
              <w:t>EIN #: 39-0178960</w:t>
            </w: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3"/>
          </w:tcPr>
          <w:p>
            <w:pPr>
              <w:ind w:left="400"/>
              <w:spacing w:after="0"/>
              <w:rPr>
                <w:sz w:val="20"/>
                <w:szCs w:val="20"/>
                <w:color w:val="auto"/>
              </w:rPr>
            </w:pPr>
            <w:r>
              <w:rPr>
                <w:rFonts w:ascii="Arial" w:cs="Arial" w:eastAsia="Arial" w:hAnsi="Arial"/>
                <w:sz w:val="18"/>
                <w:szCs w:val="18"/>
                <w:b w:val="1"/>
                <w:bCs w:val="1"/>
                <w:color w:val="auto"/>
              </w:rPr>
              <w:t>Plan #: 003</w:t>
            </w:r>
          </w:p>
        </w:tc>
        <w:tc>
          <w:tcPr>
            <w:tcW w:w="0" w:type="dxa"/>
            <w:vAlign w:val="bottom"/>
          </w:tcPr>
          <w:p>
            <w:pPr>
              <w:spacing w:after="0"/>
              <w:rPr>
                <w:sz w:val="1"/>
                <w:szCs w:val="1"/>
                <w:color w:val="auto"/>
              </w:rPr>
            </w:pPr>
          </w:p>
        </w:tc>
      </w:tr>
      <w:tr>
        <w:trPr>
          <w:trHeight w:val="369"/>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Participant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Contributions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Transferred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Late to Plan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00" w:type="dxa"/>
            <w:vAlign w:val="bottom"/>
            <w:gridSpan w:val="9"/>
          </w:tcPr>
          <w:p>
            <w:pPr>
              <w:jc w:val="right"/>
              <w:ind w:right="300"/>
              <w:spacing w:after="0"/>
              <w:rPr>
                <w:sz w:val="20"/>
                <w:szCs w:val="20"/>
                <w:color w:val="auto"/>
              </w:rPr>
            </w:pPr>
            <w:r>
              <w:rPr>
                <w:rFonts w:ascii="Arial" w:cs="Arial" w:eastAsia="Arial" w:hAnsi="Arial"/>
                <w:sz w:val="18"/>
                <w:szCs w:val="18"/>
                <w:b w:val="1"/>
                <w:bCs w:val="1"/>
                <w:color w:val="auto"/>
              </w:rPr>
              <w:t>Total that Constitute Nonexempt Prohibited Transactions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gridSpan w:val="2"/>
          </w:tcPr>
          <w:p>
            <w:pPr>
              <w:spacing w:after="0" w:line="173" w:lineRule="exact"/>
              <w:rPr>
                <w:sz w:val="20"/>
                <w:szCs w:val="20"/>
                <w:color w:val="auto"/>
              </w:rPr>
            </w:pPr>
            <w:r>
              <w:rPr>
                <w:rFonts w:ascii="Arial" w:cs="Arial" w:eastAsia="Arial" w:hAnsi="Arial"/>
                <w:sz w:val="18"/>
                <w:szCs w:val="18"/>
                <w:b w:val="1"/>
                <w:bCs w:val="1"/>
                <w:color w:val="auto"/>
              </w:rPr>
              <w:t>Check here if</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Late Participant</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gridSpan w:val="3"/>
          </w:tcPr>
          <w:p>
            <w:pPr>
              <w:jc w:val="center"/>
              <w:ind w:right="1580"/>
              <w:spacing w:after="0" w:line="202" w:lineRule="exact"/>
              <w:rPr>
                <w:sz w:val="20"/>
                <w:szCs w:val="20"/>
                <w:color w:val="auto"/>
              </w:rPr>
            </w:pPr>
            <w:r>
              <w:rPr>
                <w:rFonts w:ascii="Arial" w:cs="Arial" w:eastAsia="Arial" w:hAnsi="Arial"/>
                <w:sz w:val="18"/>
                <w:szCs w:val="18"/>
                <w:b w:val="1"/>
                <w:bCs w:val="1"/>
                <w:color w:val="auto"/>
                <w:w w:val="97"/>
              </w:rPr>
              <w:t>Total Fully</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Loan Repayments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99"/>
              </w:rPr>
              <w:t>Contributions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Contributions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gridSpan w:val="3"/>
          </w:tcPr>
          <w:p>
            <w:pPr>
              <w:jc w:val="center"/>
              <w:ind w:right="1580"/>
              <w:spacing w:after="0" w:line="202" w:lineRule="exact"/>
              <w:rPr>
                <w:sz w:val="20"/>
                <w:szCs w:val="20"/>
                <w:color w:val="auto"/>
              </w:rPr>
            </w:pPr>
            <w:r>
              <w:rPr>
                <w:rFonts w:ascii="Arial" w:cs="Arial" w:eastAsia="Arial" w:hAnsi="Arial"/>
                <w:sz w:val="18"/>
                <w:szCs w:val="18"/>
                <w:b w:val="1"/>
                <w:bCs w:val="1"/>
                <w:color w:val="auto"/>
                <w:w w:val="98"/>
              </w:rPr>
              <w:t>Corrected</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spacing w:after="0" w:line="185" w:lineRule="exact"/>
              <w:rPr>
                <w:sz w:val="20"/>
                <w:szCs w:val="20"/>
                <w:color w:val="auto"/>
              </w:rPr>
            </w:pPr>
            <w:r>
              <w:rPr>
                <w:rFonts w:ascii="Arial" w:cs="Arial" w:eastAsia="Arial" w:hAnsi="Arial"/>
                <w:sz w:val="18"/>
                <w:szCs w:val="18"/>
                <w:b w:val="1"/>
                <w:bCs w:val="1"/>
                <w:color w:val="auto"/>
              </w:rPr>
              <w:t>are included:</w:t>
            </w:r>
          </w:p>
        </w:tc>
        <w:tc>
          <w:tcPr>
            <w:tcW w:w="1040" w:type="dxa"/>
            <w:vAlign w:val="bottom"/>
            <w:gridSpan w:val="2"/>
          </w:tcPr>
          <w:p>
            <w:pPr>
              <w:jc w:val="right"/>
              <w:ind w:right="100"/>
              <w:spacing w:after="0" w:line="185" w:lineRule="exact"/>
              <w:rPr>
                <w:sz w:val="20"/>
                <w:szCs w:val="20"/>
                <w:color w:val="auto"/>
              </w:rPr>
            </w:pPr>
            <w:r>
              <w:rPr>
                <w:rFonts w:ascii="Arial" w:cs="Arial" w:eastAsia="Arial" w:hAnsi="Arial"/>
                <w:sz w:val="18"/>
                <w:szCs w:val="18"/>
                <w:b w:val="1"/>
                <w:bCs w:val="1"/>
                <w:color w:val="auto"/>
                <w:w w:val="98"/>
              </w:rPr>
              <w:t>Relating to</w:t>
            </w:r>
          </w:p>
        </w:tc>
        <w:tc>
          <w:tcPr>
            <w:tcW w:w="100" w:type="dxa"/>
            <w:vAlign w:val="bottom"/>
          </w:tcPr>
          <w:p>
            <w:pPr>
              <w:spacing w:after="0"/>
              <w:rPr>
                <w:sz w:val="16"/>
                <w:szCs w:val="16"/>
                <w:color w:val="auto"/>
              </w:rPr>
            </w:pPr>
          </w:p>
        </w:tc>
        <w:tc>
          <w:tcPr>
            <w:tcW w:w="1640" w:type="dxa"/>
            <w:vAlign w:val="bottom"/>
            <w:gridSpan w:val="2"/>
          </w:tcPr>
          <w:p>
            <w:pPr>
              <w:ind w:left="20"/>
              <w:spacing w:after="0" w:line="185" w:lineRule="exact"/>
              <w:rPr>
                <w:sz w:val="20"/>
                <w:szCs w:val="20"/>
                <w:color w:val="auto"/>
              </w:rPr>
            </w:pPr>
            <w:r>
              <w:rPr>
                <w:rFonts w:ascii="Arial" w:cs="Arial" w:eastAsia="Arial" w:hAnsi="Arial"/>
                <w:sz w:val="18"/>
                <w:szCs w:val="18"/>
                <w:b w:val="1"/>
                <w:bCs w:val="1"/>
                <w:color w:val="auto"/>
              </w:rPr>
              <w:t>Contributions</w:t>
            </w:r>
          </w:p>
        </w:tc>
        <w:tc>
          <w:tcPr>
            <w:tcW w:w="1840" w:type="dxa"/>
            <w:vAlign w:val="bottom"/>
            <w:gridSpan w:val="3"/>
          </w:tcPr>
          <w:p>
            <w:pPr>
              <w:jc w:val="center"/>
              <w:ind w:right="260"/>
              <w:spacing w:after="0" w:line="185" w:lineRule="exact"/>
              <w:rPr>
                <w:sz w:val="20"/>
                <w:szCs w:val="20"/>
                <w:color w:val="auto"/>
              </w:rPr>
            </w:pPr>
            <w:r>
              <w:rPr>
                <w:rFonts w:ascii="Arial" w:cs="Arial" w:eastAsia="Arial" w:hAnsi="Arial"/>
                <w:sz w:val="18"/>
                <w:szCs w:val="18"/>
                <w:b w:val="1"/>
                <w:bCs w:val="1"/>
                <w:color w:val="auto"/>
              </w:rPr>
              <w:t>Corrected Outside</w:t>
            </w:r>
          </w:p>
        </w:tc>
        <w:tc>
          <w:tcPr>
            <w:tcW w:w="100" w:type="dxa"/>
            <w:vAlign w:val="bottom"/>
          </w:tcPr>
          <w:p>
            <w:pPr>
              <w:spacing w:after="0"/>
              <w:rPr>
                <w:sz w:val="16"/>
                <w:szCs w:val="16"/>
                <w:color w:val="auto"/>
              </w:rPr>
            </w:pPr>
          </w:p>
        </w:tc>
        <w:tc>
          <w:tcPr>
            <w:tcW w:w="1720" w:type="dxa"/>
            <w:vAlign w:val="bottom"/>
            <w:gridSpan w:val="3"/>
          </w:tcPr>
          <w:p>
            <w:pPr>
              <w:jc w:val="right"/>
              <w:ind w:right="40"/>
              <w:spacing w:after="0" w:line="185" w:lineRule="exact"/>
              <w:rPr>
                <w:sz w:val="20"/>
                <w:szCs w:val="20"/>
                <w:color w:val="auto"/>
              </w:rPr>
            </w:pPr>
            <w:r>
              <w:rPr>
                <w:rFonts w:ascii="Arial" w:cs="Arial" w:eastAsia="Arial" w:hAnsi="Arial"/>
                <w:sz w:val="18"/>
                <w:szCs w:val="18"/>
                <w:b w:val="1"/>
                <w:bCs w:val="1"/>
                <w:color w:val="auto"/>
                <w:w w:val="99"/>
              </w:rPr>
              <w:t>Pending Correction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3"/>
          </w:tcPr>
          <w:p>
            <w:pPr>
              <w:jc w:val="center"/>
              <w:ind w:right="1580"/>
              <w:spacing w:after="0" w:line="185" w:lineRule="exact"/>
              <w:rPr>
                <w:sz w:val="20"/>
                <w:szCs w:val="20"/>
                <w:color w:val="auto"/>
              </w:rPr>
            </w:pPr>
            <w:r>
              <w:rPr>
                <w:rFonts w:ascii="Arial" w:cs="Arial" w:eastAsia="Arial" w:hAnsi="Arial"/>
                <w:sz w:val="18"/>
                <w:szCs w:val="18"/>
                <w:b w:val="1"/>
                <w:bCs w:val="1"/>
                <w:color w:val="auto"/>
                <w:w w:val="98"/>
              </w:rPr>
              <w:t>Under VFCP</w:t>
            </w: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gridSpan w:val="3"/>
          </w:tcPr>
          <w:p>
            <w:pPr>
              <w:spacing w:after="0" w:line="181" w:lineRule="exact"/>
              <w:rPr>
                <w:sz w:val="20"/>
                <w:szCs w:val="20"/>
                <w:color w:val="auto"/>
              </w:rPr>
            </w:pPr>
            <w:r>
              <w:rPr>
                <w:rFonts w:ascii="MS PGothic" w:cs="MS PGothic" w:eastAsia="MS PGothic" w:hAnsi="MS PGothic"/>
                <w:sz w:val="18"/>
                <w:szCs w:val="18"/>
                <w:color w:val="auto"/>
                <w:highlight w:val="black"/>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Plan Year</w:t>
            </w:r>
          </w:p>
        </w:tc>
        <w:tc>
          <w:tcPr>
            <w:tcW w:w="100" w:type="dxa"/>
            <w:vAlign w:val="bottom"/>
          </w:tcPr>
          <w:p>
            <w:pPr>
              <w:spacing w:after="0"/>
              <w:rPr>
                <w:sz w:val="22"/>
                <w:szCs w:val="22"/>
                <w:color w:val="auto"/>
              </w:rPr>
            </w:pPr>
          </w:p>
        </w:tc>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Not Corrected</w:t>
            </w:r>
          </w:p>
        </w:tc>
        <w:tc>
          <w:tcPr>
            <w:tcW w:w="140" w:type="dxa"/>
            <w:vAlign w:val="bottom"/>
          </w:tcPr>
          <w:p>
            <w:pPr>
              <w:spacing w:after="0"/>
              <w:rPr>
                <w:sz w:val="22"/>
                <w:szCs w:val="22"/>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VFCP</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ind w:left="320"/>
              <w:spacing w:after="0"/>
              <w:rPr>
                <w:sz w:val="20"/>
                <w:szCs w:val="20"/>
                <w:color w:val="auto"/>
              </w:rPr>
            </w:pPr>
            <w:r>
              <w:rPr>
                <w:rFonts w:ascii="Arial" w:cs="Arial" w:eastAsia="Arial" w:hAnsi="Arial"/>
                <w:sz w:val="18"/>
                <w:szCs w:val="18"/>
                <w:b w:val="1"/>
                <w:bCs w:val="1"/>
                <w:color w:val="auto"/>
              </w:rPr>
              <w:t>in VFCP</w:t>
            </w:r>
          </w:p>
        </w:tc>
        <w:tc>
          <w:tcPr>
            <w:tcW w:w="100" w:type="dxa"/>
            <w:vAlign w:val="bottom"/>
          </w:tcPr>
          <w:p>
            <w:pPr>
              <w:spacing w:after="0"/>
              <w:rPr>
                <w:sz w:val="22"/>
                <w:szCs w:val="22"/>
                <w:color w:val="auto"/>
              </w:rPr>
            </w:pPr>
          </w:p>
        </w:tc>
        <w:tc>
          <w:tcPr>
            <w:tcW w:w="2840" w:type="dxa"/>
            <w:vAlign w:val="bottom"/>
            <w:gridSpan w:val="4"/>
          </w:tcPr>
          <w:p>
            <w:pPr>
              <w:jc w:val="center"/>
              <w:ind w:right="1420"/>
              <w:spacing w:after="0"/>
              <w:rPr>
                <w:sz w:val="20"/>
                <w:szCs w:val="20"/>
                <w:color w:val="auto"/>
              </w:rPr>
            </w:pPr>
            <w:r>
              <w:rPr>
                <w:rFonts w:ascii="Arial" w:cs="Arial" w:eastAsia="Arial" w:hAnsi="Arial"/>
                <w:sz w:val="18"/>
                <w:szCs w:val="18"/>
                <w:b w:val="1"/>
                <w:bCs w:val="1"/>
                <w:color w:val="auto"/>
                <w:w w:val="99"/>
              </w:rPr>
              <w:t>and PTE 2002-51</w:t>
            </w:r>
          </w:p>
        </w:tc>
        <w:tc>
          <w:tcPr>
            <w:tcW w:w="0" w:type="dxa"/>
            <w:vAlign w:val="bottom"/>
          </w:tcPr>
          <w:p>
            <w:pPr>
              <w:spacing w:after="0"/>
              <w:rPr>
                <w:sz w:val="1"/>
                <w:szCs w:val="1"/>
                <w:color w:val="auto"/>
              </w:rPr>
            </w:pPr>
          </w:p>
        </w:tc>
      </w:tr>
      <w:tr>
        <w:trPr>
          <w:trHeight w:val="196"/>
        </w:trPr>
        <w:tc>
          <w:tcPr>
            <w:tcW w:w="340" w:type="dxa"/>
            <w:vAlign w:val="bottom"/>
            <w:vMerge w:val="restart"/>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vMerge w:val="continue"/>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609,599</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ind w:left="11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609,302</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297</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587,258</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2007</w:t>
            </w:r>
          </w:p>
        </w:tc>
        <w:tc>
          <w:tcPr>
            <w:tcW w:w="100" w:type="dxa"/>
            <w:vAlign w:val="bottom"/>
          </w:tcPr>
          <w:p>
            <w:pPr>
              <w:spacing w:after="0"/>
              <w:rPr>
                <w:sz w:val="17"/>
                <w:szCs w:val="17"/>
                <w:color w:val="auto"/>
              </w:rPr>
            </w:pPr>
          </w:p>
        </w:tc>
        <w:tc>
          <w:tcPr>
            <w:tcW w:w="16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7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586,972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903,744</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ind w:left="11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903,217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89</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1,076,624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16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1,076,091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5"/>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870"/>
              <w:spacing w:after="0"/>
              <w:rPr>
                <w:sz w:val="20"/>
                <w:szCs w:val="20"/>
                <w:color w:val="auto"/>
              </w:rPr>
            </w:pPr>
            <w:r>
              <w:rPr>
                <w:rFonts w:ascii="Arial" w:cs="Arial" w:eastAsia="Arial" w:hAnsi="Arial"/>
                <w:sz w:val="18"/>
                <w:szCs w:val="18"/>
                <w:color w:val="auto"/>
                <w:w w:val="99"/>
              </w:rPr>
              <w:t>15</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2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BRADY MATCHED 401(k) PLAN</w:t>
      </w:r>
    </w:p>
    <w:p>
      <w:pPr>
        <w:spacing w:after="0" w:line="13"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SCHEDULE H, LINE 4i — SCHEDULE OF ASSETS (HELD AT END OF YEAR)</w:t>
      </w:r>
    </w:p>
    <w:p>
      <w:pPr>
        <w:jc w:val="center"/>
        <w:ind w:right="-180"/>
        <w:spacing w:after="0"/>
        <w:rPr>
          <w:sz w:val="20"/>
          <w:szCs w:val="20"/>
          <w:color w:val="auto"/>
        </w:rPr>
      </w:pPr>
      <w:r>
        <w:rPr>
          <w:rFonts w:ascii="Arial" w:cs="Arial" w:eastAsia="Arial" w:hAnsi="Arial"/>
          <w:sz w:val="18"/>
          <w:szCs w:val="18"/>
          <w:b w:val="1"/>
          <w:bCs w:val="1"/>
          <w:color w:val="auto"/>
        </w:rPr>
        <w:t>AS OF DECEMBER 31, 2010</w:t>
      </w:r>
    </w:p>
    <w:p>
      <w:pPr>
        <w:spacing w:after="0" w:line="163" w:lineRule="exact"/>
        <w:rPr>
          <w:sz w:val="20"/>
          <w:szCs w:val="20"/>
          <w:color w:val="auto"/>
        </w:rPr>
      </w:pPr>
    </w:p>
    <w:p>
      <w:pPr>
        <w:jc w:val="right"/>
        <w:ind w:right="159"/>
        <w:spacing w:after="0"/>
        <w:rPr>
          <w:sz w:val="20"/>
          <w:szCs w:val="20"/>
          <w:color w:val="auto"/>
        </w:rPr>
      </w:pPr>
      <w:r>
        <w:rPr>
          <w:rFonts w:ascii="Arial" w:cs="Arial" w:eastAsia="Arial" w:hAnsi="Arial"/>
          <w:sz w:val="18"/>
          <w:szCs w:val="18"/>
          <w:b w:val="1"/>
          <w:bCs w:val="1"/>
          <w:color w:val="auto"/>
        </w:rPr>
        <w:t>EIN #: 39-0178960</w:t>
      </w:r>
    </w:p>
    <w:p>
      <w:pPr>
        <w:spacing w:after="0" w:line="18" w:lineRule="exact"/>
        <w:rPr>
          <w:sz w:val="20"/>
          <w:szCs w:val="20"/>
          <w:color w:val="auto"/>
        </w:rPr>
      </w:pPr>
    </w:p>
    <w:p>
      <w:pPr>
        <w:jc w:val="right"/>
        <w:ind w:right="159"/>
        <w:spacing w:after="0"/>
        <w:rPr>
          <w:sz w:val="20"/>
          <w:szCs w:val="20"/>
          <w:color w:val="auto"/>
        </w:rPr>
      </w:pPr>
      <w:r>
        <w:rPr>
          <w:rFonts w:ascii="Arial" w:cs="Arial" w:eastAsia="Arial" w:hAnsi="Arial"/>
          <w:sz w:val="18"/>
          <w:szCs w:val="18"/>
          <w:b w:val="1"/>
          <w:bCs w:val="1"/>
          <w:color w:val="auto"/>
        </w:rPr>
        <w:t>Plan #: 003</w:t>
      </w:r>
    </w:p>
    <w:p>
      <w:pPr>
        <w:sectPr>
          <w:pgSz w:w="11900" w:h="16838" w:orient="portrait"/>
          <w:cols w:equalWidth="0" w:num="1">
            <w:col w:w="10219"/>
          </w:cols>
          <w:pgMar w:left="240" w:top="419" w:right="1440" w:bottom="1440" w:gutter="0" w:footer="0" w:header="0"/>
        </w:sectPr>
      </w:pPr>
    </w:p>
    <w:p>
      <w:pPr>
        <w:spacing w:after="0" w:line="3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11430</wp:posOffset>
            </wp:positionV>
            <wp:extent cx="52228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EQUITY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-116205</wp:posOffset>
            </wp:positionV>
            <wp:extent cx="617474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Oppenheimer Developing Markets</w:t>
      </w:r>
    </w:p>
    <w:p>
      <w:pPr>
        <w:ind w:left="540"/>
        <w:spacing w:after="0" w:line="234" w:lineRule="auto"/>
        <w:rPr>
          <w:sz w:val="20"/>
          <w:szCs w:val="20"/>
          <w:color w:val="auto"/>
        </w:rPr>
      </w:pPr>
      <w:r>
        <w:rPr>
          <w:rFonts w:ascii="Arial" w:cs="Arial" w:eastAsia="Arial" w:hAnsi="Arial"/>
          <w:sz w:val="18"/>
          <w:szCs w:val="18"/>
          <w:color w:val="auto"/>
        </w:rPr>
        <w:t>Growth Fund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-127000</wp:posOffset>
            </wp:positionV>
            <wp:extent cx="617474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Fidelity Diversified International Fund</w:t>
      </w:r>
    </w:p>
    <w:p>
      <w:pPr>
        <w:ind w:left="540"/>
        <w:spacing w:after="0" w:line="235" w:lineRule="auto"/>
        <w:rPr>
          <w:sz w:val="20"/>
          <w:szCs w:val="20"/>
          <w:color w:val="auto"/>
        </w:rPr>
      </w:pPr>
      <w:r>
        <w:rPr>
          <w:rFonts w:ascii="Arial" w:cs="Arial" w:eastAsia="Arial" w:hAnsi="Arial"/>
          <w:sz w:val="18"/>
          <w:szCs w:val="18"/>
          <w:color w:val="auto"/>
        </w:rPr>
        <w:t>Blackrock Small Cap Growth Eq Instl*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-127000</wp:posOffset>
            </wp:positionV>
            <wp:extent cx="617474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American Cent Sm Cap Val Inst</w:t>
      </w:r>
    </w:p>
    <w:p>
      <w:pPr>
        <w:ind w:left="540"/>
        <w:spacing w:after="0" w:line="235" w:lineRule="auto"/>
        <w:rPr>
          <w:sz w:val="20"/>
          <w:szCs w:val="20"/>
          <w:color w:val="auto"/>
        </w:rPr>
      </w:pPr>
      <w:r>
        <w:rPr>
          <w:rFonts w:ascii="Arial" w:cs="Arial" w:eastAsia="Arial" w:hAnsi="Arial"/>
          <w:sz w:val="18"/>
          <w:szCs w:val="18"/>
          <w:color w:val="auto"/>
        </w:rPr>
        <w:t>LSV Value Equity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-127000</wp:posOffset>
            </wp:positionV>
            <wp:extent cx="617474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T. Rowe Price Retirement 2010</w:t>
      </w:r>
    </w:p>
    <w:p>
      <w:pPr>
        <w:ind w:left="540"/>
        <w:spacing w:after="0" w:line="235" w:lineRule="auto"/>
        <w:rPr>
          <w:sz w:val="20"/>
          <w:szCs w:val="20"/>
          <w:color w:val="auto"/>
        </w:rPr>
      </w:pPr>
      <w:r>
        <w:rPr>
          <w:rFonts w:ascii="Arial" w:cs="Arial" w:eastAsia="Arial" w:hAnsi="Arial"/>
          <w:sz w:val="18"/>
          <w:szCs w:val="18"/>
          <w:color w:val="auto"/>
        </w:rPr>
        <w:t>T. Rowe Price Retirement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-127635</wp:posOffset>
            </wp:positionV>
            <wp:extent cx="617474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T. Rowe Price Retirement 2030</w:t>
      </w:r>
    </w:p>
    <w:p>
      <w:pPr>
        <w:ind w:left="540"/>
        <w:spacing w:after="0" w:line="235" w:lineRule="auto"/>
        <w:rPr>
          <w:sz w:val="20"/>
          <w:szCs w:val="20"/>
          <w:color w:val="auto"/>
        </w:rPr>
      </w:pPr>
      <w:r>
        <w:rPr>
          <w:rFonts w:ascii="Arial" w:cs="Arial" w:eastAsia="Arial" w:hAnsi="Arial"/>
          <w:sz w:val="18"/>
          <w:szCs w:val="18"/>
          <w:color w:val="auto"/>
        </w:rPr>
        <w:t>T. Rowe Price Retirement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-127635</wp:posOffset>
            </wp:positionV>
            <wp:extent cx="617474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ind w:left="540"/>
        <w:spacing w:after="0" w:line="234" w:lineRule="auto"/>
        <w:rPr>
          <w:sz w:val="20"/>
          <w:szCs w:val="20"/>
          <w:color w:val="auto"/>
        </w:rPr>
      </w:pPr>
      <w:r>
        <w:rPr>
          <w:rFonts w:ascii="Arial" w:cs="Arial" w:eastAsia="Arial" w:hAnsi="Arial"/>
          <w:sz w:val="18"/>
          <w:szCs w:val="18"/>
          <w:color w:val="auto"/>
        </w:rPr>
        <w:t>T. Rowe Price Retirement 2050</w:t>
      </w:r>
    </w:p>
    <w:p>
      <w:pPr>
        <w:ind w:left="540"/>
        <w:spacing w:after="0" w:line="235" w:lineRule="auto"/>
        <w:rPr>
          <w:sz w:val="20"/>
          <w:szCs w:val="20"/>
          <w:color w:val="auto"/>
        </w:rPr>
      </w:pPr>
      <w:r>
        <w:rPr>
          <w:rFonts w:ascii="Arial" w:cs="Arial" w:eastAsia="Arial" w:hAnsi="Arial"/>
          <w:sz w:val="18"/>
          <w:szCs w:val="18"/>
          <w:color w:val="auto"/>
        </w:rPr>
        <w:t>Credit Suisse Commodity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-127000</wp:posOffset>
            </wp:positionV>
            <wp:extent cx="617474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Vanguard Institutional Index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143510</wp:posOffset>
            </wp:positionV>
            <wp:extent cx="617474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COMMON COLLECTIVE TRUST FUND</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PNC Investment Contract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17474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BOND FUND</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Vanguard Total Bond Index 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17474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MONEY MARKET FUNDS</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Vanguard Prime Money Market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-127635</wp:posOffset>
            </wp:positionV>
            <wp:extent cx="617474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Brady Stock Liquidity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143510</wp:posOffset>
            </wp:positionV>
            <wp:extent cx="617474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COMMON STOCK</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Brady Corporation Class A Non-voting*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17474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spacing w:after="0" w:line="183" w:lineRule="exact"/>
        <w:rPr>
          <w:sz w:val="20"/>
          <w:szCs w:val="20"/>
          <w:color w:val="auto"/>
        </w:rPr>
      </w:pPr>
    </w:p>
    <w:p>
      <w:pPr>
        <w:ind w:left="540" w:right="560" w:hanging="202"/>
        <w:spacing w:after="0" w:line="271" w:lineRule="auto"/>
        <w:rPr>
          <w:sz w:val="20"/>
          <w:szCs w:val="20"/>
          <w:color w:val="auto"/>
        </w:rPr>
      </w:pPr>
      <w:r>
        <w:rPr>
          <w:rFonts w:ascii="Arial" w:cs="Arial" w:eastAsia="Arial" w:hAnsi="Arial"/>
          <w:sz w:val="18"/>
          <w:szCs w:val="18"/>
          <w:b w:val="1"/>
          <w:bCs w:val="1"/>
          <w:color w:val="auto"/>
        </w:rPr>
        <w:t>NOTES RECEIVABLE from PARTICIPANTS, at various interest rates and due through November 9, 2040*</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ASSETS (HELD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-116205</wp:posOffset>
            </wp:positionV>
            <wp:extent cx="617474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spacing w:after="0" w:line="173" w:lineRule="exact"/>
        <w:rPr>
          <w:sz w:val="20"/>
          <w:szCs w:val="20"/>
          <w:color w:val="auto"/>
        </w:rPr>
      </w:pPr>
    </w:p>
    <w:p>
      <w:pPr>
        <w:ind w:left="720" w:hanging="388"/>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Party-in-interest in the Plan.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Fair</w:t>
      </w:r>
    </w:p>
    <w:p>
      <w:pPr>
        <w:spacing w:after="0" w:line="1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11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394" w:lineRule="exact"/>
        <w:rPr>
          <w:sz w:val="20"/>
          <w:szCs w:val="20"/>
          <w:color w:val="auto"/>
        </w:rPr>
      </w:pPr>
    </w:p>
    <w:p>
      <w:pPr>
        <w:ind w:left="220" w:hanging="220"/>
        <w:spacing w:after="0"/>
        <w:tabs>
          <w:tab w:leader="none" w:pos="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10,370,602</w:t>
      </w:r>
    </w:p>
    <w:p>
      <w:pPr>
        <w:spacing w:after="0" w:line="7" w:lineRule="exact"/>
        <w:rPr>
          <w:rFonts w:ascii="Arial" w:cs="Arial" w:eastAsia="Arial" w:hAnsi="Arial"/>
          <w:sz w:val="17"/>
          <w:szCs w:val="17"/>
          <w:color w:val="auto"/>
        </w:rPr>
      </w:pPr>
    </w:p>
    <w:p>
      <w:pPr>
        <w:ind w:left="220"/>
        <w:spacing w:after="0"/>
        <w:rPr>
          <w:rFonts w:ascii="Arial" w:cs="Arial" w:eastAsia="Arial" w:hAnsi="Arial"/>
          <w:sz w:val="17"/>
          <w:szCs w:val="17"/>
          <w:color w:val="auto"/>
        </w:rPr>
      </w:pPr>
      <w:r>
        <w:rPr>
          <w:rFonts w:ascii="Arial" w:cs="Arial" w:eastAsia="Arial" w:hAnsi="Arial"/>
          <w:sz w:val="17"/>
          <w:szCs w:val="17"/>
          <w:color w:val="auto"/>
        </w:rPr>
        <w:t>26,399,363</w:t>
      </w:r>
    </w:p>
    <w:p>
      <w:pPr>
        <w:spacing w:after="0" w:line="7" w:lineRule="exact"/>
        <w:rPr>
          <w:rFonts w:ascii="Arial" w:cs="Arial" w:eastAsia="Arial" w:hAnsi="Arial"/>
          <w:sz w:val="17"/>
          <w:szCs w:val="17"/>
          <w:color w:val="auto"/>
        </w:rPr>
      </w:pPr>
    </w:p>
    <w:p>
      <w:pPr>
        <w:ind w:left="220"/>
        <w:spacing w:after="0"/>
        <w:rPr>
          <w:rFonts w:ascii="Arial" w:cs="Arial" w:eastAsia="Arial" w:hAnsi="Arial"/>
          <w:sz w:val="17"/>
          <w:szCs w:val="17"/>
          <w:color w:val="auto"/>
        </w:rPr>
      </w:pPr>
      <w:r>
        <w:rPr>
          <w:rFonts w:ascii="Arial" w:cs="Arial" w:eastAsia="Arial" w:hAnsi="Arial"/>
          <w:sz w:val="17"/>
          <w:szCs w:val="17"/>
          <w:color w:val="auto"/>
        </w:rPr>
        <w:t>11,843,958</w:t>
      </w:r>
    </w:p>
    <w:p>
      <w:pPr>
        <w:spacing w:after="0" w:line="7"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7,391,948</w:t>
      </w:r>
    </w:p>
    <w:p>
      <w:pPr>
        <w:spacing w:after="0" w:line="7"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7,275,781</w:t>
      </w:r>
    </w:p>
    <w:p>
      <w:pPr>
        <w:spacing w:after="0" w:line="7"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9,399,024</w:t>
      </w:r>
    </w:p>
    <w:p>
      <w:pPr>
        <w:spacing w:after="0" w:line="7"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3,637,575</w:t>
      </w:r>
    </w:p>
    <w:p>
      <w:pPr>
        <w:spacing w:after="0" w:line="7"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8,287,198</w:t>
      </w:r>
    </w:p>
    <w:p>
      <w:pPr>
        <w:spacing w:after="0" w:line="7"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8,460,191</w:t>
      </w:r>
    </w:p>
    <w:p>
      <w:pPr>
        <w:spacing w:after="0" w:line="7"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5,688,924</w:t>
      </w:r>
    </w:p>
    <w:p>
      <w:pPr>
        <w:spacing w:after="0" w:line="7"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1,184,701</w:t>
      </w:r>
    </w:p>
    <w:p>
      <w:pPr>
        <w:spacing w:after="0" w:line="7"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3,690,103</w:t>
      </w:r>
    </w:p>
    <w:p>
      <w:pPr>
        <w:spacing w:after="0" w:line="7" w:lineRule="exact"/>
        <w:rPr>
          <w:rFonts w:ascii="Arial" w:cs="Arial" w:eastAsia="Arial" w:hAnsi="Arial"/>
          <w:sz w:val="17"/>
          <w:szCs w:val="17"/>
          <w:color w:val="auto"/>
        </w:rPr>
      </w:pPr>
    </w:p>
    <w:p>
      <w:pPr>
        <w:ind w:left="220"/>
        <w:spacing w:after="0"/>
        <w:rPr>
          <w:rFonts w:ascii="Arial" w:cs="Arial" w:eastAsia="Arial" w:hAnsi="Arial"/>
          <w:sz w:val="17"/>
          <w:szCs w:val="17"/>
          <w:color w:val="auto"/>
        </w:rPr>
      </w:pPr>
      <w:r>
        <w:rPr>
          <w:rFonts w:ascii="Arial" w:cs="Arial" w:eastAsia="Arial" w:hAnsi="Arial"/>
          <w:sz w:val="17"/>
          <w:szCs w:val="17"/>
          <w:color w:val="auto"/>
        </w:rPr>
        <w:t>13,677,163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711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7"/>
          <w:szCs w:val="17"/>
          <w:u w:val="single" w:color="auto"/>
          <w:color w:val="auto"/>
        </w:rPr>
        <w:t>117,306,531</w:t>
      </w: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18,170,509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711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13,195,596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711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10,367,180</w:t>
      </w:r>
    </w:p>
    <w:p>
      <w:pPr>
        <w:jc w:val="right"/>
        <w:ind w:right="259"/>
        <w:spacing w:after="0"/>
        <w:rPr>
          <w:sz w:val="20"/>
          <w:szCs w:val="20"/>
          <w:color w:val="auto"/>
        </w:rPr>
      </w:pPr>
      <w:r>
        <w:rPr>
          <w:rFonts w:ascii="Arial" w:cs="Arial" w:eastAsia="Arial" w:hAnsi="Arial"/>
          <w:sz w:val="18"/>
          <w:szCs w:val="18"/>
          <w:color w:val="auto"/>
        </w:rPr>
        <w:t>6,413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118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5"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10,373,593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11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5"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4,055,316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11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3,088,834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118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$ 166,190,379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1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8120" w:space="720"/>
            <w:col w:w="1379"/>
          </w:cols>
          <w:pgMar w:left="240" w:top="419" w:right="1440" w:bottom="1440" w:gutter="0" w:footer="0" w:header="0"/>
          <w:type w:val="continuous"/>
        </w:sectPr>
      </w:pPr>
    </w:p>
    <w:p>
      <w:pPr>
        <w:spacing w:after="0" w:line="349"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SIGNATURES</w:t>
      </w:r>
    </w:p>
    <w:p>
      <w:pPr>
        <w:spacing w:after="0" w:line="167" w:lineRule="exact"/>
        <w:rPr>
          <w:sz w:val="20"/>
          <w:szCs w:val="20"/>
          <w:color w:val="auto"/>
        </w:rPr>
      </w:pPr>
    </w:p>
    <w:p>
      <w:pPr>
        <w:jc w:val="both"/>
        <w:ind w:left="340" w:right="179" w:firstLine="389"/>
        <w:spacing w:after="0" w:line="251"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administer the employee benefit plan) have duly caused this annual report to be signed on its behalf by the undersigned hereunto duly authorized.</w:t>
      </w:r>
    </w:p>
    <w:p>
      <w:pPr>
        <w:spacing w:after="0" w:line="17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BRADY MATCHED 401(k) PLAN</w:t>
      </w:r>
    </w:p>
    <w:p>
      <w:pPr>
        <w:spacing w:after="0" w:line="198" w:lineRule="exact"/>
        <w:rPr>
          <w:sz w:val="20"/>
          <w:szCs w:val="20"/>
          <w:color w:val="auto"/>
        </w:rPr>
      </w:pPr>
    </w:p>
    <w:p>
      <w:pPr>
        <w:ind w:left="340"/>
        <w:spacing w:after="0"/>
        <w:tabs>
          <w:tab w:leader="none" w:pos="5140" w:val="left"/>
        </w:tabs>
        <w:rPr>
          <w:sz w:val="20"/>
          <w:szCs w:val="20"/>
          <w:color w:val="auto"/>
        </w:rPr>
      </w:pPr>
      <w:r>
        <w:rPr>
          <w:rFonts w:ascii="Arial" w:cs="Arial" w:eastAsia="Arial" w:hAnsi="Arial"/>
          <w:sz w:val="18"/>
          <w:szCs w:val="18"/>
          <w:color w:val="auto"/>
        </w:rPr>
        <w:t>Date: June 24, 2011</w:t>
      </w:r>
      <w:r>
        <w:rPr>
          <w:sz w:val="20"/>
          <w:szCs w:val="20"/>
          <w:color w:val="auto"/>
        </w:rPr>
        <w:tab/>
      </w:r>
      <w:r>
        <w:rPr>
          <w:rFonts w:ascii="Arial" w:cs="Arial" w:eastAsia="Arial" w:hAnsi="Arial"/>
          <w:sz w:val="17"/>
          <w:szCs w:val="17"/>
          <w:color w:val="auto"/>
        </w:rPr>
        <w:t>/s/ GARY VOSE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-1905</wp:posOffset>
            </wp:positionV>
            <wp:extent cx="27698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ind w:left="5160"/>
        <w:spacing w:after="0"/>
        <w:rPr>
          <w:sz w:val="20"/>
          <w:szCs w:val="20"/>
          <w:color w:val="auto"/>
        </w:rPr>
      </w:pPr>
      <w:r>
        <w:rPr>
          <w:rFonts w:ascii="Arial" w:cs="Arial" w:eastAsia="Arial" w:hAnsi="Arial"/>
          <w:sz w:val="18"/>
          <w:szCs w:val="18"/>
          <w:color w:val="auto"/>
        </w:rPr>
        <w:t>Gary Vose</w:t>
      </w:r>
    </w:p>
    <w:p>
      <w:pPr>
        <w:ind w:left="5160"/>
        <w:spacing w:after="0"/>
        <w:rPr>
          <w:sz w:val="20"/>
          <w:szCs w:val="20"/>
          <w:color w:val="auto"/>
        </w:rPr>
      </w:pPr>
      <w:r>
        <w:rPr>
          <w:rFonts w:ascii="Arial" w:cs="Arial" w:eastAsia="Arial" w:hAnsi="Arial"/>
          <w:sz w:val="18"/>
          <w:szCs w:val="18"/>
          <w:color w:val="auto"/>
        </w:rPr>
        <w:t>Plan Administrative Committee Member</w:t>
      </w:r>
    </w:p>
    <w:p>
      <w:pPr>
        <w:spacing w:after="0" w:line="200" w:lineRule="exact"/>
        <w:rPr>
          <w:sz w:val="20"/>
          <w:szCs w:val="20"/>
          <w:color w:val="auto"/>
        </w:rPr>
      </w:pPr>
    </w:p>
    <w:p>
      <w:pPr>
        <w:spacing w:after="0" w:line="34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200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806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80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9"/>
              </w:rPr>
              <w:t>EXHIBIT INDEX</w:t>
            </w:r>
          </w:p>
        </w:tc>
      </w:tr>
      <w:tr>
        <w:trPr>
          <w:trHeight w:val="392"/>
        </w:trPr>
        <w:tc>
          <w:tcPr>
            <w:tcW w:w="340" w:type="dxa"/>
            <w:vAlign w:val="bottom"/>
          </w:tcPr>
          <w:p>
            <w:pPr>
              <w:spacing w:after="0"/>
              <w:rPr>
                <w:sz w:val="24"/>
                <w:szCs w:val="24"/>
                <w:color w:val="auto"/>
              </w:rPr>
            </w:pPr>
          </w:p>
        </w:tc>
        <w:tc>
          <w:tcPr>
            <w:tcW w:w="166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9"/>
              </w:rPr>
              <w:t>Exhibit No.</w:t>
            </w:r>
          </w:p>
        </w:tc>
        <w:tc>
          <w:tcPr>
            <w:tcW w:w="806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10"/>
        </w:trPr>
        <w:tc>
          <w:tcPr>
            <w:tcW w:w="340" w:type="dxa"/>
            <w:vAlign w:val="bottom"/>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Consent of Clifton Gunderson LLP</w:t>
            </w:r>
          </w:p>
        </w:tc>
      </w:tr>
      <w:tr>
        <w:trPr>
          <w:trHeight w:val="769"/>
        </w:trPr>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60" w:type="dxa"/>
            <w:vAlign w:val="bottom"/>
          </w:tcPr>
          <w:p>
            <w:pPr>
              <w:jc w:val="right"/>
              <w:ind w:right="467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0219"/>
          </w:cols>
          <w:pgMar w:left="240" w:top="405" w:right="1440" w:bottom="1440" w:gutter="0" w:footer="0" w:header="0"/>
        </w:sectPr>
      </w:pPr>
    </w:p>
    <w:bookmarkStart w:id="22" w:name="page23"/>
    <w:bookmarkEnd w:id="22"/>
    <w:p>
      <w:pPr>
        <w:jc w:val="right"/>
        <w:ind w:right="159"/>
        <w:spacing w:after="0"/>
        <w:rPr>
          <w:sz w:val="20"/>
          <w:szCs w:val="20"/>
          <w:color w:val="auto"/>
        </w:rPr>
      </w:pPr>
      <w:r>
        <w:rPr>
          <w:rFonts w:ascii="Arial" w:cs="Arial" w:eastAsia="Arial" w:hAnsi="Arial"/>
          <w:sz w:val="18"/>
          <w:szCs w:val="18"/>
          <w:b w:val="1"/>
          <w:bCs w:val="1"/>
          <w:color w:val="auto"/>
        </w:rPr>
        <w:t>Exhibit 23.1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7" w:lineRule="exact"/>
        <w:rPr>
          <w:sz w:val="20"/>
          <w:szCs w:val="20"/>
          <w:color w:val="auto"/>
        </w:rPr>
      </w:pPr>
    </w:p>
    <w:p>
      <w:pPr>
        <w:jc w:val="both"/>
        <w:ind w:right="159"/>
        <w:spacing w:after="0"/>
        <w:rPr>
          <w:sz w:val="20"/>
          <w:szCs w:val="20"/>
          <w:color w:val="auto"/>
        </w:rPr>
      </w:pPr>
      <w:r>
        <w:rPr>
          <w:rFonts w:ascii="Arial" w:cs="Arial" w:eastAsia="Arial" w:hAnsi="Arial"/>
          <w:sz w:val="18"/>
          <w:szCs w:val="18"/>
          <w:color w:val="auto"/>
        </w:rPr>
        <w:t>We consent to the incorporation by reference in Registration Statement No. 333-44505 on Form S-8 of our report dated June 24, 2011 appearing in this Annual Report on Form 11-K of Brady Matched 401(k) Plan for the year ended December 31,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Clifton Gunderson LLP</w:t>
      </w:r>
    </w:p>
    <w:p>
      <w:pPr>
        <w:spacing w:after="0" w:line="234" w:lineRule="auto"/>
        <w:rPr>
          <w:sz w:val="20"/>
          <w:szCs w:val="20"/>
          <w:color w:val="auto"/>
        </w:rPr>
      </w:pPr>
      <w:r>
        <w:rPr>
          <w:rFonts w:ascii="Arial" w:cs="Arial" w:eastAsia="Arial" w:hAnsi="Arial"/>
          <w:sz w:val="18"/>
          <w:szCs w:val="18"/>
          <w:color w:val="auto"/>
        </w:rPr>
        <w:t>Milwaukee, Wisconsin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24, 2011</w:t>
      </w:r>
    </w:p>
    <w:sectPr>
      <w:pgSz w:w="11900" w:h="16838" w:orient="portrait"/>
      <w:cols w:equalWidth="0" w:num="1">
        <w:col w:w="9879"/>
      </w:cols>
      <w:pgMar w:left="58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2019-12-10T05:46:36Z</dcterms:created>
  <dcterms:modified xsi:type="dcterms:W3CDTF">2019-12-10T05:46:36Z</dcterms:modified>
</cp:coreProperties>
</file>