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86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6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860"/>
          </w:cols>
          <w:pgMar w:left="240" w:top="226" w:right="139" w:bottom="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Workplace Safety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85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8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6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6,208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43.98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12,496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6,288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7,098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36.85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13,386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7,098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6,288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57.36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3,987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2,598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43.98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6,208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43.98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09/25/2028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7,098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$57.04 to $57.84, inclusive.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a weighted average price. These shares were sold in multiple transactions at prices ranging from $57.04 to $57.84, inclusive.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4,899 restricted stock units that vested on January 2, 2020.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unvested shares of service-based restricted stock units granted on September 25, 2018 that were forfeited to Brady Corporation on January 2, 2020, the reporting owner's separation date.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unvested shares of service-based stock options granted on September 25, 2018 that were forfeited to Brady Corporation on January 2, 2020, the reporting owner's separation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2020-01-06T11:30:43Z</dcterms:created>
  <dcterms:modified xsi:type="dcterms:W3CDTF">2020-01-06T11:30:43Z</dcterms:modified>
</cp:coreProperties>
</file>