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2835275</wp:posOffset>
            </wp:positionH>
            <wp:positionV relativeFrom="paragraph">
              <wp:posOffset>210185</wp:posOffset>
            </wp:positionV>
            <wp:extent cx="15951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7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2835275</wp:posOffset>
            </wp:positionH>
            <wp:positionV relativeFrom="paragraph">
              <wp:posOffset>186690</wp:posOffset>
            </wp:positionV>
            <wp:extent cx="15951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46"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2835275</wp:posOffset>
            </wp:positionH>
            <wp:positionV relativeFrom="paragraph">
              <wp:posOffset>226695</wp:posOffset>
            </wp:positionV>
            <wp:extent cx="15951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2835275</wp:posOffset>
            </wp:positionH>
            <wp:positionV relativeFrom="paragraph">
              <wp:posOffset>167640</wp:posOffset>
            </wp:positionV>
            <wp:extent cx="15951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2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1-14959</w:t>
      </w:r>
    </w:p>
    <w:p>
      <w:pPr>
        <w:sectPr>
          <w:pgSz w:w="11900" w:h="16838" w:orient="portrait"/>
          <w:cols w:equalWidth="0" w:num="1">
            <w:col w:w="11360"/>
          </w:cols>
          <w:pgMar w:left="240" w:top="1165" w:right="299" w:bottom="1440" w:gutter="0" w:footer="0" w:header="0"/>
        </w:sectPr>
      </w:pPr>
    </w:p>
    <w:p>
      <w:pPr>
        <w:spacing w:after="0" w:line="200" w:lineRule="exact"/>
        <w:rPr>
          <w:sz w:val="24"/>
          <w:szCs w:val="24"/>
          <w:color w:val="auto"/>
        </w:rPr>
      </w:pPr>
    </w:p>
    <w:p>
      <w:pPr>
        <w:spacing w:after="0" w:line="295" w:lineRule="exact"/>
        <w:rPr>
          <w:sz w:val="24"/>
          <w:szCs w:val="24"/>
          <w:color w:val="auto"/>
        </w:rPr>
      </w:pPr>
    </w:p>
    <w:p>
      <w:pPr>
        <w:ind w:left="2420"/>
        <w:spacing w:after="0"/>
        <w:rPr>
          <w:sz w:val="20"/>
          <w:szCs w:val="20"/>
          <w:color w:val="auto"/>
        </w:rPr>
      </w:pPr>
      <w:r>
        <w:rPr>
          <w:rFonts w:ascii="Arial" w:cs="Arial" w:eastAsia="Arial" w:hAnsi="Arial"/>
          <w:sz w:val="15"/>
          <w:szCs w:val="15"/>
          <w:b w:val="1"/>
          <w:bCs w:val="1"/>
          <w:color w:val="auto"/>
        </w:rPr>
        <w:t>Wisconsin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39-0178960</w:t>
      </w:r>
    </w:p>
    <w:p>
      <w:pPr>
        <w:spacing w:after="0" w:line="82" w:lineRule="exact"/>
        <w:rPr>
          <w:sz w:val="24"/>
          <w:szCs w:val="24"/>
          <w:color w:val="auto"/>
        </w:rPr>
      </w:pPr>
    </w:p>
    <w:p>
      <w:pPr>
        <w:sectPr>
          <w:pgSz w:w="11900" w:h="16838" w:orient="portrait"/>
          <w:cols w:equalWidth="0" w:num="2">
            <w:col w:w="7540" w:space="720"/>
            <w:col w:w="3100"/>
          </w:cols>
          <w:pgMar w:left="240" w:top="1165" w:right="299" w:bottom="1440" w:gutter="0" w:footer="0" w:header="0"/>
          <w:type w:val="continuous"/>
        </w:sectPr>
      </w:pPr>
    </w:p>
    <w:p>
      <w:pPr>
        <w:jc w:val="center"/>
        <w:ind w:right="1780"/>
        <w:spacing w:after="0"/>
        <w:rPr>
          <w:sz w:val="20"/>
          <w:szCs w:val="20"/>
          <w:color w:val="auto"/>
        </w:rPr>
      </w:pPr>
      <w:r>
        <w:rPr>
          <w:rFonts w:ascii="Arial" w:cs="Arial" w:eastAsia="Arial" w:hAnsi="Arial"/>
          <w:sz w:val="14"/>
          <w:szCs w:val="14"/>
          <w:b w:val="1"/>
          <w:bCs w:val="1"/>
          <w:color w:val="auto"/>
        </w:rPr>
        <w:t>(State of</w:t>
      </w:r>
    </w:p>
    <w:p>
      <w:pPr>
        <w:spacing w:after="0" w:line="4" w:lineRule="exact"/>
        <w:rPr>
          <w:sz w:val="24"/>
          <w:szCs w:val="24"/>
          <w:color w:val="auto"/>
        </w:rPr>
      </w:pPr>
    </w:p>
    <w:p>
      <w:pPr>
        <w:jc w:val="center"/>
        <w:ind w:right="1780"/>
        <w:spacing w:after="0"/>
        <w:rPr>
          <w:sz w:val="20"/>
          <w:szCs w:val="20"/>
          <w:color w:val="auto"/>
        </w:rPr>
      </w:pPr>
      <w:r>
        <w:rPr>
          <w:rFonts w:ascii="Arial" w:cs="Arial" w:eastAsia="Arial" w:hAnsi="Arial"/>
          <w:sz w:val="13"/>
          <w:szCs w:val="13"/>
          <w:b w:val="1"/>
          <w:bCs w:val="1"/>
          <w:color w:val="auto"/>
        </w:rPr>
        <w:t>Incorporation)</w:t>
      </w:r>
    </w:p>
    <w:p>
      <w:pPr>
        <w:spacing w:after="0" w:line="20" w:lineRule="exact"/>
        <w:rPr>
          <w:sz w:val="24"/>
          <w:szCs w:val="24"/>
          <w:color w:val="auto"/>
        </w:rPr>
      </w:pPr>
      <w:r>
        <w:rPr>
          <w:sz w:val="24"/>
          <w:szCs w:val="24"/>
          <w:color w:val="auto"/>
        </w:rPr>
        <w:br w:type="column"/>
      </w:r>
    </w:p>
    <w:p>
      <w:pPr>
        <w:jc w:val="center"/>
        <w:ind w:right="212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2120"/>
        <w:spacing w:after="0"/>
        <w:rPr>
          <w:sz w:val="20"/>
          <w:szCs w:val="20"/>
          <w:color w:val="auto"/>
        </w:rPr>
      </w:pPr>
      <w:r>
        <w:rPr>
          <w:rFonts w:ascii="Arial" w:cs="Arial" w:eastAsia="Arial" w:hAnsi="Arial"/>
          <w:sz w:val="13"/>
          <w:szCs w:val="13"/>
          <w:b w:val="1"/>
          <w:bCs w:val="1"/>
          <w:color w:val="auto"/>
        </w:rPr>
        <w:t>Identification No.)</w:t>
      </w:r>
    </w:p>
    <w:p>
      <w:pPr>
        <w:spacing w:after="0" w:line="21" w:lineRule="exact"/>
        <w:rPr>
          <w:sz w:val="24"/>
          <w:szCs w:val="24"/>
          <w:color w:val="auto"/>
        </w:rPr>
      </w:pPr>
    </w:p>
    <w:p>
      <w:pPr>
        <w:sectPr>
          <w:pgSz w:w="11900" w:h="16838" w:orient="portrait"/>
          <w:cols w:equalWidth="0" w:num="2">
            <w:col w:w="7400" w:space="720"/>
            <w:col w:w="3240"/>
          </w:cols>
          <w:pgMar w:left="240" w:top="1165" w:right="299" w:bottom="1440" w:gutter="0" w:footer="0" w:header="0"/>
          <w:type w:val="continuous"/>
        </w:sectPr>
      </w:pPr>
    </w:p>
    <w:p>
      <w:pPr>
        <w:ind w:left="4640"/>
        <w:spacing w:after="0"/>
        <w:rPr>
          <w:sz w:val="20"/>
          <w:szCs w:val="20"/>
          <w:color w:val="auto"/>
        </w:rPr>
      </w:pPr>
      <w:r>
        <w:rPr>
          <w:rFonts w:ascii="Arial" w:cs="Arial" w:eastAsia="Arial" w:hAnsi="Arial"/>
          <w:sz w:val="18"/>
          <w:szCs w:val="18"/>
          <w:b w:val="1"/>
          <w:bCs w:val="1"/>
          <w:color w:val="auto"/>
        </w:rPr>
        <w:t>6555 West Good Hope Road</w:t>
      </w:r>
    </w:p>
    <w:p>
      <w:pPr>
        <w:spacing w:after="0" w:line="21"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Milwaukee, Wisconsin 53223</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(Address of Principal Executive Offices and Zip Code)</w:t>
      </w:r>
    </w:p>
    <w:p>
      <w:pPr>
        <w:sectPr>
          <w:pgSz w:w="11900" w:h="16838" w:orient="portrait"/>
          <w:cols w:equalWidth="0" w:num="1">
            <w:col w:w="11360"/>
          </w:cols>
          <w:pgMar w:left="240" w:top="1165" w:right="299" w:bottom="1440" w:gutter="0" w:footer="0" w:header="0"/>
          <w:type w:val="continuous"/>
        </w:sectPr>
      </w:pPr>
    </w:p>
    <w:p>
      <w:pPr>
        <w:spacing w:after="0" w:line="16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Louis T. Bolognini (414) 358-6600</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2835275</wp:posOffset>
            </wp:positionH>
            <wp:positionV relativeFrom="paragraph">
              <wp:posOffset>167640</wp:posOffset>
            </wp:positionV>
            <wp:extent cx="15951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248" w:lineRule="exact"/>
        <w:rPr>
          <w:sz w:val="24"/>
          <w:szCs w:val="24"/>
          <w:color w:val="auto"/>
        </w:rPr>
      </w:pPr>
    </w:p>
    <w:p>
      <w:pPr>
        <w:ind w:left="840" w:hanging="805"/>
        <w:spacing w:after="0"/>
        <w:tabs>
          <w:tab w:leader="none" w:pos="8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Rule 13p-1 under the Securities Exchange Act (17 CFR 240.13p-1) for the reporting period from January 1 to December 31, 2017</w:t>
      </w:r>
    </w:p>
    <w:p>
      <w:pPr>
        <w:sectPr>
          <w:pgSz w:w="11900" w:h="16838" w:orient="portrait"/>
          <w:cols w:equalWidth="0" w:num="1">
            <w:col w:w="11360"/>
          </w:cols>
          <w:pgMar w:left="240" w:top="1165"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40" w:lineRule="exact"/>
        <w:rPr>
          <w:sz w:val="20"/>
          <w:szCs w:val="20"/>
          <w:color w:val="auto"/>
        </w:rPr>
      </w:pPr>
    </w:p>
    <w:p>
      <w:pPr>
        <w:jc w:val="both"/>
        <w:ind w:left="80"/>
        <w:spacing w:after="0" w:line="270" w:lineRule="auto"/>
        <w:rPr>
          <w:sz w:val="20"/>
          <w:szCs w:val="20"/>
          <w:color w:val="auto"/>
        </w:rPr>
      </w:pPr>
      <w:r>
        <w:rPr>
          <w:rFonts w:ascii="Arial" w:cs="Arial" w:eastAsia="Arial" w:hAnsi="Arial"/>
          <w:sz w:val="17"/>
          <w:szCs w:val="17"/>
          <w:color w:val="auto"/>
        </w:rPr>
        <w:t>Brady Corporation and its subsidiaries (“Brady”, “Company”, “we”, “us”, “our”) have developed and maintain an active initiative to identify sources of materials used in our products that contain metallic forms of tin, tantalum, tungsten or gold (“3TG Minerals” or “Conflict Minerals”), and to determine whether any such materials directly or indirectly fund or benefit armed groups in the Democratic Republic of the Congo or an adjoining country (the “Covered Countries”). For calendar year 2017, Brady has conducted its reasonable country of origin inquiry (“RCOI”) in good faith for the products manufactured, or contracted to manufacture, by the Company where 3TG Minerals are necessary to the functionality or production of such products. We also conducted due diligence on the source and chain of custody of 3TG Minerals in our supply chain. Based on information received through its RCOI and due diligence program, Brady does not have evidence that 3TG Minerals used in its products, directly or indirectly, fund the armed groups in the Democratic Republic of the Congo and the Covered Countries. However, our due diligence with our suppliers is ongoing with continuous improvement in our supply chain transparency and responsible sourcing of materials contained in our products.</w:t>
      </w:r>
    </w:p>
    <w:p>
      <w:pPr>
        <w:spacing w:after="0" w:line="182" w:lineRule="exact"/>
        <w:rPr>
          <w:sz w:val="20"/>
          <w:szCs w:val="20"/>
          <w:color w:val="auto"/>
        </w:rPr>
      </w:pPr>
    </w:p>
    <w:p>
      <w:pPr>
        <w:jc w:val="both"/>
        <w:ind w:left="80"/>
        <w:spacing w:after="0" w:line="286" w:lineRule="auto"/>
        <w:rPr>
          <w:sz w:val="20"/>
          <w:szCs w:val="20"/>
          <w:color w:val="auto"/>
        </w:rPr>
      </w:pPr>
      <w:r>
        <w:rPr>
          <w:rFonts w:ascii="Arial" w:cs="Arial" w:eastAsia="Arial" w:hAnsi="Arial"/>
          <w:sz w:val="17"/>
          <w:szCs w:val="17"/>
          <w:color w:val="auto"/>
        </w:rPr>
        <w:t>Through our RCOI described in our Conflict Minerals Report, several suppliers disclosed to us that their only sources of 3TG Minerals were from scrap/recycled materials identified in their supply chains, and, as such, did not require due diligence. Brady has reason to believe that 3TG Minerals used in its products do not solely originate from recycled or scrap sources. This determination is included in the attached Conflict Minerals Report.</w:t>
      </w:r>
    </w:p>
    <w:p>
      <w:pPr>
        <w:spacing w:after="0" w:line="166"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Conflict Minerals Disclosure</w:t>
      </w:r>
    </w:p>
    <w:p>
      <w:pPr>
        <w:spacing w:after="0" w:line="23" w:lineRule="exact"/>
        <w:rPr>
          <w:sz w:val="20"/>
          <w:szCs w:val="20"/>
          <w:color w:val="auto"/>
        </w:rPr>
      </w:pPr>
    </w:p>
    <w:p>
      <w:pPr>
        <w:jc w:val="both"/>
        <w:ind w:left="80"/>
        <w:spacing w:after="0" w:line="261" w:lineRule="auto"/>
        <w:rPr>
          <w:sz w:val="20"/>
          <w:szCs w:val="20"/>
          <w:color w:val="auto"/>
        </w:rPr>
      </w:pPr>
      <w:r>
        <w:rPr>
          <w:rFonts w:ascii="Arial" w:cs="Arial" w:eastAsia="Arial" w:hAnsi="Arial"/>
          <w:sz w:val="18"/>
          <w:szCs w:val="18"/>
          <w:color w:val="auto"/>
        </w:rPr>
        <w:t>For calendar year 2017, Brady Corporation is filing a Conflict Minerals Report which is attached as Exhibit 1.01 in Item 2.01 and is also publicly available on our website at the below link.</w:t>
      </w:r>
    </w:p>
    <w:p>
      <w:pPr>
        <w:spacing w:after="0" w:line="184" w:lineRule="exact"/>
        <w:rPr>
          <w:sz w:val="20"/>
          <w:szCs w:val="20"/>
          <w:color w:val="auto"/>
        </w:rPr>
      </w:pPr>
    </w:p>
    <w:p>
      <w:pPr>
        <w:ind w:left="80"/>
        <w:spacing w:after="0"/>
        <w:rPr>
          <w:sz w:val="20"/>
          <w:szCs w:val="20"/>
          <w:color w:val="auto"/>
        </w:rPr>
      </w:pPr>
      <w:r>
        <w:rPr>
          <w:rFonts w:ascii="Arial" w:cs="Arial" w:eastAsia="Arial" w:hAnsi="Arial"/>
          <w:sz w:val="18"/>
          <w:szCs w:val="18"/>
          <w:color w:val="auto"/>
        </w:rPr>
        <w:t>https://www.bradyid.com/en-us/corporate/sustainability-and-supplier-information</w:t>
      </w:r>
    </w:p>
    <w:p>
      <w:pPr>
        <w:spacing w:after="0" w:line="167" w:lineRule="exact"/>
        <w:rPr>
          <w:sz w:val="20"/>
          <w:szCs w:val="20"/>
          <w:color w:val="auto"/>
        </w:rPr>
      </w:pPr>
    </w:p>
    <w:p>
      <w:pPr>
        <w:ind w:left="40"/>
        <w:spacing w:after="0"/>
        <w:tabs>
          <w:tab w:leader="none" w:pos="88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Exhibit</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The Conflict Minerals Report required by Item 1.01 is filed as Exhibit 1.01 to this Form SD.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2.01 Exhibits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Exhibit 1.01 Conflict Minerals Report as required by Items 1.01 and 1.02 of this Form SD for calendar year ended December 31, 2017.</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BRADY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tabs>
          <w:tab w:leader="none" w:pos="6860" w:val="left"/>
        </w:tabs>
        <w:rPr>
          <w:sz w:val="20"/>
          <w:szCs w:val="20"/>
          <w:color w:val="auto"/>
        </w:rPr>
      </w:pPr>
      <w:r>
        <w:rPr>
          <w:rFonts w:ascii="Arial" w:cs="Arial" w:eastAsia="Arial" w:hAnsi="Arial"/>
          <w:sz w:val="18"/>
          <w:szCs w:val="18"/>
          <w:color w:val="auto"/>
        </w:rPr>
        <w:t>/s/ AARON J. PEARCE</w:t>
      </w:r>
      <w:r>
        <w:rPr>
          <w:sz w:val="20"/>
          <w:szCs w:val="20"/>
          <w:color w:val="auto"/>
        </w:rPr>
        <w:tab/>
      </w:r>
      <w:r>
        <w:rPr>
          <w:rFonts w:ascii="Arial" w:cs="Arial" w:eastAsia="Arial" w:hAnsi="Arial"/>
          <w:sz w:val="16"/>
          <w:szCs w:val="16"/>
          <w:color w:val="auto"/>
        </w:rPr>
        <w:t>Date: May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Aaron J. Pearce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1420"/>
          </w:cols>
          <w:pgMar w:left="240" w:top="796"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00" w:lineRule="exact"/>
        <w:rPr>
          <w:sz w:val="20"/>
          <w:szCs w:val="20"/>
          <w:color w:val="auto"/>
        </w:rPr>
      </w:pPr>
    </w:p>
    <w:p>
      <w:pPr>
        <w:spacing w:after="0" w:line="223" w:lineRule="exact"/>
        <w:rPr>
          <w:sz w:val="20"/>
          <w:szCs w:val="20"/>
          <w:color w:val="auto"/>
        </w:rPr>
      </w:pPr>
    </w:p>
    <w:p>
      <w:pPr>
        <w:ind w:left="580" w:hanging="572"/>
        <w:spacing w:after="0"/>
        <w:tabs>
          <w:tab w:leader="none" w:pos="5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This report has been prepared by management of Brady Corporation (hereinafter referred to as “Brady”, the “Company”, “we”, “us”, or “our”) pursuant to Rule 13p-1 under the Securities Exchange Act of 1934 as amended, for the reporting period January 1 to December 31, 2017. The report discusses efforts undertaken by Brady to determine whether our products contain cassiterite, columbite-tantalite, gold, wolframite, or other derivatives, which are limited to metallic forms of tin, tantalum, tungsten and gold (collectively, “3TG Minerals”), and further, to determine whether any such materials directly or indirectly fund or benefit armed groups in the Democratic Republic of the Congo or any adjacent countries (“Covered Countries”). The scope of the reasonable country of origin inquiry (“RCOI”) and due diligence efforts discussed includes products both sourced directly by, and manufactured for Brady in calendar year 2017.</w:t>
      </w:r>
    </w:p>
    <w:p>
      <w:pPr>
        <w:spacing w:after="0" w:line="189"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The statements below are based on the activities performed to date in good faith by Brady and are based on information available at the time of this filing.</w:t>
      </w:r>
    </w:p>
    <w:p>
      <w:pPr>
        <w:spacing w:after="0" w:line="170"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Brady manufactures, or contracts to manufacture, products that contain materials or components that use 3TG Minerals. Due to the depth of its supply chain, Brady is far removed from the sources of ore from which these metals are produced and the smelters/refiners that process them. We do not purchase raw ore or unrefined minerals and conduct no purchasing activities directly in the Covered Countries. The efforts undertaken by Brady to identify the country(ies) of origin of those ores reflect our circumstances and position in the supply chain, which is multiple steps removed from the smelter or mine. The information available globally on the traceability and sourcing of these ores is limited at this time, and this situation is not unique to Brady.</w:t>
      </w:r>
    </w:p>
    <w:p>
      <w:pPr>
        <w:spacing w:after="0" w:line="200" w:lineRule="exact"/>
        <w:rPr>
          <w:sz w:val="20"/>
          <w:szCs w:val="20"/>
          <w:color w:val="auto"/>
        </w:rPr>
      </w:pPr>
    </w:p>
    <w:p>
      <w:pPr>
        <w:spacing w:after="0" w:line="205" w:lineRule="exact"/>
        <w:rPr>
          <w:sz w:val="20"/>
          <w:szCs w:val="20"/>
          <w:color w:val="auto"/>
        </w:rPr>
      </w:pPr>
    </w:p>
    <w:p>
      <w:pPr>
        <w:ind w:left="560" w:hanging="552"/>
        <w:spacing w:after="0"/>
        <w:tabs>
          <w:tab w:leader="none" w:pos="5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Reasonable Country of Origin Inquiry</w:t>
      </w:r>
    </w:p>
    <w:p>
      <w:pPr>
        <w:spacing w:after="0" w:line="229" w:lineRule="exact"/>
        <w:rPr>
          <w:sz w:val="20"/>
          <w:szCs w:val="20"/>
          <w:color w:val="auto"/>
        </w:rPr>
      </w:pPr>
    </w:p>
    <w:p>
      <w:pPr>
        <w:jc w:val="both"/>
        <w:ind w:left="660"/>
        <w:spacing w:after="0" w:line="293" w:lineRule="auto"/>
        <w:rPr>
          <w:sz w:val="20"/>
          <w:szCs w:val="20"/>
          <w:color w:val="auto"/>
        </w:rPr>
      </w:pPr>
      <w:r>
        <w:rPr>
          <w:rFonts w:ascii="Arial" w:cs="Arial" w:eastAsia="Arial" w:hAnsi="Arial"/>
          <w:sz w:val="16"/>
          <w:szCs w:val="16"/>
          <w:color w:val="auto"/>
        </w:rPr>
        <w:t>Our 2017 RCOI began with identifying the products we manufacture or contract to manufacture that have a possibility of containing 3TG Minerals, or where 3TG minerals are required for the functionality or production of such products. In 2017, Brady expanded the scope of the review of its product lines by evaluating new products and their material suppliers during the filing year, and where there was uncertainty about whether a particular product potentially contained 3TG Minerals, it was included in the 2017 inquiries. The potential suppliers of the 3TG Minerals that may be contained in such products were determined to be “in scope.” The exact nature of the parts and materials identified in our products that may contain 3TG Minerals ranged over a broad spectrum of items, but were heavily concentrated in electronics and workplace safety products.</w:t>
      </w:r>
    </w:p>
    <w:p>
      <w:pPr>
        <w:spacing w:after="0" w:line="165" w:lineRule="exact"/>
        <w:rPr>
          <w:sz w:val="20"/>
          <w:szCs w:val="20"/>
          <w:color w:val="auto"/>
        </w:rPr>
      </w:pPr>
    </w:p>
    <w:p>
      <w:pPr>
        <w:jc w:val="both"/>
        <w:ind w:left="660"/>
        <w:spacing w:after="0" w:line="258" w:lineRule="auto"/>
        <w:rPr>
          <w:sz w:val="20"/>
          <w:szCs w:val="20"/>
          <w:color w:val="auto"/>
        </w:rPr>
      </w:pPr>
      <w:r>
        <w:rPr>
          <w:rFonts w:ascii="Arial" w:cs="Arial" w:eastAsia="Arial" w:hAnsi="Arial"/>
          <w:sz w:val="18"/>
          <w:szCs w:val="18"/>
          <w:color w:val="auto"/>
        </w:rPr>
        <w:t>Brady conducted its RCOI of those suppliers deemed in scope, using the Conflict Materials Reporting Template (CMRT v.5.10), which is the Responsible Minerals Initiative ("RMI") reporting template.</w:t>
      </w:r>
    </w:p>
    <w:p>
      <w:pPr>
        <w:spacing w:after="0" w:line="1" w:lineRule="exact"/>
        <w:rPr>
          <w:sz w:val="20"/>
          <w:szCs w:val="20"/>
          <w:color w:val="auto"/>
        </w:rPr>
      </w:pPr>
    </w:p>
    <w:p>
      <w:pPr>
        <w:jc w:val="both"/>
        <w:ind w:left="660"/>
        <w:spacing w:after="0" w:line="250" w:lineRule="auto"/>
        <w:rPr>
          <w:sz w:val="20"/>
          <w:szCs w:val="20"/>
          <w:color w:val="auto"/>
        </w:rPr>
      </w:pPr>
      <w:r>
        <w:rPr>
          <w:rFonts w:ascii="Arial" w:cs="Arial" w:eastAsia="Arial" w:hAnsi="Arial"/>
          <w:sz w:val="18"/>
          <w:szCs w:val="18"/>
          <w:color w:val="auto"/>
        </w:rPr>
        <w:t>The supplier responses received were reviewed for completeness and consistency. We also verified “No 3TG content declarations” on a random basis to provide additional assurance of the claims made by suppliers. In certain other instances, suppliers were required to provide clarifications or additional detail where responses were incomplete or in need of explanation. Our RCOI process included an escalation procedure seeking information from non-responsive suppliers resulting in 98% in-scope supplier responses.</w:t>
      </w:r>
    </w:p>
    <w:p>
      <w:pPr>
        <w:spacing w:after="0" w:line="2" w:lineRule="exact"/>
        <w:rPr>
          <w:sz w:val="20"/>
          <w:szCs w:val="20"/>
          <w:color w:val="auto"/>
        </w:rPr>
      </w:pPr>
    </w:p>
    <w:p>
      <w:pPr>
        <w:jc w:val="both"/>
        <w:ind w:left="660"/>
        <w:spacing w:after="0" w:line="302" w:lineRule="auto"/>
        <w:rPr>
          <w:sz w:val="20"/>
          <w:szCs w:val="20"/>
          <w:color w:val="auto"/>
        </w:rPr>
      </w:pPr>
      <w:r>
        <w:rPr>
          <w:rFonts w:ascii="Arial" w:cs="Arial" w:eastAsia="Arial" w:hAnsi="Arial"/>
          <w:sz w:val="16"/>
          <w:szCs w:val="16"/>
          <w:color w:val="auto"/>
        </w:rPr>
        <w:t>For 2017, as compared to previous filing years, a number of the surveyed suppliers reported a significant improvement in their own supply chain RCOI initiatives, and 304 unique smelters (versus 299 in 2016, 245 in 2015, 225 in 2014 and only four in 2013) were identified as potentially being part of our supply chain. In addition, Brady undertook due diligence on the identified smelters to determine their status regarding conflict minerals.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such, we believe our process was reasonably designed and performed in good faith.</w:t>
      </w:r>
    </w:p>
    <w:p>
      <w:pPr>
        <w:sectPr>
          <w:pgSz w:w="11900" w:h="16838" w:orient="portrait"/>
          <w:cols w:equalWidth="0" w:num="1">
            <w:col w:w="11420"/>
          </w:cols>
          <w:pgMar w:left="240" w:top="580" w:right="239" w:bottom="1440" w:gutter="0" w:footer="0" w:header="0"/>
        </w:sectPr>
      </w:pPr>
    </w:p>
    <w:bookmarkStart w:id="3" w:name="page4"/>
    <w:bookmarkEnd w:id="3"/>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Design of Due Diligence Measures</w:t>
      </w:r>
    </w:p>
    <w:p>
      <w:pPr>
        <w:spacing w:after="0" w:line="229"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 xml:space="preserve">Brady designed its 3TG Minerals compliance procedures based on, and in conformity with, the five step framework the </w:t>
      </w:r>
      <w:r>
        <w:rPr>
          <w:rFonts w:ascii="Arial" w:cs="Arial" w:eastAsia="Arial" w:hAnsi="Arial"/>
          <w:sz w:val="18"/>
          <w:szCs w:val="18"/>
          <w:i w:val="1"/>
          <w:iCs w:val="1"/>
          <w:color w:val="auto"/>
        </w:rPr>
        <w:t>OECD Due Diligence</w:t>
      </w:r>
      <w:r>
        <w:rPr>
          <w:rFonts w:ascii="Arial" w:cs="Arial" w:eastAsia="Arial" w:hAnsi="Arial"/>
          <w:sz w:val="18"/>
          <w:szCs w:val="18"/>
          <w:color w:val="auto"/>
        </w:rPr>
        <w:t xml:space="preserve"> </w:t>
      </w:r>
      <w:r>
        <w:rPr>
          <w:rFonts w:ascii="Arial" w:cs="Arial" w:eastAsia="Arial" w:hAnsi="Arial"/>
          <w:sz w:val="18"/>
          <w:szCs w:val="18"/>
          <w:i w:val="1"/>
          <w:iCs w:val="1"/>
          <w:color w:val="auto"/>
        </w:rPr>
        <w:t>Guidance for Responsible Supply Chains of Minerals from Conflict-Affected and High-Risk Areas: Third Edition</w:t>
      </w:r>
      <w:r>
        <w:rPr>
          <w:rFonts w:ascii="Arial" w:cs="Arial" w:eastAsia="Arial" w:hAnsi="Arial"/>
          <w:sz w:val="18"/>
          <w:szCs w:val="18"/>
          <w:color w:val="auto"/>
        </w:rPr>
        <w:t>, and related supplements on tin,</w:t>
      </w:r>
      <w:r>
        <w:rPr>
          <w:rFonts w:ascii="Arial" w:cs="Arial" w:eastAsia="Arial" w:hAnsi="Arial"/>
          <w:sz w:val="18"/>
          <w:szCs w:val="18"/>
          <w:i w:val="1"/>
          <w:iCs w:val="1"/>
          <w:color w:val="auto"/>
        </w:rPr>
        <w:t xml:space="preserve"> </w:t>
      </w:r>
      <w:r>
        <w:rPr>
          <w:rFonts w:ascii="Arial" w:cs="Arial" w:eastAsia="Arial" w:hAnsi="Arial"/>
          <w:sz w:val="18"/>
          <w:szCs w:val="18"/>
          <w:color w:val="auto"/>
        </w:rPr>
        <w:t>tungsten, tantalum, and the supplement on gold (collectively, the “OECD guidance”) as these relate to our position in the supply chain as a downstream user.</w:t>
      </w:r>
    </w:p>
    <w:p>
      <w:pPr>
        <w:spacing w:after="0" w:line="18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Step 1: Establish strong company management systems</w:t>
      </w:r>
    </w:p>
    <w:p>
      <w:pPr>
        <w:spacing w:after="0" w:line="2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Step 2: Identify and assess risks in the supply chain</w:t>
      </w:r>
    </w:p>
    <w:p>
      <w:pPr>
        <w:spacing w:after="0" w:line="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Step 3: Design and implement a strategy to respond to identified risks</w:t>
      </w:r>
    </w:p>
    <w:p>
      <w:pPr>
        <w:spacing w:after="0" w:line="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Step 4: Carry out independent third-party audit of smelter/refiner's due diligence practices</w:t>
      </w:r>
    </w:p>
    <w:p>
      <w:pPr>
        <w:spacing w:after="0" w:line="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Step 5: Report annually on supply chain due diligence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 Measures Performed by Brady Corporation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are the due diligence measures performed by Brady with respect to the reporting year:</w:t>
      </w:r>
    </w:p>
    <w:p>
      <w:pPr>
        <w:spacing w:after="0" w:line="221"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Step 1-Maintain strong company management systems</w:t>
      </w:r>
    </w:p>
    <w:p>
      <w:pPr>
        <w:spacing w:after="0" w:line="27" w:lineRule="exact"/>
        <w:rPr>
          <w:rFonts w:ascii="Arial" w:cs="Arial" w:eastAsia="Arial" w:hAnsi="Arial"/>
          <w:sz w:val="18"/>
          <w:szCs w:val="18"/>
          <w:color w:val="auto"/>
        </w:rPr>
      </w:pPr>
    </w:p>
    <w:p>
      <w:pPr>
        <w:ind w:left="1300" w:right="380" w:hanging="320"/>
        <w:spacing w:after="0" w:line="250"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Brady maintains an internal conflict minerals team involving sourcing and global product compliance staff. The focus of this team is to implement our conflict minerals program and ensure compliance.</w:t>
      </w:r>
    </w:p>
    <w:p>
      <w:pPr>
        <w:ind w:left="1300" w:right="300" w:hanging="320"/>
        <w:spacing w:after="0" w:line="250"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Brady maintains a Conflict Minerals policy, which is available on our company website (see link below) in addition to our due diligence process for assessing the chain of custody of 3TGMinerals. https://www.bradyid.com/en-us/corporate/sustainability-and-supplier-information</w:t>
      </w:r>
    </w:p>
    <w:p>
      <w:pPr>
        <w:spacing w:after="0" w:line="1" w:lineRule="exact"/>
        <w:rPr>
          <w:rFonts w:ascii="Arial" w:cs="Arial" w:eastAsia="Arial" w:hAnsi="Arial"/>
          <w:sz w:val="18"/>
          <w:szCs w:val="18"/>
          <w:color w:val="auto"/>
        </w:rPr>
      </w:pPr>
    </w:p>
    <w:p>
      <w:pPr>
        <w:ind w:left="1300" w:hanging="320"/>
        <w:spacing w:after="0" w:line="250"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Internal engagement – Brady conducted internal training to educate relevant employees in our conflict minerals program including reporting obligations.</w:t>
      </w:r>
    </w:p>
    <w:p>
      <w:pPr>
        <w:ind w:left="1300" w:hanging="320"/>
        <w:spacing w:after="0"/>
        <w:tabs>
          <w:tab w:leader="none" w:pos="1300" w:val="left"/>
        </w:tabs>
        <w:numPr>
          <w:ilvl w:val="1"/>
          <w:numId w:val="5"/>
        </w:numPr>
        <w:rPr>
          <w:rFonts w:ascii="Arial" w:cs="Arial" w:eastAsia="Arial" w:hAnsi="Arial"/>
          <w:sz w:val="17"/>
          <w:szCs w:val="17"/>
          <w:color w:val="auto"/>
        </w:rPr>
      </w:pPr>
      <w:r>
        <w:rPr>
          <w:rFonts w:ascii="Arial" w:cs="Arial" w:eastAsia="Arial" w:hAnsi="Arial"/>
          <w:sz w:val="17"/>
          <w:szCs w:val="17"/>
          <w:color w:val="auto"/>
        </w:rPr>
        <w:t>Supplier engagement – Brady communicated the requirements of the conflict minerals rule to its suppliers regarding 3TG Minerals.</w:t>
      </w:r>
    </w:p>
    <w:p>
      <w:pPr>
        <w:spacing w:after="0" w:line="20" w:lineRule="exact"/>
        <w:rPr>
          <w:rFonts w:ascii="Arial" w:cs="Arial" w:eastAsia="Arial" w:hAnsi="Arial"/>
          <w:sz w:val="17"/>
          <w:szCs w:val="17"/>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Uses the CMRT for supply chain surveys to identify the smelters.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conflict minerals team reports on our conflict minerals program to senior management on a regular basis.</w:t>
      </w:r>
    </w:p>
    <w:p>
      <w:pPr>
        <w:spacing w:after="0" w:line="9" w:lineRule="exact"/>
        <w:rPr>
          <w:rFonts w:ascii="Arial" w:cs="Arial" w:eastAsia="Arial" w:hAnsi="Arial"/>
          <w:sz w:val="18"/>
          <w:szCs w:val="18"/>
          <w:color w:val="auto"/>
        </w:rPr>
      </w:pPr>
    </w:p>
    <w:p>
      <w:pPr>
        <w:ind w:left="1300" w:right="460" w:hanging="320"/>
        <w:spacing w:after="0" w:line="250"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We maintain a mechanism to enable the reporting of any customer facing questions related to conflict minerals and other supply chain matters.</w:t>
      </w:r>
    </w:p>
    <w:p>
      <w:pPr>
        <w:ind w:left="1300" w:hanging="320"/>
        <w:spacing w:after="0"/>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We retain conflict minerals program documentation in accordance with the Company’s existing corporate retention policy and procedures.</w:t>
      </w:r>
    </w:p>
    <w:p>
      <w:pPr>
        <w:spacing w:after="0" w:line="229" w:lineRule="exact"/>
        <w:rPr>
          <w:rFonts w:ascii="Arial" w:cs="Arial" w:eastAsia="Arial" w:hAnsi="Arial"/>
          <w:sz w:val="16"/>
          <w:szCs w:val="16"/>
          <w:color w:val="auto"/>
        </w:rPr>
      </w:pPr>
    </w:p>
    <w:p>
      <w:pPr>
        <w:ind w:left="980" w:hanging="324"/>
        <w:spacing w:after="0"/>
        <w:tabs>
          <w:tab w:leader="none" w:pos="9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Step 2-Identify and assess risk in the supply chain</w:t>
      </w:r>
    </w:p>
    <w:p>
      <w:pPr>
        <w:spacing w:after="0" w:line="27" w:lineRule="exact"/>
        <w:rPr>
          <w:rFonts w:ascii="Arial" w:cs="Arial" w:eastAsia="Arial" w:hAnsi="Arial"/>
          <w:sz w:val="18"/>
          <w:szCs w:val="18"/>
          <w:b w:val="1"/>
          <w:bCs w:val="1"/>
          <w:color w:val="auto"/>
        </w:rPr>
      </w:pPr>
    </w:p>
    <w:p>
      <w:pPr>
        <w:ind w:left="1300" w:right="280" w:hanging="320"/>
        <w:spacing w:after="0" w:line="250"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Brady conflict minerals team conducted a detailed review of the products manufactured or contracted to be manufactured during the reporting year 2017 to identify products that may be in scope of the rule.</w:t>
      </w: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Brady identified the direct suppliers of products or components that may contain 3TG Minerals.</w:t>
      </w:r>
    </w:p>
    <w:p>
      <w:pPr>
        <w:spacing w:after="0" w:line="9" w:lineRule="exact"/>
        <w:rPr>
          <w:rFonts w:ascii="Arial" w:cs="Arial" w:eastAsia="Arial" w:hAnsi="Arial"/>
          <w:sz w:val="18"/>
          <w:szCs w:val="18"/>
          <w:color w:val="auto"/>
        </w:rPr>
      </w:pPr>
    </w:p>
    <w:p>
      <w:pPr>
        <w:ind w:left="1300" w:right="200" w:hanging="320"/>
        <w:spacing w:after="0" w:line="250"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Brady conducted supply chain surveys of the in scope suppliers using the industry-developed CMRT and requested that suppliers conduct their own 3TG Mineral inquiries to identify smelters and refineries as well as the country of origin of 3TG Minerals in products that are supplied to Brady.</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7"/>
          <w:szCs w:val="17"/>
          <w:color w:val="auto"/>
        </w:rPr>
      </w:pPr>
      <w:r>
        <w:rPr>
          <w:rFonts w:ascii="Arial" w:cs="Arial" w:eastAsia="Arial" w:hAnsi="Arial"/>
          <w:sz w:val="17"/>
          <w:szCs w:val="17"/>
          <w:color w:val="auto"/>
        </w:rPr>
        <w:t>Conducted follow ups with non-responding direct suppliers and also worked to clarify and validate the responses from the suppliers.</w:t>
      </w:r>
    </w:p>
    <w:p>
      <w:pPr>
        <w:spacing w:after="0" w:line="20" w:lineRule="exact"/>
        <w:rPr>
          <w:rFonts w:ascii="Arial" w:cs="Arial" w:eastAsia="Arial" w:hAnsi="Arial"/>
          <w:sz w:val="17"/>
          <w:szCs w:val="17"/>
          <w:color w:val="auto"/>
        </w:rPr>
      </w:pPr>
    </w:p>
    <w:p>
      <w:pPr>
        <w:ind w:left="1300" w:right="520" w:hanging="320"/>
        <w:spacing w:after="0" w:line="261"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Compared smelter listings supplied by responding suppliers with the RMI list of validated conflict free and verified facilities. Further smelter confirmation was conducted using a commercially available smelter verification service.</w:t>
      </w:r>
    </w:p>
    <w:p>
      <w:pPr>
        <w:spacing w:after="0" w:line="17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Step 3-Design and implement a strategy to respond to identified risks</w:t>
      </w:r>
    </w:p>
    <w:p>
      <w:pPr>
        <w:spacing w:after="0" w:line="27" w:lineRule="exact"/>
        <w:rPr>
          <w:rFonts w:ascii="Arial" w:cs="Arial" w:eastAsia="Arial" w:hAnsi="Arial"/>
          <w:sz w:val="18"/>
          <w:szCs w:val="18"/>
          <w:color w:val="auto"/>
        </w:rPr>
      </w:pPr>
    </w:p>
    <w:p>
      <w:pPr>
        <w:ind w:left="1300" w:right="520" w:hanging="320"/>
        <w:spacing w:after="0" w:line="250"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Brady has a risk management plan that addresses known issues with suppliers that do not meet the requirements of Brady’s corporate sourcing policy.</w:t>
      </w: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conflict minerals team reports to senior management and the Board of Directors on the status of direct supplier responses.</w:t>
      </w:r>
    </w:p>
    <w:p>
      <w:pPr>
        <w:sectPr>
          <w:pgSz w:w="11900" w:h="16838" w:orient="portrait"/>
          <w:cols w:equalWidth="0" w:num="1">
            <w:col w:w="11420"/>
          </w:cols>
          <w:pgMar w:left="240" w:top="580" w:right="239" w:bottom="1440" w:gutter="0" w:footer="0" w:header="0"/>
        </w:sectPr>
      </w:pPr>
    </w:p>
    <w:bookmarkStart w:id="4" w:name="page5"/>
    <w:bookmarkEnd w:id="4"/>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Step 4- Carry out independent third-party audit of smelter/refiner's due diligence practices</w:t>
      </w:r>
    </w:p>
    <w:p>
      <w:pPr>
        <w:spacing w:after="0" w:line="27" w:lineRule="exact"/>
        <w:rPr>
          <w:rFonts w:ascii="Arial" w:cs="Arial" w:eastAsia="Arial" w:hAnsi="Arial"/>
          <w:sz w:val="18"/>
          <w:szCs w:val="18"/>
          <w:color w:val="auto"/>
        </w:rPr>
      </w:pPr>
    </w:p>
    <w:p>
      <w:pPr>
        <w:ind w:left="1300" w:right="60" w:hanging="320"/>
        <w:spacing w:after="0" w:line="250"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Brady relies on RMI’s published lists of smelters and refiners that have been audited by various industry groups. Brady is many steps removed from the mining of 3TG Minerals. We do not purchase raw ore or unrefined 3TG Minerals, and we do not conduct any purchasing activities in the Covered Countries.</w:t>
      </w:r>
    </w:p>
    <w:p>
      <w:pPr>
        <w:spacing w:after="0" w:line="1" w:lineRule="exact"/>
        <w:rPr>
          <w:rFonts w:ascii="Arial" w:cs="Arial" w:eastAsia="Arial" w:hAnsi="Arial"/>
          <w:sz w:val="18"/>
          <w:szCs w:val="18"/>
          <w:color w:val="auto"/>
        </w:rPr>
      </w:pPr>
    </w:p>
    <w:p>
      <w:pPr>
        <w:ind w:left="1300" w:right="120" w:hanging="320"/>
        <w:spacing w:after="0" w:line="261"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Supported the development and implementation of independent third party audits of smelters/refiners through our Conflict Minerals policy and procurement practices, which encourage suppliers to purchase materials from audited smelters/refiners.</w:t>
      </w:r>
    </w:p>
    <w:p>
      <w:pPr>
        <w:spacing w:after="0" w:line="17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Step 5-Report on supply chain due diligence</w:t>
      </w:r>
    </w:p>
    <w:p>
      <w:pPr>
        <w:spacing w:after="0" w:line="27" w:lineRule="exact"/>
        <w:rPr>
          <w:rFonts w:ascii="Arial" w:cs="Arial" w:eastAsia="Arial" w:hAnsi="Arial"/>
          <w:sz w:val="18"/>
          <w:szCs w:val="18"/>
          <w:color w:val="auto"/>
        </w:rPr>
      </w:pPr>
    </w:p>
    <w:p>
      <w:pPr>
        <w:ind w:left="1300" w:right="1560" w:hanging="320"/>
        <w:spacing w:after="0" w:line="250"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Brady has publicly communicated its Conflict Minerals policy on our company website. (https://www.bradyid.com/en-us/corporate/sustainability-and-supplier-information)</w:t>
      </w:r>
    </w:p>
    <w:p>
      <w:pPr>
        <w:ind w:left="1300" w:right="1460" w:hanging="320"/>
        <w:spacing w:after="0" w:line="261"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Brady’s Form SD and Conflict Minerals Report were filed with the SEC and are also available on our company website. (https://www.bradyid.com/en-us/corporate/sustainability-and-supplier-information)</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Results of the Due Diligence measures</w:t>
      </w:r>
    </w:p>
    <w:p>
      <w:pPr>
        <w:spacing w:after="0" w:line="229"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Brady’s due diligence on the source and chain of custody of necessary 3TG Minerals contained in its products revealed that a majority of smelters in our supply chain are either conformant or low risk. However, not all smelters in Brady's global mineral supply chains have been audited yet. Brady is working closely with its suppliers to ensure that all smelters in its supply chain get audited. Additional due diligence is on-going, since most suppliers provided a company-level and not product-level declaration and we have not received responses from all of our suppliers (98% of supplier responses received to date).</w:t>
      </w:r>
    </w:p>
    <w:p>
      <w:pPr>
        <w:spacing w:after="0" w:line="40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Product Description; Processing Facilities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scope of our inquiry covered the following products, which we believe are the most likely to contain metallic forms of 3TG Minerals:</w:t>
      </w:r>
    </w:p>
    <w:p>
      <w:pPr>
        <w:spacing w:after="0" w:line="23"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Inkjet and thermal transfer printers – both hand held and desktop models – containing electronic parts;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Labels and tapes for thermal transfer printing, some of which are in cassettes containing electronic parts;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Preprinted labels and tapes, some with external coating, pipe and wire markers, and metal asset tags;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Safety signs and traffic signs;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Pads for medical applications and sorbent materials for environmental clean-up;</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Lock-out / tag-out devices (primarily plastic);</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Visitor identification badges, badge holders, lanyards, and wristbands;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Die-cut materials – primarily plastics and polyester foams.</w:t>
      </w:r>
    </w:p>
    <w:p>
      <w:pPr>
        <w:spacing w:after="0" w:line="211"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Brady also sells products that are purchased “as is” from manufacturers and not manufactured, or contracted to be manufactured, or whose design and bill of materials is not influenced in any way by Brady. These include traffic cones and barriers, barrier and perimeter tapes, and certain of our lock-out/tag-out devices. Brady also develops software for products that are factory installed or downloadable. All of the foregoing products are not within the scope of this report.</w:t>
      </w:r>
    </w:p>
    <w:p>
      <w:pPr>
        <w:spacing w:after="0" w:line="187"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smelting and refining facilities used to process the 3TG Minerals that were identified by our suppliers are listed in Appendix 1 and the potential countries of origin of the 3TG Minerals are listed in Appendix 2 to this Conflict Minerals Report.</w:t>
      </w:r>
    </w:p>
    <w:p>
      <w:pPr>
        <w:spacing w:after="0" w:line="383"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Steps to Improve Due Diligence</w:t>
      </w:r>
    </w:p>
    <w:p>
      <w:pPr>
        <w:spacing w:after="0" w:line="229" w:lineRule="exact"/>
        <w:rPr>
          <w:rFonts w:ascii="Arial" w:cs="Arial" w:eastAsia="Arial" w:hAnsi="Arial"/>
          <w:sz w:val="18"/>
          <w:szCs w:val="18"/>
          <w:b w:val="1"/>
          <w:bCs w:val="1"/>
          <w:color w:val="auto"/>
        </w:rPr>
      </w:pPr>
    </w:p>
    <w:p>
      <w:pPr>
        <w:jc w:val="both"/>
        <w:ind w:left="6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We will continue to communicate our expectations and information requirements regarding 3TG Minerals to our direct suppliers, as a part of our supplier compliance program. Brady has incorporated detailed discussions of conflict minerals in our supplier manual, which is distributed to all suppliers, and in our specifications for all new parts. We also include conflict minerals information in discussions with our suppliers, including detailed on-site assessments that examine policies, procedures and practices. We will continue to monitor changes in circumstances that may impact the facts or our determination regarding the source of our 3TG Minerals. Over time, we anticipate that the amount of information globally on the traceability and sourcing of these ores will increase and improve our knowledge. We will continue to make further inquiries to our direct suppliers with the goals of assessing our supply chain, including existing and new suppliers, and improving our understanding of each 3TG Mineral supply chain. In addition,</w:t>
      </w:r>
    </w:p>
    <w:p>
      <w:pPr>
        <w:sectPr>
          <w:pgSz w:w="11900" w:h="16838" w:orient="portrait"/>
          <w:cols w:equalWidth="0" w:num="1">
            <w:col w:w="11420"/>
          </w:cols>
          <w:pgMar w:left="240" w:top="580" w:right="2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6"/>
          <w:szCs w:val="16"/>
          <w:color w:val="auto"/>
        </w:rPr>
        <w:t>we will continue to monitor the smelters in our supply chain that are currently participating in audit programs for their “Conflict-free” status.</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Private Sector Audit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Pursuant to SEC rules and related guidance, an independent private sector audit was not required for Brady’s conflict minerals filing for calendar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year 2017.</w:t>
      </w:r>
    </w:p>
    <w:p>
      <w:pPr>
        <w:sectPr>
          <w:pgSz w:w="11900" w:h="16838" w:orient="portrait"/>
          <w:cols w:equalWidth="0" w:num="2">
            <w:col w:w="260" w:space="400"/>
            <w:col w:w="10760"/>
          </w:cols>
          <w:pgMar w:left="240" w:top="584" w:right="239" w:bottom="1440" w:gutter="0" w:footer="0" w:header="0"/>
          <w:type w:val="continuous"/>
        </w:sectPr>
      </w:pPr>
    </w:p>
    <w:bookmarkStart w:id="6" w:name="page7"/>
    <w:bookmarkEnd w:id="6"/>
    <w:p>
      <w:pPr>
        <w:ind w:left="5280"/>
        <w:spacing w:after="0"/>
        <w:rPr>
          <w:sz w:val="20"/>
          <w:szCs w:val="20"/>
          <w:color w:val="auto"/>
        </w:rPr>
      </w:pPr>
      <w:r>
        <w:rPr>
          <w:rFonts w:ascii="Arial" w:cs="Arial" w:eastAsia="Arial" w:hAnsi="Arial"/>
          <w:sz w:val="18"/>
          <w:szCs w:val="18"/>
          <w:b w:val="1"/>
          <w:bCs w:val="1"/>
          <w:color w:val="auto"/>
        </w:rPr>
        <w:t>Appendix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Smelters/Refiners Identified by Suppliers Identified in Brady’s Supply Chain</w:t>
      </w:r>
    </w:p>
    <w:p>
      <w:pPr>
        <w:spacing w:after="0" w:line="200" w:lineRule="exact"/>
        <w:rPr>
          <w:sz w:val="20"/>
          <w:szCs w:val="20"/>
          <w:color w:val="auto"/>
        </w:rPr>
      </w:pPr>
    </w:p>
    <w:p>
      <w:pPr>
        <w:spacing w:after="0" w:line="375"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Metal</w:t>
            </w:r>
          </w:p>
        </w:tc>
        <w:tc>
          <w:tcPr>
            <w:tcW w:w="47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b w:val="1"/>
                <w:bCs w:val="1"/>
                <w:color w:val="auto"/>
              </w:rPr>
              <w:t>Smelter Name</w:t>
            </w:r>
          </w:p>
        </w:tc>
        <w:tc>
          <w:tcPr>
            <w:tcW w:w="26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b w:val="1"/>
                <w:bCs w:val="1"/>
                <w:color w:val="auto"/>
              </w:rPr>
              <w:t>Smelter Country</w:t>
            </w:r>
          </w:p>
        </w:tc>
        <w:tc>
          <w:tcPr>
            <w:tcW w:w="178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b w:val="1"/>
                <w:bCs w:val="1"/>
                <w:color w:val="auto"/>
              </w:rPr>
              <w:t>Smelter ID</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A.L.M.T. TUNGSTEN Corp.</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CID000004</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ACL Metais Eireli</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BRAZIL</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CID002833</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Asia Tungsten Products Vietnam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VIET NAM</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CID002502</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Chenzhou Diamond Tungsten Products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CID002513</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Chongyi Zhangyuan Tungsten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CID000258</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Fujian Jinxin Tungsten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CID000499</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Ganzhou Haichuang Tungsten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CID002645</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Ganzhou Huaxing Tungsten Products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CID000875</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Ganzhou Jiangwu Ferrotungsten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CID002315</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Ganzhou Seadragon W &amp; Mo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CID002494</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Global Tungsten &amp; Powders Corp.</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8"/>
              </w:rPr>
              <w:t>UNITED STATES OF AMERICA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CID000568</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Guangdong Xianglu Tungsten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CID000218</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H.C. Starck Smelting GmbH &amp; Co. KG</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GERMANY</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CID002542</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H.C. Starck Tungsten GmbH</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GERMANY</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CID002541</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Hunan Chenzhou Mining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CID000766</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Hunan Chuangda Vanadium Tungsten Co., Ltd. Wuji</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CID002579</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Hunan Chunchang Nonferrous Metals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CID000769</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Hydrometallurg, JSC</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RUSSIAN FEDERATION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CID002649</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 New Metals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CID000825</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Jiangwu H.C. Starck Tungsten Products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CID002551</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Jiangxi Dayu Longxintai Tungsten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CID002647</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Jiangxi Gan Bei Tungsten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CID002321</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Jiangxi Minmetals Gao'an Non-ferrous Metals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CID002313</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22"/>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Jiangxi Tonggu Non-ferrous Metallurgical &amp; Chemical Co.,</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CID002318</w:t>
            </w:r>
          </w:p>
        </w:tc>
      </w:tr>
      <w:tr>
        <w:trPr>
          <w:trHeight w:val="230"/>
        </w:trPr>
        <w:tc>
          <w:tcPr>
            <w:tcW w:w="1400" w:type="dxa"/>
            <w:vAlign w:val="bottom"/>
            <w:tcBorders>
              <w:left w:val="single" w:sz="8" w:color="00000A"/>
              <w:right w:val="single" w:sz="8" w:color="00000A"/>
            </w:tcBorders>
          </w:tcPr>
          <w:p>
            <w:pPr>
              <w:spacing w:after="0"/>
              <w:rPr>
                <w:sz w:val="20"/>
                <w:szCs w:val="20"/>
                <w:color w:val="auto"/>
              </w:rPr>
            </w:pP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Ltd.</w:t>
            </w:r>
          </w:p>
        </w:tc>
        <w:tc>
          <w:tcPr>
            <w:tcW w:w="2620" w:type="dxa"/>
            <w:vAlign w:val="bottom"/>
            <w:tcBorders>
              <w:right w:val="single" w:sz="8" w:color="00000A"/>
            </w:tcBorders>
          </w:tcPr>
          <w:p>
            <w:pPr>
              <w:spacing w:after="0"/>
              <w:rPr>
                <w:sz w:val="20"/>
                <w:szCs w:val="20"/>
                <w:color w:val="auto"/>
              </w:rPr>
            </w:pPr>
          </w:p>
        </w:tc>
        <w:tc>
          <w:tcPr>
            <w:tcW w:w="1780" w:type="dxa"/>
            <w:vAlign w:val="bottom"/>
            <w:tcBorders>
              <w:right w:val="single" w:sz="8" w:color="00000A"/>
            </w:tcBorders>
          </w:tcPr>
          <w:p>
            <w:pPr>
              <w:spacing w:after="0"/>
              <w:rPr>
                <w:sz w:val="20"/>
                <w:szCs w:val="20"/>
                <w:color w:val="auto"/>
              </w:rPr>
            </w:pP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Jiangxi Xinsheng Tungsten Industry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CID002317</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Jiangxi Xiushui Xianggan Nonferrous Metals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CID002535</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Jiangxi Yaosheng Tungsten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CID002316</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Kennametal Fallon</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8"/>
              </w:rPr>
              <w:t>UNITED STATES OF AMERICA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CID000966</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Kennametal Huntsville</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8"/>
              </w:rPr>
              <w:t>UNITED STATES OF AMERICA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CID000105</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Malipo Haiyu Tungsten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CID002319</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Moliren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RUSSIAN FEDERATION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CID002845</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Niagara Refining LLC</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8"/>
              </w:rPr>
              <w:t>UNITED STATES OF AMERICA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CID002589</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3"/>
              </w:rPr>
              <w:t>Nui Phao H.C. Starck Tungsten Chemicals Manufacturing LLC</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VIET NAM</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CID002543</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Philippine Chuangxin Industrial Co., Inc.</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PHILIPPINES</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CID002827</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bl>
    <w:p>
      <w:pPr>
        <w:sectPr>
          <w:pgSz w:w="11900" w:h="16838" w:orient="portrait"/>
          <w:cols w:equalWidth="0" w:num="1">
            <w:col w:w="10520"/>
          </w:cols>
          <w:pgMar w:left="240" w:top="796" w:right="113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140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w w:val="96"/>
              </w:rPr>
              <w:t>South-East Nonferrous Metal Company Limited of Hengyang</w:t>
            </w:r>
          </w:p>
        </w:tc>
        <w:tc>
          <w:tcPr>
            <w:tcW w:w="26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CID002815</w:t>
            </w:r>
          </w:p>
        </w:tc>
      </w:tr>
      <w:tr>
        <w:trPr>
          <w:trHeight w:val="230"/>
        </w:trPr>
        <w:tc>
          <w:tcPr>
            <w:tcW w:w="1400" w:type="dxa"/>
            <w:vAlign w:val="bottom"/>
            <w:tcBorders>
              <w:left w:val="single" w:sz="8" w:color="00000A"/>
              <w:right w:val="single" w:sz="8" w:color="00000A"/>
            </w:tcBorders>
          </w:tcPr>
          <w:p>
            <w:pPr>
              <w:spacing w:after="0"/>
              <w:rPr>
                <w:sz w:val="20"/>
                <w:szCs w:val="20"/>
                <w:color w:val="auto"/>
              </w:rPr>
            </w:pP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City</w:t>
            </w:r>
          </w:p>
        </w:tc>
        <w:tc>
          <w:tcPr>
            <w:tcW w:w="2620" w:type="dxa"/>
            <w:vAlign w:val="bottom"/>
            <w:tcBorders>
              <w:right w:val="single" w:sz="8" w:color="00000A"/>
            </w:tcBorders>
          </w:tcPr>
          <w:p>
            <w:pPr>
              <w:spacing w:after="0"/>
              <w:rPr>
                <w:sz w:val="20"/>
                <w:szCs w:val="20"/>
                <w:color w:val="auto"/>
              </w:rPr>
            </w:pPr>
          </w:p>
        </w:tc>
        <w:tc>
          <w:tcPr>
            <w:tcW w:w="1780" w:type="dxa"/>
            <w:vAlign w:val="bottom"/>
            <w:tcBorders>
              <w:right w:val="single" w:sz="8" w:color="00000A"/>
            </w:tcBorders>
          </w:tcPr>
          <w:p>
            <w:pPr>
              <w:spacing w:after="0"/>
              <w:rPr>
                <w:sz w:val="20"/>
                <w:szCs w:val="20"/>
                <w:color w:val="auto"/>
              </w:rPr>
            </w:pP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Tejing (Vietnam) Tungsten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VIET NAM</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CID001889</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Unecha Refractory metals plant</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RUSSIAN FEDERATION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CID002724</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Vietnam Youngsun Tungsten Industry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VIET NAM</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CID002011</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Wolfram Bergbau und Hutten AG</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AUSTRIA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CID002044</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Woltech Korea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KOREA, REPUBLIC OF</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CID002843</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Xiamen Tungsten (H.C.)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CID002320</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Xiamen Tungsten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CID002082</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22"/>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8"/>
              </w:rPr>
              <w:t>Xinfeng Huarui Tungsten &amp; Molybdenum New Material Co.,</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CID002830</w:t>
            </w:r>
          </w:p>
        </w:tc>
      </w:tr>
      <w:tr>
        <w:trPr>
          <w:trHeight w:val="230"/>
        </w:trPr>
        <w:tc>
          <w:tcPr>
            <w:tcW w:w="1400" w:type="dxa"/>
            <w:vAlign w:val="bottom"/>
            <w:tcBorders>
              <w:left w:val="single" w:sz="8" w:color="00000A"/>
              <w:right w:val="single" w:sz="8" w:color="00000A"/>
            </w:tcBorders>
          </w:tcPr>
          <w:p>
            <w:pPr>
              <w:spacing w:after="0"/>
              <w:rPr>
                <w:sz w:val="20"/>
                <w:szCs w:val="20"/>
                <w:color w:val="auto"/>
              </w:rPr>
            </w:pP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Ltd.</w:t>
            </w:r>
          </w:p>
        </w:tc>
        <w:tc>
          <w:tcPr>
            <w:tcW w:w="2620" w:type="dxa"/>
            <w:vAlign w:val="bottom"/>
            <w:tcBorders>
              <w:right w:val="single" w:sz="8" w:color="00000A"/>
            </w:tcBorders>
          </w:tcPr>
          <w:p>
            <w:pPr>
              <w:spacing w:after="0"/>
              <w:rPr>
                <w:sz w:val="20"/>
                <w:szCs w:val="20"/>
                <w:color w:val="auto"/>
              </w:rPr>
            </w:pPr>
          </w:p>
        </w:tc>
        <w:tc>
          <w:tcPr>
            <w:tcW w:w="1780" w:type="dxa"/>
            <w:vAlign w:val="bottom"/>
            <w:tcBorders>
              <w:right w:val="single" w:sz="8" w:color="00000A"/>
            </w:tcBorders>
          </w:tcPr>
          <w:p>
            <w:pPr>
              <w:spacing w:after="0"/>
              <w:rPr>
                <w:sz w:val="20"/>
                <w:szCs w:val="20"/>
                <w:color w:val="auto"/>
              </w:rPr>
            </w:pP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Xinhai Rendan Shaoguan Tungsten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CID002095</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Alpha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8"/>
              </w:rPr>
              <w:t>UNITED STATES OF AMERICA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CID000292</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An Vinh Joint Stock Mineral Processing Company</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VIET NAM</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CID002703</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Chenzhou Yunxiang Mining and Metallurgy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CID000228</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 Tin Group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CID001070</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CNMC (Guangxi) PGMA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CID000278</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CV Ayi Jaya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CID002570</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CV Dua Sekawan</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CID002592</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CV Gita Pesona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CID000306</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CV United Smelting</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CID000315</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CV Venus Inti Perkasa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CID002455</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Dowa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CID000402</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22"/>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EM Vinto</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BOLIVIA (PLURINATIONAL</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CID000438</w:t>
            </w:r>
          </w:p>
        </w:tc>
      </w:tr>
      <w:tr>
        <w:trPr>
          <w:trHeight w:val="230"/>
        </w:trPr>
        <w:tc>
          <w:tcPr>
            <w:tcW w:w="1400" w:type="dxa"/>
            <w:vAlign w:val="bottom"/>
            <w:tcBorders>
              <w:left w:val="single" w:sz="8" w:color="00000A"/>
              <w:right w:val="single" w:sz="8" w:color="00000A"/>
            </w:tcBorders>
          </w:tcPr>
          <w:p>
            <w:pPr>
              <w:spacing w:after="0"/>
              <w:rPr>
                <w:sz w:val="20"/>
                <w:szCs w:val="20"/>
                <w:color w:val="auto"/>
              </w:rPr>
            </w:pPr>
          </w:p>
        </w:tc>
        <w:tc>
          <w:tcPr>
            <w:tcW w:w="4720" w:type="dxa"/>
            <w:vAlign w:val="bottom"/>
            <w:tcBorders>
              <w:right w:val="single" w:sz="8" w:color="00000A"/>
            </w:tcBorders>
          </w:tcPr>
          <w:p>
            <w:pPr>
              <w:spacing w:after="0"/>
              <w:rPr>
                <w:sz w:val="20"/>
                <w:szCs w:val="20"/>
                <w:color w:val="auto"/>
              </w:rPr>
            </w:pP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STATE OF)</w:t>
            </w:r>
          </w:p>
        </w:tc>
        <w:tc>
          <w:tcPr>
            <w:tcW w:w="1780" w:type="dxa"/>
            <w:vAlign w:val="bottom"/>
            <w:tcBorders>
              <w:right w:val="single" w:sz="8" w:color="00000A"/>
            </w:tcBorders>
          </w:tcPr>
          <w:p>
            <w:pPr>
              <w:spacing w:after="0"/>
              <w:rPr>
                <w:sz w:val="20"/>
                <w:szCs w:val="20"/>
                <w:color w:val="auto"/>
              </w:rPr>
            </w:pP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Estanho de Rondonia S.A.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BRAZIL</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CID000448</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Fenix Metals</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POLAND</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CID000468</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Gejiu Fengming Metallurgy Chemical Plant</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CID002848</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Gejiu Jinye Mineral Company</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CID002859</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Gejiu Kai Meng Industry and Trade LLC</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CID000942</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Gejiu Non-Ferrous Metal Processing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CID000538</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Gejiu Yunxin Nonferrous Electrolysis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CID001908</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Gejiu Zili Mining And Metallurgy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CID000555</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Guangdong Hanhe Non-Ferrous Metal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CID003116</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Guanyang Guida Nonferrous Metal Smelting Plant</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CID002849</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HuiChang Hill Tin Industry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CID002844</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Huichang Jinshunda Tin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CID000760</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Jiangxi Ketai Advanced Material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CID000244</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Jiangxi New Nanshan Technology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CID001231</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Magnu's Minerais Metais e Ligas Ltda.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BRAZIL</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CID002468</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Malaysia Smelting Corporation (MSC)</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MALAYSIA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CID001105</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Melt Metais e Ligas S.A.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BRAZIL</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CID002500</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Metallic Resources, Inc.</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8"/>
              </w:rPr>
              <w:t>UNITED STATES OF AMERICA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CID001142</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Metallo Belgium N.V.</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BELGIUM</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CID002773</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bl>
    <w:p>
      <w:pPr>
        <w:sectPr>
          <w:pgSz w:w="11900" w:h="16838" w:orient="portrait"/>
          <w:cols w:equalWidth="0" w:num="1">
            <w:col w:w="10520"/>
          </w:cols>
          <w:pgMar w:left="240" w:top="714" w:right="113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Metallo Spain S.L.U.</w:t>
            </w:r>
          </w:p>
        </w:tc>
        <w:tc>
          <w:tcPr>
            <w:tcW w:w="26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SPAIN</w:t>
            </w:r>
          </w:p>
        </w:tc>
        <w:tc>
          <w:tcPr>
            <w:tcW w:w="178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CID002774</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Mineracao Taboca S.A.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BRAZIL</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CID001173</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Minsur</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PERU</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CID001182</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Mitsubishi Materials Corporation</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CID001191</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Modeltech Sdn Bhd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MALAYSIA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CID002858</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Nghe Tinh Non-Ferrous Metals Joint Stock Company</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VIET NAM</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CID002573</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O.M. Manufacturing (Thailand)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THAILAND</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CID001314</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O.M. Manufacturing Philippines, Inc.</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PHILIPPINES</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CID002517</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22"/>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Operaciones Metalurgical S.A.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BOLIVIA (PLURINATIONAL</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CID001337</w:t>
            </w:r>
          </w:p>
        </w:tc>
      </w:tr>
      <w:tr>
        <w:trPr>
          <w:trHeight w:val="230"/>
        </w:trPr>
        <w:tc>
          <w:tcPr>
            <w:tcW w:w="1400" w:type="dxa"/>
            <w:vAlign w:val="bottom"/>
            <w:tcBorders>
              <w:left w:val="single" w:sz="8" w:color="00000A"/>
              <w:right w:val="single" w:sz="8" w:color="00000A"/>
            </w:tcBorders>
          </w:tcPr>
          <w:p>
            <w:pPr>
              <w:spacing w:after="0"/>
              <w:rPr>
                <w:sz w:val="20"/>
                <w:szCs w:val="20"/>
                <w:color w:val="auto"/>
              </w:rPr>
            </w:pPr>
          </w:p>
        </w:tc>
        <w:tc>
          <w:tcPr>
            <w:tcW w:w="4720" w:type="dxa"/>
            <w:vAlign w:val="bottom"/>
            <w:tcBorders>
              <w:right w:val="single" w:sz="8" w:color="00000A"/>
            </w:tcBorders>
          </w:tcPr>
          <w:p>
            <w:pPr>
              <w:spacing w:after="0"/>
              <w:rPr>
                <w:sz w:val="20"/>
                <w:szCs w:val="20"/>
                <w:color w:val="auto"/>
              </w:rPr>
            </w:pP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STATE OF)</w:t>
            </w:r>
          </w:p>
        </w:tc>
        <w:tc>
          <w:tcPr>
            <w:tcW w:w="1780" w:type="dxa"/>
            <w:vAlign w:val="bottom"/>
            <w:tcBorders>
              <w:right w:val="single" w:sz="8" w:color="00000A"/>
            </w:tcBorders>
          </w:tcPr>
          <w:p>
            <w:pPr>
              <w:spacing w:after="0"/>
              <w:rPr>
                <w:sz w:val="20"/>
                <w:szCs w:val="20"/>
                <w:color w:val="auto"/>
              </w:rPr>
            </w:pP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Aries Kencana Sejahtera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CID000309</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Artha Cipta Langgeng</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CID001399</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ATD Makmur Mandiri Jaya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CID002503</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Babel Inti Perkasa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CID001402</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Bangka Prima Tin</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CID002776</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Bangka Tin Industry</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CID001419</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Belitung Industri Sejahtera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CID001421</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Bukit Timah</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CID001428</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DS Jaya Abadi</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CID001434</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Eunindo Usaha Mandiri</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CID001438</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Inti Stania Prima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CID002530</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Karimun Mining</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CID001448</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Kijang Jaya Mandiri</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CID002829</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Lautan Harmonis Sejahtera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CID002870</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Menara Cipta Mulia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CID002835</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Mitra Stania Prima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CID001453</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Panca Mega Persada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CID001457</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Premium Tin Indonesia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CID000313</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Prima Timah Utama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CID001458</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CV Tiga Sekawan</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CID002593</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Refined Bangka Tin</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CID001460</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Sariwiguna Binasentosa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CID001463</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Stanindo Inti Perkasa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CID001468</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Sukses Inti Makmur</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CID002816</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Sumber Jaya Indah</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CID001471</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Timah (Persero) Tbk Kundur</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CID001477</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Timah (Persero) Tbk Mentok</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CID001482</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Tinindo Inter Nusa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CID001490</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Tommy Utama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CID001493</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Resind Industria e Comercio Ltda.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BRAZIL</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CID002706</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22"/>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Rui Da Hung</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TAIWAN, PROVINCE OF</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CID001539</w:t>
            </w:r>
          </w:p>
        </w:tc>
      </w:tr>
      <w:tr>
        <w:trPr>
          <w:trHeight w:val="230"/>
        </w:trPr>
        <w:tc>
          <w:tcPr>
            <w:tcW w:w="1400" w:type="dxa"/>
            <w:vAlign w:val="bottom"/>
            <w:tcBorders>
              <w:left w:val="single" w:sz="8" w:color="00000A"/>
              <w:right w:val="single" w:sz="8" w:color="00000A"/>
            </w:tcBorders>
          </w:tcPr>
          <w:p>
            <w:pPr>
              <w:spacing w:after="0"/>
              <w:rPr>
                <w:sz w:val="20"/>
                <w:szCs w:val="20"/>
                <w:color w:val="auto"/>
              </w:rPr>
            </w:pPr>
          </w:p>
        </w:tc>
        <w:tc>
          <w:tcPr>
            <w:tcW w:w="4720" w:type="dxa"/>
            <w:vAlign w:val="bottom"/>
            <w:tcBorders>
              <w:right w:val="single" w:sz="8" w:color="00000A"/>
            </w:tcBorders>
          </w:tcPr>
          <w:p>
            <w:pPr>
              <w:spacing w:after="0"/>
              <w:rPr>
                <w:sz w:val="20"/>
                <w:szCs w:val="20"/>
                <w:color w:val="auto"/>
              </w:rPr>
            </w:pP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spacing w:after="0"/>
              <w:rPr>
                <w:sz w:val="20"/>
                <w:szCs w:val="20"/>
                <w:color w:val="auto"/>
              </w:rPr>
            </w:pP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Soft Metais Ltda.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BRAZIL</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CID001758</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Super Ligas</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BRAZIL</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CID002756</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Thaisarco</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THAILAND</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CID001898</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bl>
    <w:p>
      <w:pPr>
        <w:sectPr>
          <w:pgSz w:w="11900" w:h="16838" w:orient="portrait"/>
          <w:cols w:equalWidth="0" w:num="1">
            <w:col w:w="10520"/>
          </w:cols>
          <w:pgMar w:left="240" w:top="714" w:right="113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Tuyen Quang Non-Ferrous Metals Joint Stock Company</w:t>
            </w:r>
          </w:p>
        </w:tc>
        <w:tc>
          <w:tcPr>
            <w:tcW w:w="26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VIET NAM</w:t>
            </w:r>
          </w:p>
        </w:tc>
        <w:tc>
          <w:tcPr>
            <w:tcW w:w="178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CID002574</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White Solder Metalurgia e Mineracao Ltda.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BRAZIL</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CID002036</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Yunnan Chengfeng Non-ferrous Metals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CID002158</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Yunnan Tin Company Limited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CID002180</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Asaka Riken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CID000092</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Changsha South Tantalum Niobium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CID000211</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D Block Metals, LLC</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8"/>
              </w:rPr>
              <w:t>UNITED STATES OF AMERICA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CID002504</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Exotech Inc.</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8"/>
              </w:rPr>
              <w:t>UNITED STATES OF AMERICA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CID000456</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F&amp;X Electro-Materials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CID000460</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FIR Metals &amp; Resource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CID002505</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Global Advanced Metals Aizu</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CID002558</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Global Advanced Metals Boyertown</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8"/>
              </w:rPr>
              <w:t>UNITED STATES OF AMERICA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CID002557</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Guangdong Rising Rare Metals-EO Materials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CID000291</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Guangdong Zhiyuan New Material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CID000616</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H.C. Starck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THAILAND</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CID002544</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H.C. Starck Hermsdorf GmbH</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GERMANY</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CID002547</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H.C. Starck Inc.</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8"/>
              </w:rPr>
              <w:t>UNITED STATES OF AMERICA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CID002548</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H.C. Starck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CID002549</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H.C. Starck Smelting GmbH &amp; Co. KG</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GERMANY</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CID002550</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H.C. Starck Tantalum and Niobium GmbH</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GERMANY</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CID002545</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Hengyang King Xing Lifeng New Materials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CID002492</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Jiangxi Dinghai Tantalum &amp; Niobium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CID002512</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Jiangxi Tuohong New Raw Material</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CID002842</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JiuJiang JinXin Nonferrous Metals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CID000914</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Jiujiang Tanbre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CID000917</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Jiujiang Zhongao Tantalum &amp; Niobium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CID002506</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KEMET Blue Metals</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MEXICO</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CID002539</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KEMET Blue Powder</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8"/>
              </w:rPr>
              <w:t>UNITED STATES OF AMERICA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CID002568</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LSM Brasil S.A.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BRAZIL</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CID001076</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Metallurgical Products India Pvt.,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CID001163</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Mineracao Taboca S.A.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BRAZIL</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CID001175</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Mitsui Mining and Smelting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CID001192</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Ningxia Orient Tantalum Industry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CID001277</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NPM Silmet AS</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ESTONIA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CID001200</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22"/>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Power Resources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MACEDONIA, THE FORMER</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CID002847</w:t>
            </w:r>
          </w:p>
        </w:tc>
      </w:tr>
      <w:tr>
        <w:trPr>
          <w:trHeight w:val="230"/>
        </w:trPr>
        <w:tc>
          <w:tcPr>
            <w:tcW w:w="1400" w:type="dxa"/>
            <w:vAlign w:val="bottom"/>
            <w:tcBorders>
              <w:left w:val="single" w:sz="8" w:color="00000A"/>
              <w:right w:val="single" w:sz="8" w:color="00000A"/>
            </w:tcBorders>
          </w:tcPr>
          <w:p>
            <w:pPr>
              <w:spacing w:after="0"/>
              <w:rPr>
                <w:sz w:val="20"/>
                <w:szCs w:val="20"/>
                <w:color w:val="auto"/>
              </w:rPr>
            </w:pPr>
          </w:p>
        </w:tc>
        <w:tc>
          <w:tcPr>
            <w:tcW w:w="4720" w:type="dxa"/>
            <w:vAlign w:val="bottom"/>
            <w:tcBorders>
              <w:right w:val="single" w:sz="8" w:color="00000A"/>
            </w:tcBorders>
          </w:tcPr>
          <w:p>
            <w:pPr>
              <w:spacing w:after="0"/>
              <w:rPr>
                <w:sz w:val="20"/>
                <w:szCs w:val="20"/>
                <w:color w:val="auto"/>
              </w:rPr>
            </w:pP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YUGOSLAV REPUBLIC OF</w:t>
            </w:r>
          </w:p>
        </w:tc>
        <w:tc>
          <w:tcPr>
            <w:tcW w:w="1780" w:type="dxa"/>
            <w:vAlign w:val="bottom"/>
            <w:tcBorders>
              <w:right w:val="single" w:sz="8" w:color="00000A"/>
            </w:tcBorders>
          </w:tcPr>
          <w:p>
            <w:pPr>
              <w:spacing w:after="0"/>
              <w:rPr>
                <w:sz w:val="20"/>
                <w:szCs w:val="20"/>
                <w:color w:val="auto"/>
              </w:rPr>
            </w:pP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QuantumClean</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8"/>
              </w:rPr>
              <w:t>UNITED STATES OF AMERICA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CID001508</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Resind Industria e Comercio Ltda.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BRAZIL</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CID002707</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22"/>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5"/>
              </w:rPr>
              <w:t>RFH Tantalum Smeltery Co., Ltd./Yanling Jincheng Tantalum</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CID001522</w:t>
            </w:r>
          </w:p>
        </w:tc>
      </w:tr>
      <w:tr>
        <w:trPr>
          <w:trHeight w:val="230"/>
        </w:trPr>
        <w:tc>
          <w:tcPr>
            <w:tcW w:w="1400" w:type="dxa"/>
            <w:vAlign w:val="bottom"/>
            <w:tcBorders>
              <w:left w:val="single" w:sz="8" w:color="00000A"/>
              <w:right w:val="single" w:sz="8" w:color="00000A"/>
            </w:tcBorders>
          </w:tcPr>
          <w:p>
            <w:pPr>
              <w:spacing w:after="0"/>
              <w:rPr>
                <w:sz w:val="20"/>
                <w:szCs w:val="20"/>
                <w:color w:val="auto"/>
              </w:rPr>
            </w:pP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&amp; Niobium Co., Ltd.</w:t>
            </w:r>
          </w:p>
        </w:tc>
        <w:tc>
          <w:tcPr>
            <w:tcW w:w="2620" w:type="dxa"/>
            <w:vAlign w:val="bottom"/>
            <w:tcBorders>
              <w:right w:val="single" w:sz="8" w:color="00000A"/>
            </w:tcBorders>
          </w:tcPr>
          <w:p>
            <w:pPr>
              <w:spacing w:after="0"/>
              <w:rPr>
                <w:sz w:val="20"/>
                <w:szCs w:val="20"/>
                <w:color w:val="auto"/>
              </w:rPr>
            </w:pPr>
          </w:p>
        </w:tc>
        <w:tc>
          <w:tcPr>
            <w:tcW w:w="1780" w:type="dxa"/>
            <w:vAlign w:val="bottom"/>
            <w:tcBorders>
              <w:right w:val="single" w:sz="8" w:color="00000A"/>
            </w:tcBorders>
          </w:tcPr>
          <w:p>
            <w:pPr>
              <w:spacing w:after="0"/>
              <w:rPr>
                <w:sz w:val="20"/>
                <w:szCs w:val="20"/>
                <w:color w:val="auto"/>
              </w:rPr>
            </w:pP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Solikamsk Magnesium Works OAO</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RUSSIAN FEDERATION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CID001769</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bl>
    <w:p>
      <w:pPr>
        <w:sectPr>
          <w:pgSz w:w="11900" w:h="16838" w:orient="portrait"/>
          <w:cols w:equalWidth="0" w:num="1">
            <w:col w:w="10520"/>
          </w:cols>
          <w:pgMar w:left="240" w:top="714" w:right="1139"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Taki Chemical Co., Ltd.</w:t>
            </w:r>
          </w:p>
        </w:tc>
        <w:tc>
          <w:tcPr>
            <w:tcW w:w="26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78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CID001869</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Telex Metals</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8"/>
              </w:rPr>
              <w:t>UNITED STATES OF AMERICA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CID001891</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Ulba Metallurgical Plant JSC</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KAZAKHSTAN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CID001969</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XinXing HaoRong Electronic Material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CID002508</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Yichun Jin Yang Rare Metal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CID002307</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Advanced Chemical Company</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8"/>
              </w:rPr>
              <w:t>UNITED STATES OF AMERICA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CID000015</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Aida Chemical Industries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CID000019</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Al Etihad Gold LLC</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ARAB EMIRATES</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CID002560</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Allgemeine Gold-und Silberscheideanstalt A.G.</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GERMANY</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CID000035</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Almalyk Mining and Metallurgical Complex (AMMC)</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UZBEKISTAN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CID000041</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AngloGold Ashanti Corrego do Sitio Mineracao</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BRAZIL</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CID000058</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Argor-Heraeus S.A.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SWITZERLAND</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CID000077</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Asahi Pretec Corp.</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CID000082</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Asahi Refining Canada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CANADA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CID000924</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Asahi Refining USA Inc.</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8"/>
              </w:rPr>
              <w:t>UNITED STATES OF AMERICA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CID000920</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Asaka Riken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CID000090</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Atasay Kuyumculuk Sanayi Ve Ticaret A.S.</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TURKEY</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CID000103</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AU Traders and Refiners</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SOUTH AFRICA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CID002850</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Aurubis AG</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GERMANY</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CID000113</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Bangalore Refinery</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CID002863</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6"/>
              </w:rPr>
              <w:t>Bangko Sentral ng Pilipinas (Central Bank of the Philippines)</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PHILIPPINES</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CID000128</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Boliden AB</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SWEDEN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CID000157</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 Hafner GmbH + Co. KG</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GERMANY</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CID000176</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Caridad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MEXICO</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CID000180</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CCR Refinery - Glencore Canada Corporation</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CANADA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CID000185</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Cendres + Metaux S.A.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SWITZERLAND</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CID000189</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Chimet S.p.A.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ITALY</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CID000233</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Chugai Mining</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CID000264</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Daejin Indus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KOREA, REPUBLIC OF</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CID000328</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Daye Non-Ferrous Metals Mining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CID000343</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Degussa Sonne / Mond Goldhandel GmbH</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GERMANY</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CID002867</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DODUCO Contacts and Refining GmbH</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GERMANY</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CID000362</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Dowa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CID000401</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DSC (Do Sung Corporation)</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KOREA, REPUBLIC OF</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CID000359</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Eco-System Recycling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CID000425</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Emirates Gold DMCC</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ARAB EMIRATES</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CID002561</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GCC Gujrat Gold Centre Pvt.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CID002852</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Geib Refining Corporation</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8"/>
              </w:rPr>
              <w:t>UNITED STATES OF AMERICA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CID002459</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Gold Refinery of Zijin Mining Group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CID002243</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Great Wall Precious Metals Co., Ltd. of CBPM</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CID001909</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Guangdong Jinding Gold Limited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CID002312</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bl>
    <w:p>
      <w:pPr>
        <w:sectPr>
          <w:pgSz w:w="11900" w:h="16838" w:orient="portrait"/>
          <w:cols w:equalWidth="0" w:num="1">
            <w:col w:w="10520"/>
          </w:cols>
          <w:pgMar w:left="240" w:top="714" w:right="113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Guoda Safina High-Tech Environmental Refinery Co., Ltd.</w:t>
            </w:r>
          </w:p>
        </w:tc>
        <w:tc>
          <w:tcPr>
            <w:tcW w:w="26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CID000651</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Hangzhou Fuchunjiang Smelting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CID000671</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HeeSung Metal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KOREA, REPUBLIC OF</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CID000689</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Heimerle + Meule GmbH</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GERMANY</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CID000694</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Heraeus Metals Hong Kong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CID000707</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Heraeus Precious Metals GmbH &amp; Co. KG</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GERMANY</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CID000711</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Hunan Chenzhou Mining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CID000767</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HwaSeong CJ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KOREA, REPUBLIC OF</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CID000778</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22"/>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6"/>
              </w:rPr>
              <w:t>Inner Mongolia Qiankun Gold and Silver Refinery Share Co.,</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CID000801</w:t>
            </w:r>
          </w:p>
        </w:tc>
      </w:tr>
      <w:tr>
        <w:trPr>
          <w:trHeight w:val="230"/>
        </w:trPr>
        <w:tc>
          <w:tcPr>
            <w:tcW w:w="1400" w:type="dxa"/>
            <w:vAlign w:val="bottom"/>
            <w:tcBorders>
              <w:left w:val="single" w:sz="8" w:color="00000A"/>
              <w:right w:val="single" w:sz="8" w:color="00000A"/>
            </w:tcBorders>
          </w:tcPr>
          <w:p>
            <w:pPr>
              <w:spacing w:after="0"/>
              <w:rPr>
                <w:sz w:val="20"/>
                <w:szCs w:val="20"/>
                <w:color w:val="auto"/>
              </w:rPr>
            </w:pP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Ltd.</w:t>
            </w:r>
          </w:p>
        </w:tc>
        <w:tc>
          <w:tcPr>
            <w:tcW w:w="2620" w:type="dxa"/>
            <w:vAlign w:val="bottom"/>
            <w:tcBorders>
              <w:right w:val="single" w:sz="8" w:color="00000A"/>
            </w:tcBorders>
          </w:tcPr>
          <w:p>
            <w:pPr>
              <w:spacing w:after="0"/>
              <w:rPr>
                <w:sz w:val="20"/>
                <w:szCs w:val="20"/>
                <w:color w:val="auto"/>
              </w:rPr>
            </w:pPr>
          </w:p>
        </w:tc>
        <w:tc>
          <w:tcPr>
            <w:tcW w:w="1780" w:type="dxa"/>
            <w:vAlign w:val="bottom"/>
            <w:tcBorders>
              <w:right w:val="single" w:sz="8" w:color="00000A"/>
            </w:tcBorders>
          </w:tcPr>
          <w:p>
            <w:pPr>
              <w:spacing w:after="0"/>
              <w:rPr>
                <w:sz w:val="20"/>
                <w:szCs w:val="20"/>
                <w:color w:val="auto"/>
              </w:rPr>
            </w:pP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Ishifuku Metal Industry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CID000807</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Istanbul Gold Refinery</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TURKEY</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CID000814</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Italpreziosi</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ITALY</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CID002765</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 Mint</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CID000823</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Jiangxi Copper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CID000855</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JSC Ekaterinburg Non-Ferrous Metal Processing Plant</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RUSSIAN FEDERATION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CID000927</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JSC Uralelectromed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RUSSIAN FEDERATION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CID000929</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JX Nippon Mining &amp; Metals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CID000937</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Kaloti Precious Metals</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ARAB EMIRATES</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CID002563</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Kazakhmys Smelting LLC</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KAZAKHSTAN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CID000956</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Kazzinc</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KAZAKHSTAN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CID000957</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Kennecott Utah Copper LLC</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8"/>
              </w:rPr>
              <w:t>UNITED STATES OF AMERICA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CID000969</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KGHM Polska Miedz Spolka Akcyjna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POLAND</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CID002511</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Kojima Chemicals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CID000981</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Korea Zinc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KOREA, REPUBLIC OF</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CID002605</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Kyrgyzaltyn JSC</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KYRGYZSTAN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CID001029</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Kyshtym Copper-Electrolytic Plant ZAO</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RUSSIAN FEDERATION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CID002865</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L'azurde Company For Jewelry</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SAUDI ARABIA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CID001032</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Lingbao Gold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CID001056</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Lingbao Jinyuan Tonghui Refinery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CID001058</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L'Orfebre S.A.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ANDORRA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CID002762</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LS-NIKKO Copper Inc.</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KOREA, REPUBLIC OF</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CID001078</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Luoyang Zijin Yinhui Gold Refinery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CID001093</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Marsam Metals</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BRAZIL</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CID002606</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Materion</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8"/>
              </w:rPr>
              <w:t>UNITED STATES OF AMERICA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CID001113</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Matsuda Sangyo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CID001119</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Metalor Technologies (Hong Kong)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CID001149</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Metalor Technologies (Singapore) Pte.,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SINGAPORE</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CID001152</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Metalor Technologies (Suzhou)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CID001147</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Metalor Technologies S.A.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SWITZERLAND</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CID001153</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Metalor USA Refining Corporation</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8"/>
              </w:rPr>
              <w:t>UNITED STATES OF AMERICA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CID001157</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Metalurgica Met-Mex Penoles S.A. De C.V.</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MEXICO</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CID001161</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Mitsubishi Materials Corporation</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CID001188</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bl>
    <w:p>
      <w:pPr>
        <w:sectPr>
          <w:pgSz w:w="11900" w:h="16838" w:orient="portrait"/>
          <w:cols w:equalWidth="0" w:num="1">
            <w:col w:w="10520"/>
          </w:cols>
          <w:pgMar w:left="240" w:top="714" w:right="113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Mitsui Mining and Smelting Co., Ltd.</w:t>
            </w:r>
          </w:p>
        </w:tc>
        <w:tc>
          <w:tcPr>
            <w:tcW w:w="26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78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CID001193</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MMTC-PAMP India Pvt.,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CID002509</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Modeltech Sdn Bhd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MALAYSIA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CID002857</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Morris and Watson</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NEW ZEALAND</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CID002282</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Morris and Watson Gold Coast</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AUSTRALIA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CID002866</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Moscow Special Alloys Processing Plant</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RUSSIAN FEDERATION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CID001204</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Nadir Metal Rafineri San. Ve Tic. A.S.</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TURKEY</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CID001220</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Navoi Mining and Metallurgical Combinat</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UZBEKISTAN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CID001236</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Nihon Material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CID001259</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1"/>
              </w:rPr>
              <w:t>Ogussa Osterreichische Gold- und Silber-Scheideanstalt GmbH</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AUSTRIA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CID002779</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Ohura Precious Metal Industry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CID001325</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22"/>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7"/>
              </w:rPr>
              <w:t>OJSC "The Gulidov Krasnoyarsk Non-Ferrous Metals Plant"</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RUSSIAN FEDERATION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CID001326</w:t>
            </w:r>
          </w:p>
        </w:tc>
      </w:tr>
      <w:tr>
        <w:trPr>
          <w:trHeight w:val="230"/>
        </w:trPr>
        <w:tc>
          <w:tcPr>
            <w:tcW w:w="1400" w:type="dxa"/>
            <w:vAlign w:val="bottom"/>
            <w:tcBorders>
              <w:left w:val="single" w:sz="8" w:color="00000A"/>
              <w:right w:val="single" w:sz="8" w:color="00000A"/>
            </w:tcBorders>
          </w:tcPr>
          <w:p>
            <w:pPr>
              <w:spacing w:after="0"/>
              <w:rPr>
                <w:sz w:val="20"/>
                <w:szCs w:val="20"/>
                <w:color w:val="auto"/>
              </w:rPr>
            </w:pP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(OJSC Krastsvetmet)</w:t>
            </w:r>
          </w:p>
        </w:tc>
        <w:tc>
          <w:tcPr>
            <w:tcW w:w="2620" w:type="dxa"/>
            <w:vAlign w:val="bottom"/>
            <w:tcBorders>
              <w:right w:val="single" w:sz="8" w:color="00000A"/>
            </w:tcBorders>
          </w:tcPr>
          <w:p>
            <w:pPr>
              <w:spacing w:after="0"/>
              <w:rPr>
                <w:sz w:val="20"/>
                <w:szCs w:val="20"/>
                <w:color w:val="auto"/>
              </w:rPr>
            </w:pPr>
          </w:p>
        </w:tc>
        <w:tc>
          <w:tcPr>
            <w:tcW w:w="1780" w:type="dxa"/>
            <w:vAlign w:val="bottom"/>
            <w:tcBorders>
              <w:right w:val="single" w:sz="8" w:color="00000A"/>
            </w:tcBorders>
          </w:tcPr>
          <w:p>
            <w:pPr>
              <w:spacing w:after="0"/>
              <w:rPr>
                <w:sz w:val="20"/>
                <w:szCs w:val="20"/>
                <w:color w:val="auto"/>
              </w:rPr>
            </w:pP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OJSC Novosibirsk Refinery</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RUSSIAN FEDERATION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CID000493</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PAMP S.A.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SWITZERLAND</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CID001352</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Pease &amp; Curren</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8"/>
              </w:rPr>
              <w:t>UNITED STATES OF AMERICA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CID002872</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Penglai Penggang Gold Industry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CID001362</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Planta Recuperadora de Metales SpA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CHILE</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CID002919</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Prioksky Plant of Non-Ferrous Metals</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RUSSIAN FEDERATION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CID001386</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Aneka Tambang (Persero) Tbk</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CID001397</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PX Precinox S.A.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SWITZERLAND</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CID001498</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Rand Refinery (Pty)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SOUTH AFRICA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CID001512</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Refinery of Seemine Gold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CID000522</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Remondis Argentia B.V.</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NETHERLANDS</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CID002582</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Republic Metals Corporation</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8"/>
              </w:rPr>
              <w:t>UNITED STATES OF AMERICA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CID002510</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Royal Canadian Mint</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CANADA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CID001534</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SAAMP</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FRANCE</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CID002761</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Sabin Metal Corp.</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8"/>
              </w:rPr>
              <w:t>UNITED STATES OF AMERICA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CID001546</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Safimet S.p.A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ITALY</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CID002973</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SAFINA A.S.</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CZECH REPUBLIC</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CID002290</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Sai Refinery</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CID002853</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Samduck Precious Metals</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KOREA, REPUBLIC OF</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CID001555</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Samwon Metals Corp.</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KOREA, REPUBLIC OF</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CID001562</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SAXONIA Edelmetalle GmbH</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GERMANY</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CID002777</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Schone Edelmetaal B.V.</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NETHERLANDS</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CID001573</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SEMPSA Joyeria Plateria S.A.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SPAIN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CID001585</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Shandong Tiancheng Biological Gold Industrial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CID001619</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Shandong Zhaojin Gold &amp; Silver Refinery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CID001622</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Sichuan Tianze Precious Metals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CID001736</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22"/>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Singway Technology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TAIWAN, PROVINCE OF</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CID002516</w:t>
            </w:r>
          </w:p>
        </w:tc>
      </w:tr>
      <w:tr>
        <w:trPr>
          <w:trHeight w:val="230"/>
        </w:trPr>
        <w:tc>
          <w:tcPr>
            <w:tcW w:w="1400" w:type="dxa"/>
            <w:vAlign w:val="bottom"/>
            <w:tcBorders>
              <w:left w:val="single" w:sz="8" w:color="00000A"/>
              <w:right w:val="single" w:sz="8" w:color="00000A"/>
            </w:tcBorders>
          </w:tcPr>
          <w:p>
            <w:pPr>
              <w:spacing w:after="0"/>
              <w:rPr>
                <w:sz w:val="20"/>
                <w:szCs w:val="20"/>
                <w:color w:val="auto"/>
              </w:rPr>
            </w:pPr>
          </w:p>
        </w:tc>
        <w:tc>
          <w:tcPr>
            <w:tcW w:w="4720" w:type="dxa"/>
            <w:vAlign w:val="bottom"/>
            <w:tcBorders>
              <w:right w:val="single" w:sz="8" w:color="00000A"/>
            </w:tcBorders>
          </w:tcPr>
          <w:p>
            <w:pPr>
              <w:spacing w:after="0"/>
              <w:rPr>
                <w:sz w:val="20"/>
                <w:szCs w:val="20"/>
                <w:color w:val="auto"/>
              </w:rPr>
            </w:pP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spacing w:after="0"/>
              <w:rPr>
                <w:sz w:val="20"/>
                <w:szCs w:val="20"/>
                <w:color w:val="auto"/>
              </w:rPr>
            </w:pP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SOE Shyolkovsky Factory of Secondary Precious Metals</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RUSSIAN FEDERATION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CID001756</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bl>
    <w:p>
      <w:pPr>
        <w:sectPr>
          <w:pgSz w:w="11900" w:h="16838" w:orient="portrait"/>
          <w:cols w:equalWidth="0" w:num="1">
            <w:col w:w="10520"/>
          </w:cols>
          <w:pgMar w:left="240" w:top="714" w:right="113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140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Solar Applied Materials Technology Corp.</w:t>
            </w:r>
          </w:p>
        </w:tc>
        <w:tc>
          <w:tcPr>
            <w:tcW w:w="26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TAIWAN, PROVINCE OF</w:t>
            </w:r>
          </w:p>
        </w:tc>
        <w:tc>
          <w:tcPr>
            <w:tcW w:w="178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CID001761</w:t>
            </w:r>
          </w:p>
        </w:tc>
      </w:tr>
      <w:tr>
        <w:trPr>
          <w:trHeight w:val="230"/>
        </w:trPr>
        <w:tc>
          <w:tcPr>
            <w:tcW w:w="1400" w:type="dxa"/>
            <w:vAlign w:val="bottom"/>
            <w:tcBorders>
              <w:left w:val="single" w:sz="8" w:color="00000A"/>
              <w:right w:val="single" w:sz="8" w:color="00000A"/>
            </w:tcBorders>
          </w:tcPr>
          <w:p>
            <w:pPr>
              <w:spacing w:after="0"/>
              <w:rPr>
                <w:sz w:val="20"/>
                <w:szCs w:val="20"/>
                <w:color w:val="auto"/>
              </w:rPr>
            </w:pPr>
          </w:p>
        </w:tc>
        <w:tc>
          <w:tcPr>
            <w:tcW w:w="4720" w:type="dxa"/>
            <w:vAlign w:val="bottom"/>
            <w:tcBorders>
              <w:right w:val="single" w:sz="8" w:color="00000A"/>
            </w:tcBorders>
          </w:tcPr>
          <w:p>
            <w:pPr>
              <w:spacing w:after="0"/>
              <w:rPr>
                <w:sz w:val="20"/>
                <w:szCs w:val="20"/>
                <w:color w:val="auto"/>
              </w:rPr>
            </w:pP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spacing w:after="0"/>
              <w:rPr>
                <w:sz w:val="20"/>
                <w:szCs w:val="20"/>
                <w:color w:val="auto"/>
              </w:rPr>
            </w:pP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22"/>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State Research Institute Center for Physical Sciences and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LITHUANIA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CID003153</w:t>
            </w:r>
          </w:p>
        </w:tc>
      </w:tr>
      <w:tr>
        <w:trPr>
          <w:trHeight w:val="230"/>
        </w:trPr>
        <w:tc>
          <w:tcPr>
            <w:tcW w:w="1400" w:type="dxa"/>
            <w:vAlign w:val="bottom"/>
            <w:tcBorders>
              <w:left w:val="single" w:sz="8" w:color="00000A"/>
              <w:right w:val="single" w:sz="8" w:color="00000A"/>
            </w:tcBorders>
          </w:tcPr>
          <w:p>
            <w:pPr>
              <w:spacing w:after="0"/>
              <w:rPr>
                <w:sz w:val="20"/>
                <w:szCs w:val="20"/>
                <w:color w:val="auto"/>
              </w:rPr>
            </w:pP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Technology</w:t>
            </w:r>
          </w:p>
        </w:tc>
        <w:tc>
          <w:tcPr>
            <w:tcW w:w="2620" w:type="dxa"/>
            <w:vAlign w:val="bottom"/>
            <w:tcBorders>
              <w:right w:val="single" w:sz="8" w:color="00000A"/>
            </w:tcBorders>
          </w:tcPr>
          <w:p>
            <w:pPr>
              <w:spacing w:after="0"/>
              <w:rPr>
                <w:sz w:val="20"/>
                <w:szCs w:val="20"/>
                <w:color w:val="auto"/>
              </w:rPr>
            </w:pPr>
          </w:p>
        </w:tc>
        <w:tc>
          <w:tcPr>
            <w:tcW w:w="1780" w:type="dxa"/>
            <w:vAlign w:val="bottom"/>
            <w:tcBorders>
              <w:right w:val="single" w:sz="8" w:color="00000A"/>
            </w:tcBorders>
          </w:tcPr>
          <w:p>
            <w:pPr>
              <w:spacing w:after="0"/>
              <w:rPr>
                <w:sz w:val="20"/>
                <w:szCs w:val="20"/>
                <w:color w:val="auto"/>
              </w:rPr>
            </w:pP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Sudan Gold Refinery</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SUDAN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CID002567</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Sumitomo Metal Mining Co., Ltd.</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CID001798</w:t>
            </w:r>
          </w:p>
        </w:tc>
      </w:tr>
      <w:tr>
        <w:trPr>
          <w:trHeight w:val="27"/>
        </w:trPr>
        <w:tc>
          <w:tcPr>
            <w:tcW w:w="1400" w:type="dxa"/>
            <w:vAlign w:val="bottom"/>
            <w:tcBorders>
              <w:left w:val="single" w:sz="8" w:color="auto"/>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237"/>
        </w:trPr>
        <w:tc>
          <w:tcPr>
            <w:tcW w:w="1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SungEel HiMetal Co., Ltd.</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1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CID002918</w:t>
            </w:r>
          </w:p>
        </w:tc>
      </w:tr>
      <w:tr>
        <w:trPr>
          <w:trHeight w:val="27"/>
        </w:trPr>
        <w:tc>
          <w:tcPr>
            <w:tcW w:w="1400" w:type="dxa"/>
            <w:vAlign w:val="bottom"/>
            <w:tcBorders>
              <w:left w:val="single" w:sz="8" w:color="auto"/>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237"/>
        </w:trPr>
        <w:tc>
          <w:tcPr>
            <w:tcW w:w="1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T.C.A S.p.A</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ITALY</w:t>
            </w:r>
          </w:p>
        </w:tc>
        <w:tc>
          <w:tcPr>
            <w:tcW w:w="1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CID002580</w:t>
            </w:r>
          </w:p>
        </w:tc>
      </w:tr>
      <w:tr>
        <w:trPr>
          <w:trHeight w:val="27"/>
        </w:trPr>
        <w:tc>
          <w:tcPr>
            <w:tcW w:w="1400" w:type="dxa"/>
            <w:vAlign w:val="bottom"/>
            <w:tcBorders>
              <w:left w:val="single" w:sz="8" w:color="auto"/>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237"/>
        </w:trPr>
        <w:tc>
          <w:tcPr>
            <w:tcW w:w="1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Tanaka Kikinzoku Kogyo K.K.</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CID001875</w:t>
            </w:r>
          </w:p>
        </w:tc>
      </w:tr>
      <w:tr>
        <w:trPr>
          <w:trHeight w:val="27"/>
        </w:trPr>
        <w:tc>
          <w:tcPr>
            <w:tcW w:w="1400" w:type="dxa"/>
            <w:vAlign w:val="bottom"/>
            <w:tcBorders>
              <w:left w:val="single" w:sz="8" w:color="auto"/>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237"/>
        </w:trPr>
        <w:tc>
          <w:tcPr>
            <w:tcW w:w="1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 Refinery of Shandong Gold Mining Co., Ltd.</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CID001916</w:t>
            </w:r>
          </w:p>
        </w:tc>
      </w:tr>
      <w:tr>
        <w:trPr>
          <w:trHeight w:val="27"/>
        </w:trPr>
        <w:tc>
          <w:tcPr>
            <w:tcW w:w="1400" w:type="dxa"/>
            <w:vAlign w:val="bottom"/>
            <w:tcBorders>
              <w:left w:val="single" w:sz="8" w:color="auto"/>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237"/>
        </w:trPr>
        <w:tc>
          <w:tcPr>
            <w:tcW w:w="1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Tokuriki Honten Co., Ltd.</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CID001938</w:t>
            </w:r>
          </w:p>
        </w:tc>
      </w:tr>
      <w:tr>
        <w:trPr>
          <w:trHeight w:val="27"/>
        </w:trPr>
        <w:tc>
          <w:tcPr>
            <w:tcW w:w="1400" w:type="dxa"/>
            <w:vAlign w:val="bottom"/>
            <w:tcBorders>
              <w:left w:val="single" w:sz="8" w:color="auto"/>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237"/>
        </w:trPr>
        <w:tc>
          <w:tcPr>
            <w:tcW w:w="1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Tongling Nonferrous Metals Group Co., Ltd.</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CID001947</w:t>
            </w:r>
          </w:p>
        </w:tc>
      </w:tr>
      <w:tr>
        <w:trPr>
          <w:trHeight w:val="27"/>
        </w:trPr>
        <w:tc>
          <w:tcPr>
            <w:tcW w:w="1400" w:type="dxa"/>
            <w:vAlign w:val="bottom"/>
            <w:tcBorders>
              <w:left w:val="single" w:sz="8" w:color="auto"/>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TOO Tau-Ken-Altyn</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KAZAKHSTAN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CID002615</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Torecom</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KOREA, REPUBLIC OF</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CID001955</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Umicore Brasil Ltda.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BRAZIL</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CID001977</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Umicore Precious Metals Thailand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THAILAND</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CID002314</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Umicore S.A. Business Unit Precious Metals Refining</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BELGIUM</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CID001980</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Precious Metal Refining, Inc.</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8"/>
              </w:rPr>
              <w:t>UNITED STATES OF AMERICA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CID001993</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Universal Precious Metals Refining Zambia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ZAMBIA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CID002854</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Valcambi S.A.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SWITZERLAND</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CID002003</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Western Australian Mint (T/a The Perth Mint)</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AUSTRALIA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CID002030</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WIELAND Edelmetalle GmbH</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GERMANY</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CID002778</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Yamakin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CID002100</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Yokohama Metal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CID002129</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Yunnan Copper Industry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CID000197</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Zhongyuan Gold Smelter of Zhongjin Gold Corporation</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CID002224</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bl>
    <w:p>
      <w:pPr>
        <w:sectPr>
          <w:pgSz w:w="11900" w:h="16838" w:orient="portrait"/>
          <w:cols w:equalWidth="0" w:num="1">
            <w:col w:w="10520"/>
          </w:cols>
          <w:pgMar w:left="240" w:top="714" w:right="1139" w:bottom="1440" w:gutter="0" w:footer="0" w:header="0"/>
        </w:sectPr>
      </w:pPr>
    </w:p>
    <w:bookmarkStart w:id="14" w:name="page15"/>
    <w:bookmarkEnd w:id="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3820" w:type="dxa"/>
            <w:vAlign w:val="bottom"/>
          </w:tcPr>
          <w:p>
            <w:pPr>
              <w:ind w:left="1840"/>
              <w:spacing w:after="0"/>
              <w:rPr>
                <w:sz w:val="20"/>
                <w:szCs w:val="20"/>
                <w:color w:val="auto"/>
              </w:rPr>
            </w:pPr>
            <w:r>
              <w:rPr>
                <w:rFonts w:ascii="Arial" w:cs="Arial" w:eastAsia="Arial" w:hAnsi="Arial"/>
                <w:sz w:val="18"/>
                <w:szCs w:val="18"/>
                <w:b w:val="1"/>
                <w:bCs w:val="1"/>
                <w:color w:val="auto"/>
              </w:rPr>
              <w:t>Appendix 2</w:t>
            </w:r>
          </w:p>
        </w:tc>
      </w:tr>
      <w:tr>
        <w:trPr>
          <w:trHeight w:val="432"/>
        </w:trPr>
        <w:tc>
          <w:tcPr>
            <w:tcW w:w="3440" w:type="dxa"/>
            <w:vAlign w:val="bottom"/>
          </w:tcPr>
          <w:p>
            <w:pPr>
              <w:spacing w:after="0"/>
              <w:rPr>
                <w:sz w:val="20"/>
                <w:szCs w:val="20"/>
                <w:color w:val="auto"/>
              </w:rPr>
            </w:pPr>
            <w:r>
              <w:rPr>
                <w:rFonts w:ascii="Arial" w:cs="Arial" w:eastAsia="Arial" w:hAnsi="Arial"/>
                <w:sz w:val="18"/>
                <w:szCs w:val="18"/>
                <w:b w:val="1"/>
                <w:bCs w:val="1"/>
                <w:color w:val="auto"/>
              </w:rPr>
              <w:t>Countries of Origin*</w:t>
            </w:r>
          </w:p>
        </w:tc>
        <w:tc>
          <w:tcPr>
            <w:tcW w:w="3820" w:type="dxa"/>
            <w:vAlign w:val="bottom"/>
          </w:tcPr>
          <w:p>
            <w:pPr>
              <w:spacing w:after="0"/>
              <w:rPr>
                <w:sz w:val="24"/>
                <w:szCs w:val="24"/>
                <w:color w:val="auto"/>
              </w:rPr>
            </w:pPr>
          </w:p>
        </w:tc>
      </w:tr>
      <w:tr>
        <w:trPr>
          <w:trHeight w:val="419"/>
        </w:trPr>
        <w:tc>
          <w:tcPr>
            <w:tcW w:w="344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Argentina</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Laos</w:t>
            </w: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Australia</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Madagascar</w:t>
            </w: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Austria</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Malaysia</w:t>
            </w: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Benin</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Mali</w:t>
            </w: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Bolivia (Plurinational State of)</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Mexico</w:t>
            </w: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Brazil</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Mongolia</w:t>
            </w: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Burkina Faso</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Mozambique</w:t>
            </w: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Burundi</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Myanmar</w:t>
            </w: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Cambodia</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Namibia</w:t>
            </w: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Canada</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Nicaragua</w:t>
            </w: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Chile</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Nigeria</w:t>
            </w: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China</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Panama</w:t>
            </w: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Colombia</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Peru</w:t>
            </w: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Congo, Democratic Republic of the</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Portugal</w:t>
            </w: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Ecuador</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Eritrea</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Rwanda</w:t>
            </w: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Ethiopia</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Senegal</w:t>
            </w: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France</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Sierra Leone</w:t>
            </w: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Germany</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South Africa</w:t>
            </w: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Ghana</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Spain</w:t>
            </w: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Guatemala</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Thailand</w:t>
            </w: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Guinea</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Togo</w:t>
            </w: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Guyana</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Uganda</w:t>
            </w: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22"/>
        </w:trPr>
        <w:tc>
          <w:tcPr>
            <w:tcW w:w="3440" w:type="dxa"/>
            <w:vAlign w:val="bottom"/>
            <w:tcBorders>
              <w:left w:val="single" w:sz="8" w:color="auto"/>
              <w:right w:val="single" w:sz="8" w:color="auto"/>
            </w:tcBorders>
          </w:tcPr>
          <w:p>
            <w:pPr>
              <w:spacing w:after="0"/>
              <w:rPr>
                <w:sz w:val="19"/>
                <w:szCs w:val="19"/>
                <w:color w:val="auto"/>
              </w:rPr>
            </w:pP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Kingdom of Great Britain and Northern</w:t>
            </w:r>
          </w:p>
        </w:tc>
      </w:tr>
      <w:tr>
        <w:trPr>
          <w:trHeight w:val="230"/>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Honduras</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Ireland</w:t>
            </w: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India</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Indonesia</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Uzbekistan</w:t>
            </w: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Japan</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Viet Nam</w:t>
            </w: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Kazakhstan</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Zimbabwe</w:t>
            </w: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222222"/>
        </w:rPr>
        <w:t>*The information provided in this list is based on supplier declarations. However, Brady is many steps removed from the mines and smelters, there are many tiers of suppliers in our supply chain, and there is uncertainty as to whether ore from these countries would be present in our supply chain. Brady continues to work with our suppliers, and use publicly available information as well as commercially available services to take corrective actions as needed to further improve our due diligence as it relates to supply chain transparency.</w:t>
      </w:r>
    </w:p>
    <w:sectPr>
      <w:pgSz w:w="11900" w:h="16838" w:orient="portrait"/>
      <w:cols w:equalWidth="0" w:num="1">
        <w:col w:w="11360"/>
      </w:cols>
      <w:pgMar w:left="240" w:top="1229"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upperLetter"/>
      <w:start w:val="9"/>
    </w:lvl>
  </w:abstractNum>
  <w:abstractNum w:abstractNumId="2">
    <w:nsid w:val="3D1B58BA"/>
    <w:multiLevelType w:val="hybridMultilevel"/>
    <w:lvl w:ilvl="0">
      <w:lvlJc w:val="left"/>
      <w:lvlText w:val="%1."/>
      <w:numFmt w:val="upperLetter"/>
      <w:start w:val="35"/>
    </w:lvl>
  </w:abstractNum>
  <w:abstractNum w:abstractNumId="3">
    <w:nsid w:val="507ED7AB"/>
    <w:multiLevelType w:val="hybridMultilevel"/>
    <w:lvl w:ilvl="0">
      <w:lvlJc w:val="left"/>
      <w:lvlText w:val="%1."/>
      <w:numFmt w:val="upperLetter"/>
      <w:start w:val="61"/>
    </w:lvl>
  </w:abstractNum>
  <w:abstractNum w:abstractNumId="4">
    <w:nsid w:val="2EB141F2"/>
    <w:multiLevelType w:val="hybridMultilevel"/>
    <w:lvl w:ilvl="0">
      <w:lvlJc w:val="left"/>
      <w:lvlText w:val="•"/>
      <w:numFmt w:val="bullet"/>
      <w:start w:val="1"/>
    </w:lvl>
    <w:lvl w:ilvl="1">
      <w:lvlJc w:val="left"/>
      <w:lvlText w:val="§"/>
      <w:numFmt w:val="bullet"/>
      <w:start w:val="1"/>
    </w:lvl>
  </w:abstractNum>
  <w:abstractNum w:abstractNumId="5">
    <w:nsid w:val="41B71EFB"/>
    <w:multiLevelType w:val="hybridMultilevel"/>
    <w:lvl w:ilvl="0">
      <w:lvlJc w:val="left"/>
      <w:lvlText w:val="•"/>
      <w:numFmt w:val="bullet"/>
      <w:start w:val="1"/>
    </w:lvl>
    <w:lvl w:ilvl="1">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upperLetter"/>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2019-12-05T13:43:01Z</dcterms:created>
  <dcterms:modified xsi:type="dcterms:W3CDTF">2019-12-05T13:43:01Z</dcterms:modified>
</cp:coreProperties>
</file>