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March 3, 2015, there were 47,751,384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FF"/>
            </w:tcBorders>
            <w:gridSpan w:val="8"/>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Condensed Consolidated Balance Sheets</w:t>
            </w:r>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Statements of Earnings</w:t>
            </w:r>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Statements of Comprehensive Income</w:t>
            </w:r>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Item 2.</w:t>
              </w:r>
            </w:hyperlink>
          </w:p>
        </w:tc>
        <w:tc>
          <w:tcPr>
            <w:tcW w:w="9240" w:type="dxa"/>
            <w:vAlign w:val="bottom"/>
            <w:gridSpan w:val="14"/>
          </w:tcPr>
          <w:p>
            <w:pPr>
              <w:ind w:left="20"/>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3.</w:t>
              </w:r>
            </w:hyperlink>
          </w:p>
        </w:tc>
        <w:tc>
          <w:tcPr>
            <w:tcW w:w="6480" w:type="dxa"/>
            <w:vAlign w:val="bottom"/>
            <w:gridSpan w:val="13"/>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6.</w:t>
              </w:r>
            </w:hyperlink>
          </w:p>
        </w:tc>
        <w:tc>
          <w:tcPr>
            <w:tcW w:w="1340" w:type="dxa"/>
            <w:vAlign w:val="bottom"/>
            <w:gridSpan w:val="3"/>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January 31, 2015</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151,426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70,974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26,649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22,490</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113,275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49,542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41,543</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405,616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463,842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478,991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19,293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27,320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101,866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283,773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288,409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395,934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410,650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266,680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276,479</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129,254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134,171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11,850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61,422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88,099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32,535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38,064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32,935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35,319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201,465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291,945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159,296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65,652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69,348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489,895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520,589</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47,748,984 and 47,704,196 shares,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311,811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456,777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452,057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stock—3,512,503 and 3,477,291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(93,337)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64,156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645,560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733,076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291,194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592,868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598,724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144,425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148,658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304,503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298,341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138,203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300,383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107,565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111,426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216,846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224,159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11,163</w:t>
            </w:r>
          </w:p>
        </w:tc>
        <w:tc>
          <w:tcPr>
            <w:tcW w:w="0" w:type="dxa"/>
            <w:vAlign w:val="bottom"/>
          </w:tcPr>
          <w:p>
            <w:pPr>
              <w:spacing w:after="0"/>
              <w:rPr>
                <w:sz w:val="1"/>
                <w:szCs w:val="1"/>
                <w:color w:val="auto"/>
              </w:rPr>
            </w:pP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121,392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124,190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244,582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252,349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48,034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Other income and (expense):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(7,397)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41,654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13,002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28,652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Earnings (loss) from discontinued operations, net of income taxes</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11,701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40,353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w w:val="92"/>
              </w:rPr>
              <w:t>Earnings (loss) from discontinued operations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6"/>
              </w:rPr>
              <w:t>Earnings (loss) from discontinued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52,140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51,348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52,494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51,330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52,457</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70"/>
        </w:trPr>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40,353</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recognized in other comprehensive income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(71,120)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(46,816)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(105,817)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20,427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(4,365)</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623</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1,239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(83,745)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2,471</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(36,134)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(91,725)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Six months ended January 31,</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earnings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25,168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40,353</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20,066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22,342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4,377</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Loss on sale of business,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(8,754)</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(3,053)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(3,505)</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(7,263)</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(2,050)</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23,930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41,777</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(17,607)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Sale of business, net of cash retained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4,173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(17,518)</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Payment of dividends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(20,370)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10,894</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Proceeds from borrowing on credit facilities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47,818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3,187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Repayment of borrowing on credit facilities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Income tax on the exercise of stock options and deferred compensation distributions, and other</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(984)</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(37,273)</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(11,942)</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81,834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91,058</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7"/>
        </w:trPr>
        <w:tc>
          <w:tcPr>
            <w:tcW w:w="102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93,299</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79,116</w:t>
            </w:r>
          </w:p>
        </w:tc>
      </w:tr>
      <w:tr>
        <w:trPr>
          <w:trHeight w:val="73"/>
        </w:trPr>
        <w:tc>
          <w:tcPr>
            <w:tcW w:w="1020" w:type="dxa"/>
            <w:vAlign w:val="bottom"/>
            <w:tcBorders>
              <w:bottom w:val="single" w:sz="8" w:color="CCEEFF"/>
            </w:tcBorders>
          </w:tcPr>
          <w:p>
            <w:pPr>
              <w:spacing w:after="0"/>
              <w:rPr>
                <w:sz w:val="6"/>
                <w:szCs w:val="6"/>
                <w:color w:val="auto"/>
              </w:rPr>
            </w:pPr>
          </w:p>
        </w:tc>
        <w:tc>
          <w:tcPr>
            <w:tcW w:w="73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64"/>
        </w:trPr>
        <w:tc>
          <w:tcPr>
            <w:tcW w:w="1020" w:type="dxa"/>
            <w:vAlign w:val="bottom"/>
            <w:shd w:val="clear" w:color="auto" w:fill="CCEEFF"/>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bl>
    <w:p>
      <w:pPr>
        <w:spacing w:after="0" w:line="17" w:lineRule="exact"/>
        <w:rPr>
          <w:sz w:val="20"/>
          <w:szCs w:val="20"/>
          <w:color w:val="auto"/>
        </w:rPr>
      </w:pPr>
    </w:p>
    <w:p>
      <w:pPr>
        <w:sectPr>
          <w:pgSz w:w="11900" w:h="16838" w:orient="portrait"/>
          <w:cols w:equalWidth="0" w:num="1">
            <w:col w:w="11420"/>
          </w:cols>
          <w:pgMar w:left="240" w:top="114" w:right="239" w:bottom="1440" w:gutter="0" w:footer="0" w:header="0"/>
        </w:sectPr>
      </w:pPr>
    </w:p>
    <w:p>
      <w:pPr>
        <w:ind w:left="40"/>
        <w:spacing w:after="0"/>
        <w:rPr>
          <w:sz w:val="20"/>
          <w:szCs w:val="20"/>
          <w:color w:val="auto"/>
        </w:rPr>
      </w:pPr>
      <w:r>
        <w:rPr>
          <w:rFonts w:ascii="Arial" w:cs="Arial" w:eastAsia="Arial" w:hAnsi="Arial"/>
          <w:sz w:val="16"/>
          <w:szCs w:val="16"/>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paid during the period for: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taxes, net of refunds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6,146</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7,283</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15,727</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14,083</w:t>
            </w:r>
          </w:p>
        </w:tc>
      </w:tr>
    </w:tbl>
    <w:p>
      <w:pPr>
        <w:spacing w:after="0" w:line="573" w:lineRule="exact"/>
        <w:rPr>
          <w:sz w:val="20"/>
          <w:szCs w:val="20"/>
          <w:color w:val="auto"/>
        </w:rPr>
      </w:pPr>
    </w:p>
    <w:p>
      <w:pPr>
        <w:sectPr>
          <w:pgSz w:w="11900" w:h="16838" w:orient="portrait"/>
          <w:cols w:equalWidth="0" w:num="2">
            <w:col w:w="7640" w:space="720"/>
            <w:col w:w="3060"/>
          </w:cols>
          <w:pgMar w:left="240" w:top="114"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4"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2015 and July 31, 2014, its results of operations and comprehensive (loss) income for the three and six months ended January 31, 2015 and 2014, and cash flows for the six months ended January 31, 2015 and 2014. The consolidated balance sheet as of July 31, 2014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2014.</w:t>
      </w:r>
    </w:p>
    <w:p>
      <w:pPr>
        <w:spacing w:after="0" w:line="13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was divested on August 1, 2014. The assets and liabilities were reclassified in accordance with the authoritative literature on assets held for sale in the consolidated balance sheet as of July 31, 2014. The results of operations of the Company's Die-Cut business have been reported as discontinued operations within the condensed consolidated statements of earnings for the six months ended January 31, 2015 and for the three and six months ended January 31, 2014. In accordance with the authoritative literature, the Company has elected to not separately disclose the cash flows or other comprehensive income related to discontinued operations. Refer to Note J, "Discontinued Operations" for further discussion regarding the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six months ended January 31, 2015,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WPS</w:t>
            </w: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412,289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(22,177)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(13,836)</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(36,013)</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2015</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390,112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478,991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Goodwill at January 31, 2015 included $118,637 and $172,280 of accumulated impairment losses within the IDS and WPS segments, respectively, for a total of $290,917. There were no impairment charges recorded during the six months ended January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January 31, 2015</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11,769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(10,353)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1,416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11,656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(10,160)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138,218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(90,205)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48,013</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168,525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(114,363)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54,162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28,801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28,801</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30,229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202,688</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(121,162)</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81,526</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235,865</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(144,851)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91,014</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There were no impairment charges recorded during the six months ended January 31, 2015. The decrease in the gross carrying amount of other intangible assets as of January 31, 2015 compared to July 31, 2014 was due the effect of currency fluctuations during the six month period.</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 at January 31, 2015 differs from the value assigned to them in the original allocation of purchase price due to impairments and the effect of currency fluctuations between the date of acquisition and January 31, 2015.</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on intangible assets was $2,982 and $5,047 for the three months ended January 31, 2015 and 2014, respectively, and $6,351 and $10,124 for the six months ended January 31, 2015 and 2014, respectively. The amortization over each of the next five fiscal years is projected to be $11,747, $9,660, $7,391, $6,640 and $6,355 for the fiscal years ending July 31, 2015, 2016, 2017, 2018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 Income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comprehensive (loss) income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(loss)income, net of tax, for the six months ended January 31, 2015:</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Unrealized gain</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Foreign currency</w:t>
            </w:r>
          </w:p>
        </w:tc>
        <w:tc>
          <w:tcPr>
            <w:tcW w:w="1320" w:type="dxa"/>
            <w:vAlign w:val="bottom"/>
            <w:gridSpan w:val="2"/>
          </w:tcPr>
          <w:p>
            <w:pPr>
              <w:ind w:left="40"/>
              <w:spacing w:after="0"/>
              <w:rPr>
                <w:sz w:val="20"/>
                <w:szCs w:val="20"/>
                <w:color w:val="auto"/>
              </w:rPr>
            </w:pPr>
            <w:r>
              <w:rPr>
                <w:rFonts w:ascii="Arial" w:cs="Arial" w:eastAsia="Arial" w:hAnsi="Arial"/>
                <w:sz w:val="16"/>
                <w:szCs w:val="16"/>
                <w:color w:val="auto"/>
                <w:w w:val="94"/>
              </w:rPr>
              <w:t>Accumulated other</w:t>
            </w:r>
          </w:p>
        </w:tc>
      </w:tr>
      <w:tr>
        <w:trPr>
          <w:trHeight w:val="203"/>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on cash flow</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translation</w:t>
            </w:r>
          </w:p>
        </w:tc>
        <w:tc>
          <w:tcPr>
            <w:tcW w:w="1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w w:val="92"/>
              </w:rPr>
              <w:t>comprehensive</w:t>
            </w:r>
          </w:p>
        </w:tc>
      </w:tr>
      <w:tr>
        <w:trPr>
          <w:trHeight w:val="206"/>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hedges</w:t>
            </w:r>
          </w:p>
        </w:tc>
        <w:tc>
          <w:tcPr>
            <w:tcW w:w="30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plans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adjustments</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8"/>
              </w:rPr>
              <w:t>(loss) income</w:t>
            </w:r>
          </w:p>
        </w:tc>
      </w:tr>
      <w:tr>
        <w:trPr>
          <w:trHeight w:val="33"/>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64,156</w:t>
            </w:r>
          </w:p>
        </w:tc>
      </w:tr>
      <w:tr>
        <w:trPr>
          <w:trHeight w:val="220"/>
        </w:trPr>
        <w:tc>
          <w:tcPr>
            <w:tcW w:w="3760" w:type="dxa"/>
            <w:vAlign w:val="bottom"/>
          </w:tcPr>
          <w:p>
            <w:pPr>
              <w:ind w:left="40"/>
              <w:spacing w:after="0"/>
              <w:rPr>
                <w:sz w:val="20"/>
                <w:szCs w:val="20"/>
                <w:color w:val="auto"/>
              </w:rPr>
            </w:pPr>
            <w:r>
              <w:rPr>
                <w:rFonts w:ascii="Arial" w:cs="Arial" w:eastAsia="Arial" w:hAnsi="Arial"/>
                <w:sz w:val="16"/>
                <w:szCs w:val="16"/>
                <w:color w:val="auto"/>
              </w:rPr>
              <w:t>Other comprehensive (loss) income before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760" w:type="dxa"/>
            <w:vAlign w:val="bottom"/>
          </w:tcPr>
          <w:p>
            <w:pPr>
              <w:ind w:left="40"/>
              <w:spacing w:after="0"/>
              <w:rPr>
                <w:sz w:val="20"/>
                <w:szCs w:val="20"/>
                <w:color w:val="auto"/>
              </w:rPr>
            </w:pPr>
            <w:r>
              <w:rPr>
                <w:rFonts w:ascii="Arial" w:cs="Arial" w:eastAsia="Arial" w:hAnsi="Arial"/>
                <w:sz w:val="16"/>
                <w:szCs w:val="16"/>
                <w:color w:val="auto"/>
              </w:rPr>
              <w:t>reclassification</w:t>
            </w:r>
          </w:p>
        </w:tc>
        <w:tc>
          <w:tcPr>
            <w:tcW w:w="1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1,218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(57,598)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(56,380)</w:t>
            </w:r>
          </w:p>
        </w:tc>
      </w:tr>
      <w:tr>
        <w:trPr>
          <w:trHeight w:val="33"/>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(35,345)</w:t>
            </w:r>
          </w:p>
        </w:tc>
      </w:tr>
      <w:tr>
        <w:trPr>
          <w:trHeight w:val="244"/>
        </w:trPr>
        <w:tc>
          <w:tcPr>
            <w:tcW w:w="3760" w:type="dxa"/>
            <w:vAlign w:val="bottom"/>
          </w:tcPr>
          <w:p>
            <w:pPr>
              <w:ind w:left="40"/>
              <w:spacing w:after="0"/>
              <w:rPr>
                <w:sz w:val="20"/>
                <w:szCs w:val="20"/>
                <w:color w:val="auto"/>
              </w:rPr>
            </w:pPr>
            <w:r>
              <w:rPr>
                <w:rFonts w:ascii="Arial" w:cs="Arial" w:eastAsia="Arial" w:hAnsi="Arial"/>
                <w:sz w:val="16"/>
                <w:szCs w:val="16"/>
                <w:color w:val="auto"/>
              </w:rPr>
              <w:t>Ending balance, January 31,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4,264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(32,981)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(27,569)</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decrease in accumulated other comprehensive (loss) income ("AOCI") as of January 31, 2015 compared to July 31, 2014 was primarily due the appreciation of the U.S. dollar against other currencies during the six month period. The decrease was also attributable to the accumulated foreign currency translation gains in the China Die-Cut businesses, which were reclassified into net earnings upon the completion of the second phase of the Die-Cut divestiture during the three months ended October 31, 2014. The foreign currency translation adjustments column in the table above includes the impact of foreign currency translation, foreign currency translation on intercompany notes, and the settlements of net investment hedges, net of tax. Of the total $35,345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amounts reclassified from accumulated other comprehensive income, the $34,697 gain was reclassified to the net loss on the sale of the Die-Cut business, the $58 gain on cash flow hedges was reclassified into cost of products sold, and the $590 gain on post-retirement plans was reclassified into SG&amp;A on the condensed consolidated statement of earnings for the six months ended January 31, 2015.</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income by component, net of tax, for the six months ended January 31, 2014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Foreign</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95"/>
              </w:rPr>
              <w:t>Accumulated</w:t>
            </w:r>
          </w:p>
        </w:tc>
      </w:tr>
      <w:tr>
        <w:trPr>
          <w:trHeight w:val="203"/>
        </w:trPr>
        <w:tc>
          <w:tcPr>
            <w:tcW w:w="442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color w:val="auto"/>
              </w:rPr>
              <w:t>Unrealized gain</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Unamortized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currency</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87"/>
              </w:rPr>
              <w:t>other</w:t>
            </w:r>
          </w:p>
        </w:tc>
      </w:tr>
      <w:tr>
        <w:trPr>
          <w:trHeight w:val="203"/>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on cash flow</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gain on post-</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translation</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0"/>
              </w:rPr>
              <w:t>comprehensive</w:t>
            </w:r>
          </w:p>
        </w:tc>
      </w:tr>
      <w:tr>
        <w:trPr>
          <w:trHeight w:val="206"/>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hedges</w:t>
            </w:r>
          </w:p>
        </w:tc>
        <w:tc>
          <w:tcPr>
            <w:tcW w:w="1240" w:type="dxa"/>
            <w:vAlign w:val="bottom"/>
            <w:gridSpan w:val="3"/>
          </w:tcPr>
          <w:p>
            <w:pPr>
              <w:ind w:left="40"/>
              <w:spacing w:after="0"/>
              <w:rPr>
                <w:sz w:val="20"/>
                <w:szCs w:val="20"/>
                <w:color w:val="auto"/>
              </w:rPr>
            </w:pPr>
            <w:r>
              <w:rPr>
                <w:rFonts w:ascii="Arial" w:cs="Arial" w:eastAsia="Arial" w:hAnsi="Arial"/>
                <w:sz w:val="16"/>
                <w:szCs w:val="16"/>
                <w:color w:val="auto"/>
              </w:rPr>
              <w:t>retirement plans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adjustments</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92"/>
              </w:rPr>
              <w:t>income (loss)</w:t>
            </w:r>
          </w:p>
        </w:tc>
      </w:tr>
      <w:tr>
        <w:trPr>
          <w:trHeight w:val="33"/>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r>
      <w:tr>
        <w:trPr>
          <w:trHeight w:val="237"/>
        </w:trPr>
        <w:tc>
          <w:tcPr>
            <w:tcW w:w="44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33"/>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color w:val="auto"/>
              </w:rPr>
              <w:t>Ending balance, January 31, 2014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52,630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54,427</w:t>
            </w: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accumulated other comprehensive income for the six months ended January 31, 2014 compared to July 31, 2013 was primarily due to the appreciation of the U.S. dollar against other currencies. Of the total $291 in amounts reclassified from accumulated other comprehensive income, the $57 gain on cash flow hedges was reclassified into cost of products sold and the $234 gain on post-retirement plans was reclassified into SG&amp;A on the condensed consolidated statement of earnings for the six months ended January 31, 2014.</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income tax (expense) benefit on the components of other comprehensive income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2015 and 2014: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January 31,</w:t>
            </w:r>
          </w:p>
        </w:tc>
        <w:tc>
          <w:tcPr>
            <w:tcW w:w="160" w:type="dxa"/>
            <w:vAlign w:val="bottom"/>
          </w:tcPr>
          <w:p>
            <w:pPr>
              <w:spacing w:after="0"/>
              <w:rPr>
                <w:sz w:val="18"/>
                <w:szCs w:val="18"/>
                <w:color w:val="auto"/>
              </w:rPr>
            </w:pPr>
          </w:p>
        </w:tc>
        <w:tc>
          <w:tcPr>
            <w:tcW w:w="23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Six months ended January 31,</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(4,788)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(7,967)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7"/>
              </w:rPr>
              <w:t>Other income tax adjustments and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0"/>
        </w:trPr>
        <w:tc>
          <w:tcPr>
            <w:tcW w:w="4100" w:type="dxa"/>
            <w:vAlign w:val="bottom"/>
          </w:tcPr>
          <w:p>
            <w:pPr>
              <w:ind w:left="40"/>
              <w:spacing w:after="0"/>
              <w:rPr>
                <w:sz w:val="20"/>
                <w:szCs w:val="20"/>
                <w:color w:val="auto"/>
              </w:rPr>
            </w:pPr>
            <w:r>
              <w:rPr>
                <w:rFonts w:ascii="Arial" w:cs="Arial" w:eastAsia="Arial" w:hAnsi="Arial"/>
                <w:sz w:val="16"/>
                <w:szCs w:val="16"/>
                <w:color w:val="auto"/>
              </w:rPr>
              <w:t>Income tax (expense) benefit related to items of other</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(4,654)</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(7,980)</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24"/>
        </w:trPr>
        <w:tc>
          <w:tcPr>
            <w:tcW w:w="41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11,584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10,517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27,083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28,652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Restricted stock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Numerator for basic and diluted earnings from continuing operations</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11,584</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10,501</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27,083</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28,591</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per Class A Nonvoting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Numerator for basic and diluted earnings from continuing operations</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11,584</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10,501</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26,288</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27,772</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per Class B 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Denominator for basic earnings from continuing operations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51,272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52,140</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Denominator for diluted earnings from continuing operations per share</w:t>
            </w:r>
          </w:p>
        </w:tc>
        <w:tc>
          <w:tcPr>
            <w:tcW w:w="9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51,348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52,494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51,330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52,457</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0.53</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0.53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0.55</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Earnings from continuing operations per Class B 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0.51</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0.53</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0.51</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r>
      <w:tr>
        <w:trPr>
          <w:trHeight w:val="220"/>
        </w:trPr>
        <w:tc>
          <w:tcPr>
            <w:tcW w:w="502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A Nonvoting</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5020" w:type="dxa"/>
            <w:vAlign w:val="bottom"/>
          </w:tcPr>
          <w:p>
            <w:pPr>
              <w:ind w:left="40"/>
              <w:spacing w:after="0"/>
              <w:rPr>
                <w:sz w:val="20"/>
                <w:szCs w:val="20"/>
                <w:color w:val="auto"/>
              </w:rPr>
            </w:pPr>
            <w:r>
              <w:rPr>
                <w:rFonts w:ascii="Arial" w:cs="Arial" w:eastAsia="Arial" w:hAnsi="Arial"/>
                <w:sz w:val="16"/>
                <w:szCs w:val="16"/>
                <w:color w:val="auto"/>
              </w:rPr>
              <w:t>Common Share:</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0.22</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(Loss) earnings from discontinued operations per Class B Voting Common</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7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0.23</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0.31</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0.49</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0.31</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0.49</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0.77</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0.31</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0.48</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0.76</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50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0.31</w:t>
            </w:r>
          </w:p>
        </w:tc>
        <w:tc>
          <w:tcPr>
            <w:tcW w:w="6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0.47</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0.75</w:t>
            </w:r>
          </w:p>
        </w:tc>
      </w:tr>
      <w:tr>
        <w:trPr>
          <w:trHeight w:val="33"/>
        </w:trPr>
        <w:tc>
          <w:tcPr>
            <w:tcW w:w="5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approximately 3,860,000 and 2,537,000 shares of Class A Nonvoting Common Stock for the three months ended January 31, 2015 and 2014, respectively, and 3,878,000 and 2,521,000 shares for the six months ended January 31, 2015 and 2014, respectively, were not included in the computation of diluted net earnings or loss per share because the option exercise price was greater than the average market price of the common shares and, therefore, the effect would have been anti-dilutive.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two business platforms: Identification Solutions and Workplace Safety, which are the reportable segments.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pacing w:after="0" w:line="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Each business platform has a President (or acting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3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and six months ended January 31, 2015 and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540" w:type="dxa"/>
            <w:vAlign w:val="bottom"/>
            <w:gridSpan w:val="6"/>
          </w:tcPr>
          <w:p>
            <w:pPr>
              <w:ind w:left="100"/>
              <w:spacing w:after="0"/>
              <w:rPr>
                <w:sz w:val="20"/>
                <w:szCs w:val="20"/>
                <w:color w:val="auto"/>
              </w:rPr>
            </w:pPr>
            <w:r>
              <w:rPr>
                <w:rFonts w:ascii="Arial" w:cs="Arial" w:eastAsia="Arial" w:hAnsi="Arial"/>
                <w:sz w:val="16"/>
                <w:szCs w:val="16"/>
                <w:b w:val="1"/>
                <w:bCs w:val="1"/>
                <w:color w:val="auto"/>
                <w:w w:val="96"/>
              </w:rPr>
              <w:t>Three months ended January 31,</w:t>
            </w:r>
          </w:p>
        </w:tc>
        <w:tc>
          <w:tcPr>
            <w:tcW w:w="140" w:type="dxa"/>
            <w:vAlign w:val="bottom"/>
          </w:tcPr>
          <w:p>
            <w:pPr>
              <w:spacing w:after="0"/>
              <w:rPr>
                <w:sz w:val="18"/>
                <w:szCs w:val="18"/>
                <w:color w:val="auto"/>
              </w:rPr>
            </w:pPr>
          </w:p>
        </w:tc>
        <w:tc>
          <w:tcPr>
            <w:tcW w:w="23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4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192,065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194,732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404,162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404,278</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194,446</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282,628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291,194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592,868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598,724</w:t>
            </w:r>
          </w:p>
        </w:tc>
      </w:tr>
      <w:tr>
        <w:trPr>
          <w:trHeight w:val="73"/>
        </w:trPr>
        <w:tc>
          <w:tcPr>
            <w:tcW w:w="42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35,719</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37,526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79,186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88,493</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33,042</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48,495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52,194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107,501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121,535</w:t>
            </w: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from continuing operations before income taxes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2015 and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121,535</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(62,338)</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(11,163)</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(7,397)</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41,654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 awards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Restricted shares and RSUs issued under the plan have an issuance price equal to the fair market value of the underlying stock at the date of grant. The RSUs granted under the plan generally vest over a three-year service period, with one-third becoming exercisable one year after the grant date and one-third additional in each of the succeeding two years. The Company also grants restricted shares and RSUs to certain executives and key management employees that vest upon meeting certain financial performance conditions.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January 31, 2015, the Company has reserved 4,023,697 shares of Class A Nonvoting Common Stock for outstanding stock options, RSUs, and restricted and unrestricted shares and 3,398,921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1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January 31, 2015 and 2014, was $1,152 ($714 net of taxes) and $1,777 ($1,102 net of taxes), respectively. Expense recognized during the six months ended January 31, 2015 and 2014, was $2,471 ($1,532 net of taxes) and $4,377 ($2,714 net of taxes), respectively.</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January 31, 2015, total unrecognized compensation cost related to stock-based compensation awards was $10,511 pre-tax, net of estimated forfeitures, which the Company expects to recognize over a weighted-average period of 2.6 years.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estimated the fair value of its service-based option awards granted during the six months ended January 31, 2015 and 2014, using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valuation model. The weighted-average assumptions used in the Black-Scholes valuation model are reflected in the following table: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736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2014</w:t>
            </w:r>
          </w:p>
        </w:tc>
      </w:tr>
      <w:tr>
        <w:trPr>
          <w:trHeight w:val="33"/>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5.97</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30.98</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22.70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30.98</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w:t>
            </w:r>
          </w:p>
        </w:tc>
      </w:tr>
      <w:tr>
        <w:trPr>
          <w:trHeight w:val="33"/>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six months ended January 31, 2015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4,204,260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618,733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(1,048,929)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31.04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3,737,731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3,108,904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January 31, 2015</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3,131,418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1,005,722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There were 3,131,418 and 3,274,218 options exercisable with a weighted average exercise price of $30.97 and $31.14 at January 31, 2015 and 2014, respectively. The cash received from the exercise of options during the three months ended January 31, 2015 and 2014 was $756 and $5,685, respectively. The cash received from the exercise of options during the six months ended January 31, 2015 and 2014 was $847 and $10,894, respectively. The tax benefit on options exercised during the three months ended January 31, 2015 and 2014 was $41 and $316, respectively. The tax benefit on options exercised during the six months ended January 31, 2015 and 2014 was $44 and $788, respectively.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six months ended January 31, 2015 and 2014, based upon the average market price at the time of exercise during the period, was $115 and $2,020, respectively. The total fair value of stock options vested during the six months ended January 31, 2015 and 2014, was $3,841 and $6,338,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RSU and restricted share activity under the Company's share-based compensation plans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2015:</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 and Restricted Shares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239,997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23.57</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(24,641)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line="20" w:lineRule="exact"/>
              <w:rPr>
                <w:sz w:val="1"/>
                <w:szCs w:val="1"/>
                <w:color w:val="auto"/>
              </w:rPr>
            </w:pPr>
          </w:p>
        </w:tc>
      </w:tr>
      <w:tr>
        <w:trPr>
          <w:trHeight w:val="486"/>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 and Restricted Shares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January 31, 2015 and July 31, 2014,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January 31, 2015</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14,920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14,920</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14,920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16,791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2014</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16,128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I,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or six months ended January 31, 2015 and 2014. In addition, the Company had no significant measurements of assets or liabilities at fair value on a nonrecurring basis subsequent to their initial recognition during the three and six months ended January 31, 2015.</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2014, goodwill with a carrying amount of $193,689 in the PeopleID reporting unit was written down to its estimated implied fair value of $93,277, resulting in a non-cash impairment charge of $100,412.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the result was the implied fair value of goodwill of $93,277, which represented a Level 3 asset measured at fair value on a nonrecurring basis subsequent to its original recognition.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PeopleID reporting unit had intangible assets consisting of tradenames and customer relationships, which were valued using the income approach as part of the goodwill impairment valuation described above. The valuation was based upon current sales projections and profitability for each asset group, and the relief from royalty method was applied. As a result of the analysis, a definite-lived customer relationship with a carrying amount of $88,803 was written down to its estimated fair value of $44,600. In addition, indefinite-lived tradenames and other definite-lived customer relationships with a carrying amount of $5,384 were written down to their estimated fair value of $1,448. These represented Level 3 assets measured at fair value on a nonrecurring basis subsequent to their original recognition, which resulted in a total non-cash impairment charge of $48,139 within the IDS segment.</w:t>
      </w:r>
    </w:p>
    <w:p>
      <w:pPr>
        <w:spacing w:after="0" w:line="27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was$278,364 and $216,280 at January 31, 2015 and July 31, 2014, respectively, as compared to the carrying value of $265,292 and $201,810 at January 31, 2015 and July 31,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H — Restructuring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to enhance customer service, improve efficiency of operations and reduce operating expenses. Facility consolidation activities extended into fiscal 2015.</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this plan, the Company incurred restructuring charges of $4,879 and $9,157 during the three and six months ended January 31, 2015, respectively. The three month restructuring charges of $4,879 consisted of $1,905 of employee separation costs, $700 of fixed asset write-offs, $2,078 of facility closure related costs, and $196 of contract termination costs. Of the $4,879 of restructuring charges, $3,922 was incurred within IDS and $957 within WPS.</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restructuring charges of $9,157 for the six months ended January 31, 2015 consisted of $4,492 of employee separation costs, $900 of fixed asset write-offs, $3,027 of facility closure related costs, and $738 of contract termination costs. Of the $9,157 of restructuring charges, $6,309 was incurred within IDS and $2,848 within WPS.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fiscal 2013, the Company implemented a restructuring plan to reduce its global workforce to address its cost structure. The Company incurred restructuring charges of $4,324 and $11,163 during the three and six months ended January 31, 2014. The three month restructuring charges related to the fiscal 2014 facility consolidation plan and consisted of $1,274 of employee separation costs, $97 of fixed asset write-offs, $2,335 of facility closure related costs, and $618 of contract termination costs. Of the $4,324 of restructuring charges, $2,458 was incurred within IDS and $1,866 within WPS.</w:t>
      </w:r>
    </w:p>
    <w:p>
      <w:pPr>
        <w:spacing w:after="0" w:line="19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restructuring charges of $11,163 for the six months ended January 31, 2014 related to the fiscal 2013 and fiscal 2014 restructuring plans and consisted of $7,765 of employee separation costs, $97 of fixed asset write-offs, $2,683 of facility closure related costs, and $618 of contract termination costs. Of the $11,163 of restructuring charges, $6,434 was incurred within IDS and $4,729 within WPS.</w:t>
      </w:r>
    </w:p>
    <w:p>
      <w:pPr>
        <w:spacing w:after="0" w:line="2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charges for employee separation costs consisted of severance pay, outplacement services, medical and other benefits. The costs related to these restructuring activities were recorded on the condensed consolidated statements of earnings as restructuring charges. The Company expects the majority of the remaining cash payments to be made during the next twelve months.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Employee</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Asset Write-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Related</w:t>
            </w:r>
          </w:p>
        </w:tc>
        <w:tc>
          <w:tcPr>
            <w:tcW w:w="24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offs</w:t>
            </w:r>
          </w:p>
        </w:tc>
        <w:tc>
          <w:tcPr>
            <w:tcW w:w="22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6"/>
                <w:szCs w:val="16"/>
                <w:color w:val="auto"/>
              </w:rPr>
              <w:t>Restructuring charges in continuing operations</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9,157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in discontinued operations</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6"/>
                <w:szCs w:val="16"/>
                <w:color w:val="auto"/>
              </w:rPr>
              <w:t>Non-cash write-offs</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payments</w:t>
            </w:r>
          </w:p>
        </w:tc>
        <w:tc>
          <w:tcPr>
            <w:tcW w:w="2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Ending balance, January 31, 2015</w:t>
            </w:r>
          </w:p>
        </w:tc>
        <w:tc>
          <w:tcPr>
            <w:tcW w:w="2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vMerge w:val="restart"/>
          </w:tcPr>
          <w:p>
            <w:pPr>
              <w:jc w:val="right"/>
              <w:ind w:right="107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I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2015 and July 31, 2014, the notional amount of outstanding forward exchange contracts was $67,996 and $104,000,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January 31, 2015 and 2014, unrealized gains of $1,724 and $258 have been included in OCI, respectively. Balances are reclassified from OCI to earnings during the next twelve months when the hedged transactions impact earnings. For the three months ended January 31, 2015 and 2014, the Company reclassified gains of $116 and $2 from OCI into earnings, respectively. For the six months ended January 31, 2015 and 2014, the Company reclassified gains of $95 and $92 from OCI into earnings. At January 31, 2015, the U.S. dollar equivalent of these outstanding forward foreign exchange contracts totaled $11,088, including contracts to sell Euros, Canadian Dollars, Australian Dollars, and U.S. Dollars.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January 31, 2015,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OCI. Recognition in earnings of amounts previously recorded in cumulative translation is limited to circumstances such as complete or substantially complete liquidation of the net investment in the hedged foreign operation. At January 31, 2015 and July 31, 2014, the U.S dollar equivalent of these outstanding forward foreign exchange contracts totaled $3,500 and $5,300, respectively. As of January 31, 2015 and 2014, the Company recognized OCI losses of $53 and $280, respectively, on its outstanding net investment hedges.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six months ended January 31, 2015, the Company recognized losses of $1,173 and $2,050 respectively, in “Investment and other income” on the condensed consolidated statements of earnings related to non-designated hedges. For the three and six months ended January 31, 2014, the Company recognized losses of $26 and gains of $1,421,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2300" w:type="dxa"/>
            <w:vAlign w:val="bottom"/>
            <w:tcBorders>
              <w:bottom w:val="single" w:sz="8" w:color="auto"/>
            </w:tcBorders>
            <w:gridSpan w:val="4"/>
            <w:shd w:val="clear" w:color="auto" w:fill="CCEEFF"/>
          </w:tcPr>
          <w:p>
            <w:pPr>
              <w:ind w:left="620"/>
              <w:spacing w:after="0"/>
              <w:rPr>
                <w:sz w:val="20"/>
                <w:szCs w:val="20"/>
                <w:color w:val="auto"/>
              </w:rPr>
            </w:pPr>
            <w:r>
              <w:rPr>
                <w:rFonts w:ascii="Arial" w:cs="Arial" w:eastAsia="Arial" w:hAnsi="Arial"/>
                <w:sz w:val="14"/>
                <w:szCs w:val="14"/>
                <w:b w:val="1"/>
                <w:bCs w:val="1"/>
                <w:color w:val="auto"/>
              </w:rPr>
              <w:t>January 31, 2015</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2014</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January 31, 2015</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2014</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122,609</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100,410</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122,609</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100,424</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J — Discontinued Operations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The operating results have been reported as discontinued operations for the three and six month comparative periods ended January 31, 2015 and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operating results of discontinued operations for the three and six months ended January 31, 2015 and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46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3"/>
              </w:rPr>
              <w:t>Three months ended January 31,</w:t>
            </w:r>
          </w:p>
        </w:tc>
        <w:tc>
          <w:tcPr>
            <w:tcW w:w="220" w:type="dxa"/>
            <w:vAlign w:val="bottom"/>
          </w:tcPr>
          <w:p>
            <w:pPr>
              <w:spacing w:after="0"/>
              <w:rPr>
                <w:sz w:val="18"/>
                <w:szCs w:val="18"/>
                <w:color w:val="auto"/>
              </w:rPr>
            </w:pPr>
          </w:p>
        </w:tc>
        <w:tc>
          <w:tcPr>
            <w:tcW w:w="23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115,616</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w w:val="99"/>
              </w:rPr>
              <w:t>Earnings (loss) from operations of discontinued businesses</w:t>
            </w:r>
          </w:p>
        </w:tc>
        <w:tc>
          <w:tcPr>
            <w:tcW w:w="84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4,432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(1,201)</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12,761</w:t>
            </w:r>
          </w:p>
        </w:tc>
      </w:tr>
      <w:tr>
        <w:trPr>
          <w:trHeight w:val="33"/>
        </w:trPr>
        <w:tc>
          <w:tcPr>
            <w:tcW w:w="4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84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(487)</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20" w:type="dxa"/>
            <w:vAlign w:val="bottom"/>
          </w:tcPr>
          <w:p>
            <w:pPr>
              <w:ind w:left="40"/>
              <w:spacing w:after="0"/>
              <w:rPr>
                <w:sz w:val="20"/>
                <w:szCs w:val="20"/>
                <w:color w:val="auto"/>
              </w:rPr>
            </w:pPr>
            <w:r>
              <w:rPr>
                <w:rFonts w:ascii="Arial" w:cs="Arial" w:eastAsia="Arial" w:hAnsi="Arial"/>
                <w:sz w:val="16"/>
                <w:szCs w:val="16"/>
                <w:color w:val="auto"/>
                <w:w w:val="92"/>
              </w:rPr>
              <w:t>Earnings (loss) from discontinued operations, net of income tax</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5,907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11,701</w:t>
            </w:r>
          </w:p>
        </w:tc>
      </w:tr>
      <w:tr>
        <w:trPr>
          <w:trHeight w:val="20"/>
        </w:trPr>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January 31, 2015. In accordance with authoritative literature, accumulated other comprehensive income of $34,697 was reclassified to the statement of earnings upon the closing of the second phase of the Die-Cut divestiture during the six months ended January 31,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K — New Accounting Pronouncements</w:t>
      </w:r>
    </w:p>
    <w:p>
      <w:pPr>
        <w:spacing w:after="0" w:line="3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2014, the Financial Accounting Standards Board ("FASB") issued new guidance on the required disclosures related to an entity’s ability to continue as a going concern. The guidance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This guidance is effective for annual periods ending after December 15, 2016, and for each annual and interim period thereafter with early adoption permitted. The Company does not believe the adoption of this guidance will have a material impact on the condensed consolidated financial statements.</w:t>
      </w:r>
    </w:p>
    <w:p>
      <w:pPr>
        <w:spacing w:after="0" w:line="30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June 2014, the FASB issued new guidance on certain share-based payment awards, which clarifies the treatment of performance targets that can be met after the requisite service period of a share-based payment award. Under the new guidance, an entity should treat these performance targets as conditions that affect vesting. This guidance is effective for interim and annual periods beginning after December 15, 2015 with early adoption permitted. The Company does not believe the adoption of this guidance will have a material impact on the condensed consolidated financial statements.</w:t>
      </w:r>
    </w:p>
    <w:p>
      <w:pPr>
        <w:spacing w:after="0" w:line="28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May 2014, the FASB issued ASU 2014-09, "Revenue from Contracts with Customers," which eliminates the transaction-and industry-specific revenue recognition guidance under current GAAP and replaces it with a principle-based approach for determining revenue recognition. The accounting standard update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 The guidance is effective for fiscal and interim periods beginning after December 15, 2016. The Company is currently evaluating the impact of this update on its consolidated financial statements.</w:t>
      </w:r>
    </w:p>
    <w:p>
      <w:pPr>
        <w:spacing w:after="0" w:line="1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which includes amendments that change the requirements for reporting discontinued operations and requires additional disclosures about discontinued operations. Under the new guidance,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expenses and cash flows of discontinued operations. The guidance is effective for fiscal and interim periods beginning after December 15, 2014. The adoption of this update will not have a material impact on the financial statements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February 18, 2015, the Board of Directors declared a quarterly cash dividend to shareholders of the Company’s Class A and Class B Common Stock of $0.20 per share payable on April 30, 2015, to shareholders of record at the close of business on April 10,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two years, the Company made significant portfolio and management decisions designed to better position the Company for growth in the future. These changes were a meaningful shift from the more volatile and less profitable consumer electronics Die-Cut business, which was partially divested in fiscal 2014 and completed in the first quarter of fiscal 2015, to an expansion of our core Identification Solutions (“ID Solutions" or "IDS”) business to focus on markets with long-term growth trends. In our Workplace Safety ("WPS") business, our strategy to return to growth includes a focus on workplace safety critical industries in addition to increased investment in e-commerce expertise.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Part I, Item 1, "Business," of the Company’s fiscal 2014 Form 10-K for additional information regarding fiscal 2014 activities impacting the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these changes in place, the Company is targeting the following key initiatives in fiscal 2015:</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Driving operational excellence and providing the Company's customers with innovative products and the highest level of customer service.</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R&amp;D to identify emerging technology opportunities that align with the Company's target markets and enhancing our innovation development process.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the Company's business primarily through focused sales and marketing efforts in selected vertical markets and an increased focus on strategic accounts.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the direct-marketing model in the WPS business by increasing its offering of identification and workplace safety products with a heightened focus on proprietary and customized product offerings and an increased emphasis on e-commerce.</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Completing the consolidation of selected manufacturing facilities in the Americas and Europe to reduce the Company's cost structure and build a more efficient global footprint.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six months ended January 31, 2015 and 2014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9"/>
          </w:tcPr>
          <w:p>
            <w:pPr>
              <w:jc w:val="center"/>
              <w:ind w:right="140"/>
              <w:spacing w:after="0"/>
              <w:rPr>
                <w:sz w:val="20"/>
                <w:szCs w:val="20"/>
                <w:color w:val="auto"/>
              </w:rPr>
            </w:pPr>
            <w:r>
              <w:rPr>
                <w:rFonts w:ascii="Arial" w:cs="Arial" w:eastAsia="Arial" w:hAnsi="Arial"/>
                <w:sz w:val="16"/>
                <w:szCs w:val="16"/>
                <w:b w:val="1"/>
                <w:bCs w:val="1"/>
                <w:color w:val="auto"/>
                <w:w w:val="91"/>
              </w:rPr>
              <w:t>Three months ended January 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w w:val="90"/>
              </w:rPr>
              <w:t>Six months ended January 31,</w:t>
            </w:r>
          </w:p>
        </w:tc>
        <w:tc>
          <w:tcPr>
            <w:tcW w:w="540" w:type="dxa"/>
            <w:vAlign w:val="bottom"/>
          </w:tcPr>
          <w:p>
            <w:pPr>
              <w:spacing w:after="0"/>
              <w:rPr>
                <w:sz w:val="18"/>
                <w:szCs w:val="18"/>
                <w:color w:val="auto"/>
              </w:rPr>
            </w:pPr>
          </w:p>
        </w:tc>
      </w:tr>
      <w:tr>
        <w:trPr>
          <w:trHeight w:val="33"/>
        </w:trPr>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r>
      <w:tr>
        <w:trPr>
          <w:trHeight w:val="210"/>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w w:val="93"/>
              </w:rPr>
              <w:t>(Dollars in thousands)</w:t>
            </w:r>
          </w:p>
        </w:tc>
        <w:tc>
          <w:tcPr>
            <w:tcW w:w="16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Sales</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Sales</w:t>
            </w: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Sales</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Sales</w:t>
            </w:r>
          </w:p>
        </w:tc>
      </w:tr>
      <w:tr>
        <w:trPr>
          <w:trHeight w:val="33"/>
        </w:trPr>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282,628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291,194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592,868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598,724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138,203</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142,536</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288,365</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300,383</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33"/>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8"/>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20"/>
        </w:trPr>
        <w:tc>
          <w:tcPr>
            <w:tcW w:w="1640" w:type="dxa"/>
            <w:vAlign w:val="bottom"/>
          </w:tcPr>
          <w:p>
            <w:pPr>
              <w:ind w:left="280"/>
              <w:spacing w:after="0"/>
              <w:rPr>
                <w:sz w:val="20"/>
                <w:szCs w:val="20"/>
                <w:color w:val="auto"/>
              </w:rPr>
            </w:pPr>
            <w:r>
              <w:rPr>
                <w:rFonts w:ascii="Arial" w:cs="Arial" w:eastAsia="Arial" w:hAnsi="Arial"/>
                <w:sz w:val="16"/>
                <w:szCs w:val="16"/>
                <w:color w:val="auto"/>
              </w:rPr>
              <w:t>Research and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6"/>
        </w:trPr>
        <w:tc>
          <w:tcPr>
            <w:tcW w:w="1640" w:type="dxa"/>
            <w:vAlign w:val="bottom"/>
          </w:tcPr>
          <w:p>
            <w:pPr>
              <w:ind w:left="40"/>
              <w:spacing w:after="0"/>
              <w:rPr>
                <w:sz w:val="20"/>
                <w:szCs w:val="20"/>
                <w:color w:val="auto"/>
              </w:rPr>
            </w:pPr>
            <w:r>
              <w:rPr>
                <w:rFonts w:ascii="Arial" w:cs="Arial" w:eastAsia="Arial" w:hAnsi="Arial"/>
                <w:sz w:val="16"/>
                <w:szCs w:val="16"/>
                <w:color w:val="auto"/>
              </w:rPr>
              <w:t>Development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8,948</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18,579</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17,027</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0"/>
        </w:trPr>
        <w:tc>
          <w:tcPr>
            <w:tcW w:w="16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Selling, General and</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9"/>
        </w:trPr>
        <w:tc>
          <w:tcPr>
            <w:tcW w:w="1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107,565</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111,426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216,846</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224,159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20"/>
        </w:trPr>
        <w:tc>
          <w:tcPr>
            <w:tcW w:w="164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6"/>
        </w:trPr>
        <w:tc>
          <w:tcPr>
            <w:tcW w:w="1640" w:type="dxa"/>
            <w:vAlign w:val="bottom"/>
          </w:tcPr>
          <w:p>
            <w:pPr>
              <w:ind w:left="40"/>
              <w:spacing w:after="0"/>
              <w:rPr>
                <w:sz w:val="20"/>
                <w:szCs w:val="20"/>
                <w:color w:val="auto"/>
              </w:rPr>
            </w:pPr>
            <w:r>
              <w:rPr>
                <w:rFonts w:ascii="Arial" w:cs="Arial" w:eastAsia="Arial" w:hAnsi="Arial"/>
                <w:sz w:val="16"/>
                <w:szCs w:val="16"/>
                <w:color w:val="auto"/>
              </w:rPr>
              <w:t>charges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4,879</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4,324</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9,157</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11,163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0"/>
        </w:trPr>
        <w:tc>
          <w:tcPr>
            <w:tcW w:w="1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9"/>
        </w:trPr>
        <w:tc>
          <w:tcPr>
            <w:tcW w:w="1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121,392</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124,190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244,582</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252,349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7"/>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16,811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18,346</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43,783</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48,034</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Sales for the three months ended January 31, 2015 decreased 2.9% to $282.6 million, compared to $291.2 million in the same period of the prior year, which consisted of organic sales growth of 1.4% and a negative currency impact of 4.3% due to the strengthening of the U.S. Dollar against other major currencies during the three month period. Organic sales growth was 1.9% in the IDS segment and 0.6% in the WPS segment.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for the six months ended January 31, 2015 decreased 1.0% to $592.9 million, compared to $598.7 million in the same period of the prior year, which consisted of organic sales growth of 1.9% and a negative currency impact of 2.9%. Organic sales growth was 2.1% in the IDS segment and 1.5% in the WPS segment.</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Gross margin as a percentage of sales was 48.9% for the three months ended January 31, 2015, which was consistent with the same period of the prior year. Gross margin as a percentage of sales decreased to 48.6% for the six months ended January 31, 2015, from 50.2% in the same period of the prior year. The decline in gross margin was primarily due to increased costs related to facility consolidation activities in North America, South America, and Europe, and to a lesser extent, sales mix. Facility consolidations had less of an impact in the quarter ended January 31, 2015, compared to the quarter ended October 31, 2014 as costs are beginning to subside as the facility consolidation actions near completion.</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Research and development (“R&amp;D”) for the three months ended January 31, 2015 increased 6.0% to $8.9 million, compared to $8.4 million in the same period of the prior year, and increased 9.1% to $18.6 million for the six months ended January 31, 2015, compared to $17.0 million for the same period in the prior year. As a percentage of sales for the three months ended January 31, 2015, R&amp;D expenses increased to 3.2% from 2.9% in the same period in the prior year, and increased to 3.1% from 2.8% for the six months ended January 31, 2015, compared to the same period of the prior year. The increase in R&amp;D expenses was attributable to the increased costs within the IDS segment associated with our initiative to enhance the innovation development process and invest in emerging technologies such as RFID and sensing technology for harsh environments.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Selling, general and administrative expenses (“SG&amp;A”) decreased 3.5% to $107.6 million for the three months ended January 31, 2015 and 3.3% to $216.8 million for the six months ended January 31, 2015, compared to $111.4 million and $224.2 million in the same periods of the prior year, respectively. The declines in both the three and six month periods were primarily driven by a reduction in administrative expenses, reduced amortization expense, and the impact of foreign currency translation. This decline was partially offset by increased investments in sales personnel within the IDS segment and increased spending on both on-line advertising as well as traditional print advertising within the WPS segment.</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The Company implemented this restructuring plan to enhance customer service, improve efficiency of operations and reduce operating expenses. Facility consolidation activities have extended into fiscal 2015 and are expected to be complete by the end of the fiscal year. The Company expects to incur restructuring charges of approximately $15 million associated with these activities in fiscal 2015. We will begin to realize operational savings from these actions in fiscal 2016, which will continue into the long term.</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this plan, the Company incurred restructuring charges of $4.9 million and $9.2 million during the three and six months ended January 31, 2015, respectively, which consisted primarily of employee separation costs, facility closure costs, and contract termination costs. Of the $4.9 million of restructuring charges recognized during the three-month period ended January 31, 2015, $3.9 million was incurred within the IDS segment and $1.0 million was incurred within the WPS segment. Of the $9.2 million of restructuring charges recognized during the six-month period ended January 31, 2015, $6.3 million was incurred within IDS and $2.9 million was incurred within WPS.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fiscal 2013, the Company implemented a restructuring plan to reduce its global workforce to address its cost structure. In connection with the fiscal 2013 and fiscal 2014 plans, the Company incurred restructuring charges of $4.3 million and $11.2 million during the three and six months ended January 31, 2014, respectively, which consisted primarily of employee separation costs and facility closure costs. Of the $4.3 million of restructuring charges recorded during the quarter, $2.4 million was incurred within the IDS segment and $1.9 million was incurred within the WPS segment. Of the $11.2 million of restructuring charges recorded for the six months ended January 31, 2014, $6.4 million was incurred within IDS and $4.8 million was incurred within WPS.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was $16.8 million during the three months ended January 31, 2015. Excluding restructuring charges of $4.9 million, operating income was $21.7 million. Operating income was $18.3 million for the three months ended January 31, 2014. Excluding restructuring charges of $4.3 million, operating income was $22.6 million. The decrease of $0.9 million was primarily due to the negative impact of currency fluctuations during the three month period.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was $43.8 million during the six months ended January 31, 2015. Excluding restructuring charges of $9.2 million, operating income was $53.0 million. Operating income was $48.0 million for the six months ended January 31, 2014. Excluding restructuring charges of $11.2 million, operating income was $59.2 million. The decrease of $6.2 million was mainly due to the segment profit declines in both the IDS and WPS segments, which are discussed in further detail within the Business Segment Operating Results section.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3360" w:type="dxa"/>
            <w:vAlign w:val="bottom"/>
            <w:gridSpan w:val="8"/>
          </w:tcPr>
          <w:p>
            <w:pPr>
              <w:ind w:left="500"/>
              <w:spacing w:after="0"/>
              <w:rPr>
                <w:sz w:val="20"/>
                <w:szCs w:val="20"/>
                <w:color w:val="auto"/>
              </w:rPr>
            </w:pPr>
            <w:r>
              <w:rPr>
                <w:rFonts w:ascii="Arial" w:cs="Arial" w:eastAsia="Arial" w:hAnsi="Arial"/>
                <w:sz w:val="16"/>
                <w:szCs w:val="16"/>
                <w:b w:val="1"/>
                <w:bCs w:val="1"/>
                <w:color w:val="auto"/>
              </w:rPr>
              <w:t>Three months ended January 31,</w:t>
            </w:r>
          </w:p>
        </w:tc>
        <w:tc>
          <w:tcPr>
            <w:tcW w:w="3260" w:type="dxa"/>
            <w:vAlign w:val="bottom"/>
            <w:gridSpan w:val="7"/>
          </w:tcPr>
          <w:p>
            <w:pPr>
              <w:jc w:val="right"/>
              <w:ind w:right="49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$ 16,811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$ 18,346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$ 43,783</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$ 48,034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25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(5,891)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(7,397)</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income tax</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38,427</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41,654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4,408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11,344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13,002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$ 11,584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$ 10,517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$ 27,083</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$ 28,652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rPr>
              <w:t>Earnings (loss) from discontinued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operations, net of income taxes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11,701</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$ 11,584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$ 16,424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$ 25,168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$ 40,353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Investment and other income remained consistent for the three months ended January 31, 2015, compared to the same period in the prior year, and decreased to $0.5 million from $1.0 million for the six months ended January 31, 2015, compared to the same period in the prior year. This decrease was primarily due to a decrease in interest income and the decline in market value of securities held in executive deferred compensation plans.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decreased to $3.0 million for the three months ended January 31, 2015, from $3.7 million for the same period in the prior year. Interest expense decreased to $5.9 million for the six months ended January 31, 2015, from $7.4 million for the same period in the prior year. For both the three and six month periods, the decrease was due to the Company’s declining principal balance under its outstanding long-term debt agreements and a reduction in the weighted average interest rate on the outstanding debt.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income tax rate on continuing operations was 17.4% for the three months and 29.5% for the six months ended January 31, 2015, compared to 29.5% for the three months and 31.2% for the six months ended January 31, 2014. For both the three and six month periods, the decrease in the income tax rate was primarily due to the extension of the U.S. R&amp;D tax credit and certain other tax provisions that were passed by Congress in December 2014. The tax rate is anticipated to be in the mid-to-upper 20% range for fiscal year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Discontinued operations include the Asia Die-Cut and Balkhausen Die-Cut business ("Die-Cut"), of which a portion was divested in the fourth quarter of fiscal 2014 and the remainder was divested in the first quarter of fiscal 2015. The closing on the second and final phase was completed on August 1, 2014. The loss from discontinued operations net of income taxes was $1.9 million for the six months ended January 31, 2015, compared to earnings from discontinued operations of $11.7 million for the same period in the prior year. The loss in the six months ended January 31, 2015 consisted of a loss on operations of $1.5 million primarily related to professional fees associated with the divestiture and a $0.4 million loss on the sale of Die-Cut, recorded during the three months ended October 31, 2015. Refer to Note J, "Discontinued Operations" for further discussion regarding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organized and managed on a global basis within two business platforms: IDS and WPS, which are the reportable segments. Each business platform has a President (or acting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1"/>
              </w:rPr>
              <w:t>Three months ended January 31,</w:t>
            </w:r>
          </w:p>
        </w:tc>
        <w:tc>
          <w:tcPr>
            <w:tcW w:w="280" w:type="dxa"/>
            <w:vAlign w:val="bottom"/>
          </w:tcPr>
          <w:p>
            <w:pPr>
              <w:spacing w:after="0"/>
              <w:rPr>
                <w:sz w:val="18"/>
                <w:szCs w:val="18"/>
                <w:color w:val="auto"/>
              </w:rPr>
            </w:pPr>
          </w:p>
        </w:tc>
        <w:tc>
          <w:tcPr>
            <w:tcW w:w="23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192,065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194,732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404,162</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404,278</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90,563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96,462</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188,706</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194,446</w:t>
            </w:r>
          </w:p>
        </w:tc>
      </w:tr>
      <w:tr>
        <w:trPr>
          <w:trHeight w:val="231"/>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282,628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291,194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592,868</w:t>
            </w:r>
          </w:p>
        </w:tc>
        <w:tc>
          <w:tcPr>
            <w:tcW w:w="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598,724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231"/>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15.8 %</w:t>
            </w: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1.5 %</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31"/>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35,719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37,526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79,186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88,493</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12,776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14,668</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28,315</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33,042</w:t>
            </w:r>
          </w:p>
        </w:tc>
        <w:tc>
          <w:tcPr>
            <w:tcW w:w="0" w:type="dxa"/>
            <w:vAlign w:val="bottom"/>
          </w:tcPr>
          <w:p>
            <w:pPr>
              <w:spacing w:after="0"/>
              <w:rPr>
                <w:sz w:val="1"/>
                <w:szCs w:val="1"/>
                <w:color w:val="auto"/>
              </w:rPr>
            </w:pPr>
          </w:p>
        </w:tc>
      </w:tr>
      <w:tr>
        <w:trPr>
          <w:trHeight w:val="231"/>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48,495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52,194</w:t>
            </w:r>
          </w:p>
        </w:tc>
        <w:tc>
          <w:tcPr>
            <w:tcW w:w="3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107,501</w:t>
            </w:r>
          </w:p>
        </w:tc>
        <w:tc>
          <w:tcPr>
            <w:tcW w:w="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121,535</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19.3 %</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19.6 %</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31"/>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17.9 %</w:t>
            </w: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18.1 %</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segment profit to earnings from continuing operations before income taxes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2015 and 2014:</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1"/>
              </w:rPr>
              <w:t>Three months ended January 31,</w:t>
            </w:r>
          </w:p>
        </w:tc>
        <w:tc>
          <w:tcPr>
            <w:tcW w:w="240" w:type="dxa"/>
            <w:vAlign w:val="bottom"/>
          </w:tcPr>
          <w:p>
            <w:pPr>
              <w:spacing w:after="0"/>
              <w:rPr>
                <w:sz w:val="18"/>
                <w:szCs w:val="18"/>
                <w:color w:val="auto"/>
              </w:rPr>
            </w:pPr>
          </w:p>
        </w:tc>
        <w:tc>
          <w:tcPr>
            <w:tcW w:w="23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107,501</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121,535</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(62,338)</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(4,324)</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(11,163)</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(3,676)</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(7,397)</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38,427</w:t>
            </w:r>
          </w:p>
        </w:tc>
        <w:tc>
          <w:tcPr>
            <w:tcW w:w="120" w:type="dxa"/>
            <w:vAlign w:val="bottom"/>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41,654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70% of net sales in the IDS segment were generated in the Americas region, 20% in Europe and 10% in Asia. IDS sales decreased 1.4% to $192.1 million for the three months ended January 31, 2015, compared to $194.7 million for the same period in the prior year, which consisted of organic sales growth of 1.9% and a negative currency impact of 3.3%. IDS sales remained flat for the six months ended January 31, 2015, compared to the same period in the prior year. Organic sales improved by 2.1% and currency fluctuations decreased sales by 2.1% during the six month period ended January 31, 2015.</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the Americas grew in the low-single digits for the three and six months ended January 31, 2015, compared to the same periods in the prior year. This growth was primarily within the U.S. and was driven by our continued focus on expanding the core Brady-brand businesses and an increased focus on key customers and certain industries, such as chemical, oil, and gas; food and beverage; laboratories, industrial OEMs, and healthcare. We experienced growth specifically in the Wire ID and Safety and Facility ID product offerings in the quarter ended January 31, 2015, compared to the same period in the prior year. In addition, sales in the healthcare ID business increased slightly from both the quarter ended October 31, 2014 and the quarter ended January 31, 2014 as healthcare admission rates have improved. This growth was partially offset by organic sales declines in Brazil for the three and six month periods due to continued economic challenges.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Organic sales in Europe declined in the low-single digits for the quarter, but grew in the low-single digits for the six months ended January 31, 2015, compared to the same periods in the prior year. We experienced mid-single digit organic sales growth in the first quarter of fiscal 2015 driven by our businesses in Western and Central Europe where we increased our salesforce and expanded in focused geographies. This growth trend did not continue in the second quarter of fiscal 2015 due primarily to the negative impact on the businesses from the weakening economy in Western Europe.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IDS business in Asia had double-digit organic sales growth for the three and six months ended January 31, 2015, as compared to the same periods in the prior year. Sales of product identification products to our OEM customers in China continue to grow as we expand production capacity and capabilities. The investment in our MRO growth strategies and the expansion of the MRO business in China continues to positively impact sales.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profit decreased to $35.7 million from $37.5 million for the three months, and decreased to $79.2 million from $88.5 million for the six months ended January 31, 2015, compared to the same periods in the prior year. As a percentage of sales, segment profit decreased to 18.6% from 19.3% for the three months, and decreased to 19.6% from 21.9% for the six months ended January 31, 2015, compared to the same periods in the prior year. The decrease in both the three and six month periods was mainly driven by increased costs associated with facility consolidation activities, including increased supplies, outsourcing costs, additional labor, and moving costs. The increased investment in R&amp;D and product mix also contributed to the decline in segment profit in both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decreased 6.1% to $90.6 million for the three months and 3.0% to $188.7 million for the six months ended January 31, 2015, compared to $96.5 million and $194.4 million, respectively, for the same periods in the prior year. Currency fluctuations decreased sales by 6.7% and 4.5% for the three and six months ended January 31, 2015, compared to the same periods in the prior year. Since half of the WPS business is in Europe, the strengthening of the U.S. dollar against the Euro had a larger impact on the WPS segment than it did on the IDS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Organic sales increased 0.6% and 1.5% for the three and six months ended January 31, 2015, respectively, compared to the same periods of the prior year. The Company has seen organic sales improvement for three consecutive quarters in the WPS segment as we refine our business strategy to focus on improving business fundamentals and investing in the following: expanding our e-commerce presence, increasing the offering of workplace safety products, enhancing our industry expertise, providing high levels of service, and investing in our catalog marketing strategy.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WPS business in Europe realized low-single digit organic sales growth for the three and six months ended January 31, 2015, compared to the same periods in the prior year. The growth in both the three and six month periods was driven primarily in the UK, Germany, and France due to improvements in the business related to website functionality, key account management, pricing efforts, and the launch of new products. This growth slowed near the end of the second quarter due to the economic challenges in Europe.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the Americas improved slightly for the three and six months ended January 31, 2015, compared to the same periods in the prior year. We continue to focus on and invest in e-commerce, which is the primary driver of the growth in WPS Americas.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Organic sales in Australia experienced low-single digit declines for the three and six months ended January 31, 2015, as compared to the same periods of the prior year. This was an improvement over the double-digit percentage declines in the first half of fiscal 2014 and the mid-single digit declines in the second half of fiscal 2014. While the Company’s Australian business is diversified in many industries, it has a higher concentration in industries that are experiencing economic challenges which include manufacturing, non-residential construction, and most importantly, mining. The improvement from the prior year was primarily due to the continued focus on enhancing our expertise in these industries to further differentiate and create value for our customers.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profit decreased to $12.8 million from $14.7 million for the three months, and decreased to $28.3 million from $33.0 million for the six months ended January 31, 2015, compared to the same periods in the prior year. As a percentage of sales, segment profit decreased to 14.1% from 15.2% for the three months, and decreased to 15.0% from 17.0% for the six months ended January 31, 2015, compared to the same periods in the prior year. The decrease in segment profit in both the three and six month periods was mainly driven by the increased costs associated with facility consolidation activities in the U.S., increased spending on both on-line advertising as well as traditional print advertising due to the timing of catalog mailings, and investments in e-commerce capabilities.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increased by $11.5 million and decreased by $11.9 million during the six months ended January 31, 2015 and 2014,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Six months ended January 31,</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33"/>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23,930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41,777</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(17,518)</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(37,273)</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(11,942)</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decreased $17.8 million to $23.9 million for the six months ended January 31, 2015, compared to $41.8 million in the same period of the prior year. The prior year results included discontinued operations, which were approximately break-even for cash flow from operating activities. Therefore, this decline of $17.8 million was primarily due to changes in working capital from continuing operations. A majority of the decline in working capital from continuing operations related to the change in accounts payable due to an increase in days payable outstanding in all regions and a decision to accelerate corporate credit card payment terms.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$7.5 million for the six months ended January 31, 2015, compared to $17.5 million in the same period of the prior year. The decrease in cash used in investing activities of $10.0 million was primarily due to the $6.1 million of net cash received from the Die-Cut divestiture during the six months ended January 31, 2015. In addition, certain assets were sold as part of the facility consolidation activities, which reduced cash used in investing activities compared to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prior year. Cash used for capital expenditures during the six months ended January 31, 2015 was consistent with the same period of the prior year.</w:t>
      </w:r>
    </w:p>
    <w:p>
      <w:pPr>
        <w:spacing w:after="0" w:line="23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Net cash provided by financing activities was $6.0 million during the six months ended January 31, 2015, compared to net cash used in financing activities of $37.3 million in the same period of the prior year. The increase in cash provided by financing activities was primarily due to $29.4 million in net borrowing on the revolving loan agreement and lines of credit during the six months ended January 31, 2015, compared to $30.0 million of repayments on the revolving loan agreement in the same period of the prior year.</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Currency had a negative impact on cash of $10.9 million during the six months ended January 31, 2015 due to the strengthening of the U.S. Dollar against other major currencies, particularly the Euro.</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final payments due in 2016 and 2017, with interest payable on the notes due semiannually on various dates throughout the year. The notes have certain prepayment penalties for repaying them prior to the maturity date.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 2012, the Company and certain of its subsidiaries entered into an unsecured $300 million multi-currency revolving loan agreement.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six months ended January 31, 2015, the Company drew down an additional $41.0 million in order to fund general corporate needs. As of January 31, 2015, the outstanding balance on the credit facility was $79.0 million. The Company also had letters of credit outstanding under the loan agreement of $4.6 million as of January 31, 2015 and there was $216.4 million available for future borrowing, which can be increased to $366.4 million at the Company's option, subject to certain conditions.</w:t>
      </w:r>
    </w:p>
    <w:p>
      <w:pPr>
        <w:spacing w:after="0" w:line="12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February 2013, the Company entered into an unsecured $26.2 million multi-currency line of credit in China, which was amended in November 2013 to $24.2 million. In August 2014, the Company entered into an additional unsecured $10.0 million multi-currency line of credit in China, but did not borrow on this facility until January 2015.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and on the CNY-denominated borrowings incurred equal to the local China rate based upon duration. There is no ultimate maturity on either of the facilities and the facilities are subject to periodic review and repricing. The Company is not required to comply with any financial covenants as part of the agreements. During the six months ended January 31, 2015, the Company drew $6.8 million USD equivalent to fund working capital needs and repaid $14.4 of the borrowings on the lines of credit. As of January 31, 2015, the outstanding balance was $11.9 million USD equivalent of borrowings and there was $22.4 available for future borrowing under these credit facilities.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private placement notes and revolving loan agreement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January 31, 2015, the Company was in compliance with these financial covenants, with the ratio of debt to EBITDA, as defined by the agreements, equal to 1.8 to 1.0 and the interest expense coverage ratio equal to 12.1 to 1.0.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paid dividends of $20.4 million in both the six months ended January 31, 2015 and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January 31, 2015, approximately 87%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common stock repurchases, scheduled debt repayments, and dividend payments for the next twelve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February 9, 2015, Matthew O. Williamson resigned his position as Vice President of Brady Corporation and President - Identification Solutions. Mr. Williamson will remain employed by the Company until his retirement date of June 9, 2015. During the transition period, the Identification Solutions business will report to Mr. Williamson on an interim basis until his successor is named.</w:t>
      </w:r>
    </w:p>
    <w:p>
      <w:pPr>
        <w:spacing w:after="0" w:line="4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February 17, 2015, the Board of Directors elected Harold Sirkin to the Board of Directors, effective immediately, following a recommendation of the Corporate Governance Committee of the Board. Mr. Sirkin has been appointed to the Technology Committee of the Board of Directors.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February 18, 2015, the Board of Directors declared a quarterly cash dividend to shareholders of the Company’s Class A and Class B Common Stock of $0.20 per share payable on April 30, 2015, to shareholders of record at the close of business on April 10,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the healthcare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line="25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29, 2014.</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2014. There has been no material change in this information since July 31,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&amp; Chief Executive Officer and Senior Vice President and Chief Financial Officer concluded that the Company’s disclosure controls and procedures are effective as of the end of the period covered by this report.</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Restricted Stock Unit Agreement, dated as of March 3, 2015, with Harold L. Sirkin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1" w:right="1440"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8080" w:type="dxa"/>
            <w:vAlign w:val="bottom"/>
            <w:gridSpan w:val="2"/>
          </w:tcPr>
          <w:p>
            <w:pPr>
              <w:jc w:val="center"/>
              <w:ind w:right="3250"/>
              <w:spacing w:after="0"/>
              <w:rPr>
                <w:sz w:val="20"/>
                <w:szCs w:val="20"/>
                <w:color w:val="auto"/>
              </w:rPr>
            </w:pPr>
            <w:r>
              <w:rPr>
                <w:rFonts w:ascii="Arial" w:cs="Arial" w:eastAsia="Arial" w:hAnsi="Arial"/>
                <w:sz w:val="18"/>
                <w:szCs w:val="18"/>
                <w:color w:val="auto"/>
                <w:w w:val="93"/>
              </w:rPr>
              <w:t>SIGNATURES</w:t>
            </w:r>
          </w:p>
        </w:tc>
      </w:tr>
      <w:tr>
        <w:trPr>
          <w:trHeight w:val="378"/>
        </w:trPr>
        <w:tc>
          <w:tcPr>
            <w:tcW w:w="3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300" w:type="dxa"/>
            <w:vAlign w:val="bottom"/>
          </w:tcPr>
          <w:p>
            <w:pPr>
              <w:spacing w:after="0"/>
              <w:rPr>
                <w:sz w:val="20"/>
                <w:szCs w:val="20"/>
                <w:color w:val="auto"/>
              </w:rPr>
            </w:pPr>
            <w:r>
              <w:rPr>
                <w:rFonts w:ascii="Arial" w:cs="Arial" w:eastAsia="Arial" w:hAnsi="Arial"/>
                <w:sz w:val="18"/>
                <w:szCs w:val="18"/>
                <w:color w:val="auto"/>
              </w:rPr>
              <w:t>Date: March 4, 2015</w:t>
            </w:r>
          </w:p>
        </w:tc>
        <w:tc>
          <w:tcPr>
            <w:tcW w:w="39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3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3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3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300" w:type="dxa"/>
            <w:vAlign w:val="bottom"/>
          </w:tcPr>
          <w:p>
            <w:pPr>
              <w:spacing w:after="0"/>
              <w:rPr>
                <w:sz w:val="20"/>
                <w:szCs w:val="20"/>
                <w:color w:val="auto"/>
              </w:rPr>
            </w:pPr>
            <w:r>
              <w:rPr>
                <w:rFonts w:ascii="Arial" w:cs="Arial" w:eastAsia="Arial" w:hAnsi="Arial"/>
                <w:sz w:val="18"/>
                <w:szCs w:val="18"/>
                <w:color w:val="auto"/>
              </w:rPr>
              <w:t>Date: March 4, 2015</w:t>
            </w:r>
          </w:p>
        </w:tc>
        <w:tc>
          <w:tcPr>
            <w:tcW w:w="39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3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3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w w:val="97"/>
              </w:rPr>
              <w:t>Senior Vice President and Chief Financial Officer</w:t>
            </w:r>
          </w:p>
        </w:tc>
      </w:tr>
      <w:tr>
        <w:trPr>
          <w:trHeight w:val="270"/>
        </w:trPr>
        <w:tc>
          <w:tcPr>
            <w:tcW w:w="33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300" w:type="dxa"/>
            <w:vAlign w:val="bottom"/>
          </w:tcPr>
          <w:p>
            <w:pPr>
              <w:spacing w:after="0"/>
              <w:rPr>
                <w:sz w:val="24"/>
                <w:szCs w:val="24"/>
                <w:color w:val="auto"/>
              </w:rPr>
            </w:pPr>
          </w:p>
        </w:tc>
        <w:tc>
          <w:tcPr>
            <w:tcW w:w="3980" w:type="dxa"/>
            <w:vAlign w:val="bottom"/>
          </w:tcPr>
          <w:p>
            <w:pPr>
              <w:jc w:val="right"/>
              <w:ind w:right="1430"/>
              <w:spacing w:after="0"/>
              <w:rPr>
                <w:sz w:val="20"/>
                <w:szCs w:val="20"/>
                <w:color w:val="auto"/>
              </w:rPr>
            </w:pPr>
            <w:r>
              <w:rPr>
                <w:rFonts w:ascii="Arial" w:cs="Arial" w:eastAsia="Arial" w:hAnsi="Arial"/>
                <w:sz w:val="18"/>
                <w:szCs w:val="18"/>
                <w:color w:val="auto"/>
              </w:rPr>
              <w:t>30</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ind w:left="10280"/>
        <w:spacing w:after="0"/>
        <w:rPr>
          <w:sz w:val="20"/>
          <w:szCs w:val="20"/>
          <w:color w:val="auto"/>
        </w:rPr>
      </w:pPr>
      <w:r>
        <w:rPr>
          <w:rFonts w:ascii="Arial" w:cs="Arial" w:eastAsia="Arial" w:hAnsi="Arial"/>
          <w:sz w:val="18"/>
          <w:szCs w:val="18"/>
          <w:b w:val="1"/>
          <w:bCs w:val="1"/>
          <w:color w:val="auto"/>
        </w:rPr>
        <w:t>EXHIBIT 10.1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RESTRICTED STOCK UNIT AGREEMENT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Restricted stock unit award effective March 3, 2015 to Harold L. Sirkin (hereinafter called the “Director”) pursuant to the terms of the Brady Corporation (the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6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This Restricted Stock Unit Award applies to 1,450 shares of the presently authorized Class A Nonvoting Common Stock of the Corporation, $.01 par value (the “Restricted Stock Units”). </w:t>
      </w:r>
      <w:r>
        <w:rPr>
          <w:rFonts w:ascii="Arial" w:cs="Arial" w:eastAsia="Arial" w:hAnsi="Arial"/>
          <w:sz w:val="18"/>
          <w:szCs w:val="18"/>
          <w:color w:val="333300"/>
        </w:rPr>
        <w:t>The Restricted Stock Units granted under this Agreement are units that will be reflected in a book account</w:t>
      </w:r>
      <w:r>
        <w:rPr>
          <w:rFonts w:ascii="Arial" w:cs="Arial" w:eastAsia="Arial" w:hAnsi="Arial"/>
          <w:sz w:val="18"/>
          <w:szCs w:val="18"/>
          <w:color w:val="auto"/>
        </w:rPr>
        <w:t xml:space="preserve"> </w:t>
      </w:r>
      <w:r>
        <w:rPr>
          <w:rFonts w:ascii="Arial" w:cs="Arial" w:eastAsia="Arial" w:hAnsi="Arial"/>
          <w:sz w:val="18"/>
          <w:szCs w:val="18"/>
          <w:color w:val="333300"/>
        </w:rPr>
        <w:t>maintained by the Corporation until they become vested or have been forfeited.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color w:val="auto"/>
        </w:rPr>
      </w:pPr>
    </w:p>
    <w:p>
      <w:pPr>
        <w:ind w:left="1300" w:hanging="644"/>
        <w:spacing w:after="0" w:line="258"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the Director must continuously serve as a member of the Board of Directors of the Corporation through the first anniversary of the grant date of this award.</w:t>
      </w:r>
    </w:p>
    <w:p>
      <w:pPr>
        <w:spacing w:after="0" w:line="1"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 Except as provided in Section 3, if the Director's service as a member of the Board of Directors of the Corporation terminates prior to the satisfaction of the vesting requirement set forth in Section 2(a) above, any unvested Restricted Stock Units shall immediately be forfeited. The period of time during which the Restricted Stock Units covered by this Award are forfeitable is referred to as the “Restricted Period.”</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the Director's service as a member of the Board of Directors of the Corporation is terminated prior to the end of the Restricted Period due to death or Disability, the Restricted Stock Units shall become fully vested. 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3" w:lineRule="exact"/>
        <w:rPr>
          <w:rFonts w:ascii="Arial" w:cs="Arial" w:eastAsia="Arial" w:hAnsi="Arial"/>
          <w:sz w:val="18"/>
          <w:szCs w:val="18"/>
          <w:color w:val="auto"/>
        </w:rPr>
      </w:pPr>
    </w:p>
    <w:p>
      <w:pPr>
        <w:ind w:left="1300" w:hanging="644"/>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event the Director's service as a member of the Board of Directors of the Corporation is terminated prior to the end of the Restricted Period due to a Change in Control, the Restricted Stock Units shall become unrestricted and fully vested.</w:t>
      </w:r>
    </w:p>
    <w:p>
      <w:pPr>
        <w:spacing w:after="0" w:line="184"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the Director's service as a member of the Board of Directors is involuntarily terminated (other than by reason of death or Disability).</w:t>
      </w:r>
    </w:p>
    <w:p>
      <w:pPr>
        <w:spacing w:after="0" w:line="181" w:lineRule="exact"/>
        <w:rPr>
          <w:sz w:val="20"/>
          <w:szCs w:val="20"/>
          <w:color w:val="auto"/>
        </w:rPr>
      </w:pPr>
    </w:p>
    <w:p>
      <w:pPr>
        <w:jc w:val="both"/>
        <w:ind w:left="1300" w:hanging="644"/>
        <w:spacing w:after="0" w:line="25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2"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Director as a result of Section 280G of the Code, the Corporation shall pay the Director an amount equal to such excise tax.</w:t>
      </w:r>
    </w:p>
    <w:p>
      <w:pPr>
        <w:sectPr>
          <w:pgSz w:w="11900" w:h="16838" w:orient="portrait"/>
          <w:cols w:equalWidth="0" w:num="1">
            <w:col w:w="11420"/>
          </w:cols>
          <w:pgMar w:left="240" w:top="580" w:right="239" w:bottom="1440" w:gutter="0" w:footer="0" w:header="0"/>
        </w:sectPr>
      </w:pPr>
    </w:p>
    <w:bookmarkStart w:id="32" w:name="page33"/>
    <w:bookmarkEnd w:id="32"/>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Director one share of the Corporation's Class A Nonvoting Common Stock, $.01 par value ("Corporation Stock") for each Restricted Stock Unit which becomes vested.</w:t>
      </w:r>
    </w:p>
    <w:p>
      <w:pPr>
        <w:spacing w:after="0" w:line="142"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Directors, in satisfaction of all withholding taxes (including, without limitation, Federal income, FICA (Social Security and Medicare) and any state and local income taxes) payable as a result of such vesting, may elect, subject to such rules and regulations as the Corporation may adopt from time to time, to have the Corporation withhold that number of shares of Corporation Stock (valued at Fair Market Value on the date of vesting and rounded upward) required to settle such withholding taxes.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Director</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Director, the shares of Corporation Stock shall be issued and paid to the estate of the Director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1"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Corporation to modify the terms of an Award grant and has done so herein. Terms defined in the Plan where used herein shall have the meanings as so defined. The Director acknowledges receipt of a copy of the Plan.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ectPr>
          <w:pgSz w:w="11900" w:h="16838" w:orient="portrait"/>
          <w:cols w:equalWidth="0" w:num="1">
            <w:col w:w="11412"/>
          </w:cols>
          <w:pgMar w:left="248" w:top="580" w:right="239" w:bottom="1440" w:gutter="0" w:footer="0" w:header="0"/>
        </w:sectPr>
      </w:pPr>
    </w:p>
    <w:bookmarkStart w:id="33" w:name="page34"/>
    <w:bookmarkEnd w:id="33"/>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-10160</wp:posOffset>
            </wp:positionV>
            <wp:extent cx="1473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890"/>
                    </a:xfrm>
                    <a:prstGeom prst="rect">
                      <a:avLst/>
                    </a:prstGeom>
                    <a:noFill/>
                  </pic:spPr>
                </pic:pic>
              </a:graphicData>
            </a:graphic>
          </wp:anchor>
        </w:drawing>
      </w:r>
    </w:p>
    <w:p>
      <w:pPr>
        <w:spacing w:after="0" w:line="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ind w:left="3232"/>
        <w:spacing w:after="0"/>
        <w:rPr>
          <w:sz w:val="20"/>
          <w:szCs w:val="20"/>
          <w:color w:val="auto"/>
        </w:rPr>
      </w:pPr>
      <w:r>
        <w:rPr>
          <w:rFonts w:ascii="Arial" w:cs="Arial" w:eastAsia="Arial" w:hAnsi="Arial"/>
          <w:sz w:val="18"/>
          <w:szCs w:val="18"/>
          <w:b w:val="1"/>
          <w:bCs w:val="1"/>
          <w:u w:val="single" w:color="auto"/>
          <w:color w:val="auto"/>
        </w:rPr>
        <w:t>DIRECTOR'S ACCEPTANCE</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I, Harold L. Sirkin, hereby accept the foregoing Award and agree to the terms and conditions thereof.</w:t>
      </w:r>
    </w:p>
    <w:p>
      <w:pPr>
        <w:spacing w:after="0" w:line="221"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DIRECTOR:</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HAROLD L. SIRKIN</w:t>
      </w:r>
    </w:p>
    <w:p>
      <w:pPr>
        <w:spacing w:after="0" w:line="2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Print Name: Harold L. Sirkin</w:t>
      </w:r>
    </w:p>
    <w:p>
      <w:pPr>
        <w:sectPr>
          <w:pgSz w:w="11900" w:h="16838" w:orient="portrait"/>
          <w:cols w:equalWidth="0" w:num="1">
            <w:col w:w="11412"/>
          </w:cols>
          <w:pgMar w:left="248"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4,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4,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4,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4,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lvl w:ilvl="1">
      <w:lvlJc w:val="left"/>
      <w:lvlText w:val="(%2)"/>
      <w:numFmt w:val="lowerLetter"/>
      <w:start w:val="1"/>
    </w:lvl>
  </w:abstractNum>
  <w:abstractNum w:abstractNumId="6">
    <w:nsid w:val="3352255A"/>
    <w:multiLevelType w:val="hybridMultilevel"/>
    <w:lvl w:ilvl="0">
      <w:lvlJc w:val="left"/>
      <w:lvlText w:val="(%1)"/>
      <w:numFmt w:val="lowerLetter"/>
      <w:start w:val="3"/>
    </w:lvl>
  </w:abstractNum>
  <w:abstractNum w:abstractNumId="7">
    <w:nsid w:val="109CF92E"/>
    <w:multiLevelType w:val="hybridMultilevel"/>
    <w:lvl w:ilvl="0">
      <w:lvlJc w:val="left"/>
      <w:lvlText w:val="%1."/>
      <w:numFmt w:val="decimal"/>
      <w:start w:val="4"/>
    </w:lvl>
  </w:abstractNum>
  <w:abstractNum w:abstractNumId="8">
    <w:nsid w:val="DED7263"/>
    <w:multiLevelType w:val="hybridMultilevel"/>
    <w:lvl w:ilvl="0">
      <w:lvlJc w:val="left"/>
      <w:lvlText w:val="%1."/>
      <w:numFmt w:val="decimal"/>
      <w:start w:val="13"/>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2019-12-29T18:29:13Z</dcterms:created>
  <dcterms:modified xsi:type="dcterms:W3CDTF">2019-12-29T18:29:13Z</dcterms:modified>
</cp:coreProperties>
</file>