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42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425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Meyer Paul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Director, Tax &amp; Treasury</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6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09/25/2015</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8"/>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82"/>
              </w:rPr>
              <w:t>1,253</w:t>
            </w:r>
            <w:r>
              <w:rPr>
                <w:rFonts w:ascii="Arial" w:cs="Arial" w:eastAsia="Arial" w:hAnsi="Arial"/>
                <w:sz w:val="22"/>
                <w:szCs w:val="22"/>
                <w:color w:val="008000"/>
                <w:w w:val="82"/>
                <w:vertAlign w:val="superscript"/>
              </w:rPr>
              <w:t>(1)</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520"/>
              <w:spacing w:after="0"/>
              <w:rPr>
                <w:sz w:val="20"/>
                <w:szCs w:val="20"/>
                <w:color w:val="auto"/>
              </w:rPr>
            </w:pPr>
            <w:r>
              <w:rPr>
                <w:rFonts w:ascii="Arial" w:cs="Arial" w:eastAsia="Arial" w:hAnsi="Arial"/>
                <w:sz w:val="18"/>
                <w:szCs w:val="18"/>
                <w:color w:val="0000FF"/>
              </w:rPr>
              <w:t>2,707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gridSpan w:val="2"/>
          </w:tcPr>
          <w:p>
            <w:pPr>
              <w:jc w:val="center"/>
              <w:ind w:right="11"/>
              <w:spacing w:after="0"/>
              <w:rPr>
                <w:sz w:val="20"/>
                <w:szCs w:val="20"/>
                <w:color w:val="auto"/>
              </w:rPr>
            </w:pPr>
            <w:r>
              <w:rPr>
                <w:rFonts w:ascii="Arial" w:cs="Arial" w:eastAsia="Arial" w:hAnsi="Arial"/>
                <w:sz w:val="14"/>
                <w:szCs w:val="14"/>
                <w:color w:val="0000FF"/>
                <w:w w:val="91"/>
              </w:rPr>
              <w:t>Class A</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5,138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19.96</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09/25/2015</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5,138</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6"/>
              </w:rPr>
              <w:t>09/25/2025</w:t>
            </w:r>
          </w:p>
        </w:tc>
        <w:tc>
          <w:tcPr>
            <w:tcW w:w="68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5,138</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jc w:val="center"/>
              <w:ind w:right="131"/>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options exercisable one third each year for the three years subsequent to the grant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6"/>
              </w:rPr>
              <w:t>Heidi Knueppel,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09/29/2015</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735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2019-12-23T14:59:57Z</dcterms:created>
  <dcterms:modified xsi:type="dcterms:W3CDTF">2019-12-23T14:59:57Z</dcterms:modified>
</cp:coreProperties>
</file>