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455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552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Felmer Thomas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08/30/2010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35"/>
        <w:spacing w:after="0"/>
        <w:rPr>
          <w:sz w:val="20"/>
          <w:szCs w:val="20"/>
          <w:color w:val="auto"/>
        </w:rPr>
      </w:pPr>
      <w:r>
        <w:rPr>
          <w:rFonts w:ascii="Arial" w:cs="Arial" w:eastAsia="Arial" w:hAnsi="Arial"/>
          <w:sz w:val="17"/>
          <w:szCs w:val="17"/>
          <w:color w:val="0000FF"/>
        </w:rPr>
        <w:t>SR VP CFO</w:t>
      </w:r>
    </w:p>
    <w:p>
      <w:pPr>
        <w:spacing w:after="0" w:line="317"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4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3"/>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1040" w:type="dxa"/>
            <w:vAlign w:val="bottom"/>
          </w:tcPr>
          <w:p>
            <w:pPr>
              <w:spacing w:after="0"/>
              <w:rPr>
                <w:sz w:val="13"/>
                <w:szCs w:val="13"/>
                <w:color w:val="auto"/>
              </w:rPr>
            </w:pP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6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ind w:left="64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0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color w:val="0000FF"/>
                <w:w w:val="92"/>
              </w:rPr>
              <w:t>Class A Common Stock</w:t>
            </w: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gridSpan w:val="3"/>
          </w:tcPr>
          <w:p>
            <w:pPr>
              <w:jc w:val="center"/>
              <w:spacing w:after="0"/>
              <w:rPr>
                <w:sz w:val="20"/>
                <w:szCs w:val="20"/>
                <w:color w:val="auto"/>
              </w:rPr>
            </w:pPr>
            <w:r>
              <w:rPr>
                <w:rFonts w:ascii="Arial" w:cs="Arial" w:eastAsia="Arial" w:hAnsi="Arial"/>
                <w:sz w:val="17"/>
                <w:szCs w:val="17"/>
                <w:color w:val="0000FF"/>
                <w:w w:val="84"/>
              </w:rPr>
              <w:t>460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Class A Common Stock</w:t>
            </w: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08/04/2010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7"/>
              </w:rPr>
              <w:t>78.4734</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29.11</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13,169.7018</w:t>
            </w:r>
            <w:r>
              <w:rPr>
                <w:rFonts w:ascii="Arial" w:cs="Arial" w:eastAsia="Arial" w:hAnsi="Arial"/>
                <w:sz w:val="21"/>
                <w:szCs w:val="21"/>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Class A Common Stock</w:t>
            </w: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08/11/2010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8"/>
              </w:rPr>
              <w:t>0.2356</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27.45</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13,169.9374</w:t>
            </w:r>
            <w:r>
              <w:rPr>
                <w:rFonts w:ascii="Arial" w:cs="Arial" w:eastAsia="Arial" w:hAnsi="Arial"/>
                <w:sz w:val="21"/>
                <w:szCs w:val="21"/>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Class A Common Stock</w:t>
            </w: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08/18/2010</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8"/>
              </w:rPr>
              <w:t>0.0066</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27.23</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13,169.9448</w:t>
            </w:r>
            <w:r>
              <w:rPr>
                <w:rFonts w:ascii="Arial" w:cs="Arial" w:eastAsia="Arial" w:hAnsi="Arial"/>
                <w:sz w:val="21"/>
                <w:szCs w:val="21"/>
                <w:color w:val="008000"/>
                <w:w w:val="86"/>
                <w:vertAlign w:val="superscript"/>
              </w:rPr>
              <w:t>(2)(4)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728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w w:val="96"/>
              </w:rPr>
              <w:t>0.0118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gridSpan w:val="2"/>
            <w:vMerge w:val="restart"/>
          </w:tcPr>
          <w:p>
            <w:pPr>
              <w:spacing w:after="0"/>
              <w:rPr>
                <w:sz w:val="20"/>
                <w:szCs w:val="20"/>
                <w:color w:val="auto"/>
              </w:rPr>
            </w:pPr>
            <w:r>
              <w:rPr>
                <w:rFonts w:ascii="Arial" w:cs="Arial" w:eastAsia="Arial" w:hAnsi="Arial"/>
                <w:sz w:val="13"/>
                <w:szCs w:val="13"/>
                <w:color w:val="0000FF"/>
                <w:w w:val="88"/>
              </w:rPr>
              <w:t>10,388.5158</w:t>
            </w:r>
            <w:r>
              <w:rPr>
                <w:rFonts w:ascii="Arial" w:cs="Arial" w:eastAsia="Arial" w:hAnsi="Arial"/>
                <w:sz w:val="21"/>
                <w:szCs w:val="21"/>
                <w:color w:val="008000"/>
                <w:w w:val="88"/>
                <w:vertAlign w:val="superscript"/>
              </w:rPr>
              <w:t>(3)(5)</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ind w:left="60"/>
              <w:spacing w:after="0" w:line="144" w:lineRule="exact"/>
              <w:rPr>
                <w:sz w:val="20"/>
                <w:szCs w:val="20"/>
                <w:color w:val="auto"/>
              </w:rPr>
            </w:pPr>
            <w:r>
              <w:rPr>
                <w:rFonts w:ascii="Arial" w:cs="Arial" w:eastAsia="Arial" w:hAnsi="Arial"/>
                <w:sz w:val="13"/>
                <w:szCs w:val="13"/>
                <w:color w:val="0000FF"/>
                <w:w w:val="95"/>
              </w:rPr>
              <w:t>Compensation</w:t>
            </w:r>
          </w:p>
        </w:tc>
        <w:tc>
          <w:tcPr>
            <w:tcW w:w="860" w:type="dxa"/>
            <w:vAlign w:val="bottom"/>
            <w:vMerge w:val="continue"/>
          </w:tcPr>
          <w:p>
            <w:pPr>
              <w:spacing w:after="0"/>
              <w:rPr>
                <w:sz w:val="12"/>
                <w:szCs w:val="12"/>
                <w:color w:val="auto"/>
              </w:rPr>
            </w:pPr>
          </w:p>
        </w:tc>
        <w:tc>
          <w:tcPr>
            <w:tcW w:w="1040" w:type="dxa"/>
            <w:vAlign w:val="bottom"/>
          </w:tcPr>
          <w:p>
            <w:pPr>
              <w:ind w:left="180"/>
              <w:spacing w:after="0" w:line="144" w:lineRule="exact"/>
              <w:rPr>
                <w:sz w:val="20"/>
                <w:szCs w:val="20"/>
                <w:color w:val="auto"/>
              </w:rPr>
            </w:pPr>
            <w:r>
              <w:rPr>
                <w:rFonts w:ascii="Arial" w:cs="Arial" w:eastAsia="Arial" w:hAnsi="Arial"/>
                <w:sz w:val="13"/>
                <w:szCs w:val="13"/>
                <w:color w:val="0000FF"/>
              </w:rPr>
              <w:t>08/30/2010</w:t>
            </w:r>
          </w:p>
        </w:tc>
        <w:tc>
          <w:tcPr>
            <w:tcW w:w="1100" w:type="dxa"/>
            <w:vAlign w:val="bottom"/>
          </w:tcPr>
          <w:p>
            <w:pPr>
              <w:spacing w:after="0"/>
              <w:rPr>
                <w:sz w:val="12"/>
                <w:szCs w:val="12"/>
                <w:color w:val="auto"/>
              </w:rPr>
            </w:pPr>
          </w:p>
        </w:tc>
        <w:tc>
          <w:tcPr>
            <w:tcW w:w="600" w:type="dxa"/>
            <w:vAlign w:val="bottom"/>
          </w:tcPr>
          <w:p>
            <w:pPr>
              <w:ind w:left="160"/>
              <w:spacing w:after="0" w:line="144"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40" w:type="dxa"/>
            <w:vAlign w:val="bottom"/>
          </w:tcPr>
          <w:p>
            <w:pPr>
              <w:ind w:left="100"/>
              <w:spacing w:after="0" w:line="144" w:lineRule="exact"/>
              <w:rPr>
                <w:sz w:val="20"/>
                <w:szCs w:val="20"/>
                <w:color w:val="auto"/>
              </w:rPr>
            </w:pPr>
            <w:r>
              <w:rPr>
                <w:rFonts w:ascii="Arial" w:cs="Arial" w:eastAsia="Arial" w:hAnsi="Arial"/>
                <w:sz w:val="13"/>
                <w:szCs w:val="13"/>
                <w:color w:val="0000FF"/>
              </w:rPr>
              <w:t>0.0118</w:t>
            </w: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26.14</w:t>
            </w:r>
          </w:p>
        </w:tc>
        <w:tc>
          <w:tcPr>
            <w:tcW w:w="960" w:type="dxa"/>
            <w:vAlign w:val="bottom"/>
            <w:gridSpan w:val="2"/>
            <w:vMerge w:val="continue"/>
          </w:tcPr>
          <w:p>
            <w:pPr>
              <w:spacing w:after="0"/>
              <w:rPr>
                <w:sz w:val="12"/>
                <w:szCs w:val="12"/>
                <w:color w:val="auto"/>
              </w:rPr>
            </w:pPr>
          </w:p>
        </w:tc>
        <w:tc>
          <w:tcPr>
            <w:tcW w:w="68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00" w:firstLine="4"/>
        <w:spacing w:after="0" w:line="323"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0.0006.</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total shares listed represent the corrected total of the derivative securities held by the individual as of August 30, 2010, which has been adjusted to reflect an increase due to rounding of 0.0008.</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62.0403 shares acquired on August 4, 2010 pursuant to a dividend reinvestment.</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Krista Ebbens, as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09/02/2010</w:t>
            </w:r>
          </w:p>
        </w:tc>
        <w:tc>
          <w:tcPr>
            <w:tcW w:w="0" w:type="dxa"/>
            <w:vAlign w:val="bottom"/>
          </w:tcPr>
          <w:p>
            <w:pPr>
              <w:spacing w:after="0"/>
              <w:rPr>
                <w:sz w:val="1"/>
                <w:szCs w:val="1"/>
                <w:color w:val="auto"/>
              </w:rPr>
            </w:pPr>
          </w:p>
        </w:tc>
      </w:tr>
      <w:tr>
        <w:trPr>
          <w:trHeight w:val="85"/>
        </w:trPr>
        <w:tc>
          <w:tcPr>
            <w:tcW w:w="300" w:type="dxa"/>
            <w:vAlign w:val="bottom"/>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2019-12-18T16:36:44Z</dcterms:created>
  <dcterms:modified xsi:type="dcterms:W3CDTF">2019-12-18T16:36:44Z</dcterms:modified>
</cp:coreProperties>
</file>