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-184785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4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41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5353050</wp:posOffset>
            </wp:positionH>
            <wp:positionV relativeFrom="paragraph">
              <wp:posOffset>-602615</wp:posOffset>
            </wp:positionV>
            <wp:extent cx="57150" cy="6159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-1841500</wp:posOffset>
            </wp:positionH>
            <wp:positionV relativeFrom="paragraph">
              <wp:posOffset>18415</wp:posOffset>
            </wp:positionV>
            <wp:extent cx="7328535" cy="4048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853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520"/>
            <w:col w:w="864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ALLENDER PATRICK W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2733 MARIE ANTOINETTE STREET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11/01/2011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HENDERSON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4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1,131.1969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13,997.4427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6"/>
                <w:vertAlign w:val="superscript"/>
              </w:rPr>
              <w:t>(1)(2)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Compensation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11/01/2011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1,131.1969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29.8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9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1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79.9932 shares acquired pursuant to a deferred compensation dividend on November 2, 2011.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4320" w:hanging="4"/>
        <w:spacing w:after="0" w:line="321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2019-12-18T16:12:56Z</dcterms:created>
  <dcterms:modified xsi:type="dcterms:W3CDTF">2019-12-18T16:12:56Z</dcterms:modified>
</cp:coreProperties>
</file>