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11-K</w:t>
      </w:r>
    </w:p>
    <w:p>
      <w:pPr>
        <w:spacing w:after="0" w:line="216" w:lineRule="exact"/>
        <w:rPr>
          <w:sz w:val="20"/>
          <w:szCs w:val="20"/>
          <w:color w:val="auto"/>
        </w:rPr>
      </w:pPr>
    </w:p>
    <w:p>
      <w:pPr>
        <w:ind w:left="1460" w:right="1459" w:hanging="890"/>
        <w:spacing w:after="0" w:line="261"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2009</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189" w:lineRule="exact"/>
        <w:rPr>
          <w:sz w:val="20"/>
          <w:szCs w:val="20"/>
          <w:color w:val="auto"/>
        </w:rPr>
      </w:pPr>
    </w:p>
    <w:p>
      <w:pPr>
        <w:ind w:left="1460" w:right="1059" w:hanging="850"/>
        <w:spacing w:after="0" w:line="261"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35" w:lineRule="exact"/>
        <w:rPr>
          <w:sz w:val="20"/>
          <w:szCs w:val="20"/>
          <w:color w:val="auto"/>
        </w:rPr>
      </w:pPr>
    </w:p>
    <w:p>
      <w:pPr>
        <w:ind w:left="1460"/>
        <w:spacing w:after="0"/>
        <w:tabs>
          <w:tab w:leader="none" w:pos="50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-5080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15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Commission file number 1-14959 Brady Corporation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32" w:lineRule="exact"/>
        <w:rPr>
          <w:sz w:val="20"/>
          <w:szCs w:val="20"/>
          <w:color w:val="auto"/>
        </w:rPr>
      </w:pPr>
    </w:p>
    <w:p>
      <w:pPr>
        <w:ind w:left="1780"/>
        <w:spacing w:after="0"/>
        <w:rPr>
          <w:sz w:val="20"/>
          <w:szCs w:val="20"/>
          <w:color w:val="auto"/>
        </w:rPr>
      </w:pPr>
      <w:r>
        <w:rPr>
          <w:rFonts w:ascii="Arial" w:cs="Arial" w:eastAsia="Arial" w:hAnsi="Arial"/>
          <w:sz w:val="43"/>
          <w:szCs w:val="43"/>
          <w:b w:val="1"/>
          <w:bCs w:val="1"/>
          <w:color w:val="auto"/>
        </w:rPr>
        <w:t>BRADY MATCHED 401(k) PLAN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BRADY CORPORATION</w:t>
      </w:r>
    </w:p>
    <w:p>
      <w:pPr>
        <w:jc w:val="center"/>
        <w:ind w:right="219"/>
        <w:spacing w:after="0" w:line="234" w:lineRule="auto"/>
        <w:rPr>
          <w:sz w:val="20"/>
          <w:szCs w:val="20"/>
          <w:color w:val="auto"/>
        </w:rPr>
      </w:pPr>
      <w:r>
        <w:rPr>
          <w:rFonts w:ascii="Arial" w:cs="Arial" w:eastAsia="Arial" w:hAnsi="Arial"/>
          <w:sz w:val="18"/>
          <w:szCs w:val="18"/>
          <w:color w:val="auto"/>
        </w:rPr>
        <w:t>6555 WEST GOOD HOPE ROAD</w:t>
      </w:r>
    </w:p>
    <w:p>
      <w:pPr>
        <w:jc w:val="center"/>
        <w:ind w:right="219"/>
        <w:spacing w:after="0" w:line="235" w:lineRule="auto"/>
        <w:rPr>
          <w:sz w:val="20"/>
          <w:szCs w:val="20"/>
          <w:color w:val="auto"/>
        </w:rPr>
      </w:pPr>
      <w:r>
        <w:rPr>
          <w:rFonts w:ascii="Arial" w:cs="Arial" w:eastAsia="Arial" w:hAnsi="Arial"/>
          <w:sz w:val="18"/>
          <w:szCs w:val="18"/>
          <w:color w:val="auto"/>
        </w:rPr>
        <w:t>PO BOX 571</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MILWAUKEE WI 53202-0571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126365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143510</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189" w:lineRule="exact"/>
        <w:rPr>
          <w:sz w:val="20"/>
          <w:szCs w:val="20"/>
          <w:color w:val="auto"/>
        </w:rPr>
      </w:pPr>
    </w:p>
    <w:p>
      <w:pPr>
        <w:ind w:left="340" w:right="559"/>
        <w:spacing w:after="0" w:line="267" w:lineRule="auto"/>
        <w:rPr>
          <w:sz w:val="20"/>
          <w:szCs w:val="20"/>
          <w:color w:val="auto"/>
        </w:rPr>
      </w:pPr>
      <w:r>
        <w:rPr>
          <w:rFonts w:ascii="Arial" w:cs="Arial" w:eastAsia="Arial" w:hAnsi="Arial"/>
          <w:sz w:val="18"/>
          <w:szCs w:val="18"/>
          <w:i w:val="1"/>
          <w:iCs w:val="1"/>
          <w:color w:val="auto"/>
        </w:rPr>
        <w:t>Financial Statements as of and for the Years Ended December 31, 2009 and 2008, Supplemental Schedule as of December 31, 2009, and 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592455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jc w:val="center"/>
        <w:ind w:right="559"/>
        <w:spacing w:after="0"/>
        <w:rPr>
          <w:sz w:val="20"/>
          <w:szCs w:val="20"/>
          <w:color w:val="auto"/>
        </w:rPr>
      </w:pPr>
      <w:r>
        <w:rPr>
          <w:rFonts w:ascii="Arial" w:cs="Arial" w:eastAsia="Arial" w:hAnsi="Arial"/>
          <w:sz w:val="18"/>
          <w:szCs w:val="18"/>
          <w:b w:val="1"/>
          <w:bCs w:val="1"/>
          <w:color w:val="auto"/>
        </w:rPr>
        <w:t>BRADY MATCHED 401(k) PLAN</w:t>
      </w:r>
    </w:p>
    <w:p>
      <w:pPr>
        <w:spacing w:after="0" w:line="1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TABLE OF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365"/>
        </w:trPr>
        <w:tc>
          <w:tcPr>
            <w:tcW w:w="728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608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FINANCIAL STATEMENTS</w:t>
            </w: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65"/>
        </w:trPr>
        <w:tc>
          <w:tcPr>
            <w:tcW w:w="20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Changes in Net Assets Available for Benefits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Financial Statements</w:t>
              </w:r>
            </w:hyperlink>
          </w:p>
        </w:tc>
        <w:tc>
          <w:tcPr>
            <w:tcW w:w="2320" w:type="dxa"/>
            <w:vAlign w:val="bottom"/>
            <w:tcBorders>
              <w:top w:val="single" w:sz="8" w:color="0000EE"/>
            </w:tcBorders>
            <w:gridSpan w:val="2"/>
          </w:tcPr>
          <w:p>
            <w:pPr>
              <w:spacing w:after="0"/>
              <w:rPr>
                <w:sz w:val="24"/>
                <w:szCs w:val="24"/>
                <w:color w:val="auto"/>
              </w:rPr>
            </w:pPr>
          </w:p>
        </w:tc>
        <w:tc>
          <w:tcPr>
            <w:tcW w:w="236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25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SUPPLEMENTAL SCHEDULE</w:t>
              </w:r>
            </w:hyperlink>
          </w:p>
        </w:tc>
        <w:tc>
          <w:tcPr>
            <w:tcW w:w="478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5"/>
        </w:trPr>
        <w:tc>
          <w:tcPr>
            <w:tcW w:w="20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Schedule H, Line 4i — Schedule of Assets (Held at End of Year)</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Consent of Clifton Gunderson LLP</w:t>
      </w:r>
    </w:p>
    <w:p>
      <w:pPr>
        <w:spacing w:after="0" w:line="181" w:lineRule="exact"/>
        <w:rPr>
          <w:sz w:val="20"/>
          <w:szCs w:val="20"/>
          <w:color w:val="auto"/>
        </w:rPr>
      </w:pPr>
    </w:p>
    <w:p>
      <w:pPr>
        <w:jc w:val="both"/>
        <w:ind w:left="720" w:right="559" w:hanging="719"/>
        <w:spacing w:after="0"/>
        <w:tabs>
          <w:tab w:leader="none" w:pos="700" w:val="left"/>
        </w:tabs>
        <w:rPr>
          <w:sz w:val="20"/>
          <w:szCs w:val="20"/>
          <w:color w:val="auto"/>
        </w:rPr>
      </w:pPr>
      <w:r>
        <w:rPr>
          <w:rFonts w:ascii="Arial" w:cs="Arial" w:eastAsia="Arial" w:hAnsi="Arial"/>
          <w:sz w:val="18"/>
          <w:szCs w:val="18"/>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607695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Retirement Committee</w:t>
      </w:r>
    </w:p>
    <w:p>
      <w:pPr>
        <w:ind w:left="340"/>
        <w:spacing w:after="0" w:line="234" w:lineRule="auto"/>
        <w:rPr>
          <w:sz w:val="20"/>
          <w:szCs w:val="20"/>
          <w:color w:val="auto"/>
        </w:rPr>
      </w:pPr>
      <w:r>
        <w:rPr>
          <w:rFonts w:ascii="Arial" w:cs="Arial" w:eastAsia="Arial" w:hAnsi="Arial"/>
          <w:sz w:val="18"/>
          <w:szCs w:val="18"/>
          <w:color w:val="auto"/>
        </w:rPr>
        <w:t>Brady Matched 401(k) Plan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Wisconsin</w:t>
      </w:r>
    </w:p>
    <w:p>
      <w:pPr>
        <w:spacing w:after="0" w:line="171"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We have audited the accompanying statements of net assets available for benefits of Brady Matched 401(k) Plan as of December 31, 2009 and 2008,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61"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Brady Matched 401(k) Plan as of December 31, 2009 and 2008, and the changes in net assets available for benefits for the years then ended in conformity with United States generally accepted accounting principles.</w:t>
      </w:r>
    </w:p>
    <w:p>
      <w:pPr>
        <w:spacing w:after="0" w:line="161"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accompanying supplemental schedule is presented for purposes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presented fairly, in all material respects in relation to the basic financial statements taken as a whole.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Clifton Gunderson LLP</w:t>
      </w:r>
    </w:p>
    <w:p>
      <w:pPr>
        <w:ind w:left="340"/>
        <w:spacing w:after="0" w:line="234" w:lineRule="auto"/>
        <w:rPr>
          <w:sz w:val="20"/>
          <w:szCs w:val="20"/>
          <w:color w:val="auto"/>
        </w:rPr>
      </w:pPr>
      <w:r>
        <w:rPr>
          <w:rFonts w:ascii="Arial" w:cs="Arial" w:eastAsia="Arial" w:hAnsi="Arial"/>
          <w:sz w:val="18"/>
          <w:szCs w:val="18"/>
          <w:color w:val="auto"/>
        </w:rPr>
        <w:t>Milwaukee, Wisconsin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29, 2010</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54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BRADY MATCHED 401(K) PLAN</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40" w:type="dxa"/>
            <w:vAlign w:val="bottom"/>
            <w:gridSpan w:val="3"/>
          </w:tcPr>
          <w:p>
            <w:pPr>
              <w:jc w:val="center"/>
              <w:ind w:left="150"/>
              <w:spacing w:after="0" w:line="202" w:lineRule="exact"/>
              <w:rPr>
                <w:sz w:val="20"/>
                <w:szCs w:val="20"/>
                <w:color w:val="auto"/>
              </w:rPr>
            </w:pPr>
            <w:r>
              <w:rPr>
                <w:rFonts w:ascii="Arial" w:cs="Arial" w:eastAsia="Arial" w:hAnsi="Arial"/>
                <w:sz w:val="18"/>
                <w:szCs w:val="18"/>
                <w:b w:val="1"/>
                <w:bCs w:val="1"/>
                <w:color w:val="auto"/>
                <w:w w:val="98"/>
              </w:rPr>
              <w:t>STATEMENTS OF NET ASSETS AVAILABLE FOR BENEFITS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December 31, 2009 and 2008</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ASSETS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4"/>
                <w:szCs w:val="24"/>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Investments — at fair value</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w w:val="99"/>
              </w:rPr>
              <w:t>$ 150,571,706</w:t>
            </w:r>
          </w:p>
        </w:tc>
        <w:tc>
          <w:tcPr>
            <w:tcW w:w="34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$ 118,493,171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Cash</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Receivables</w:t>
            </w:r>
          </w:p>
        </w:tc>
        <w:tc>
          <w:tcPr>
            <w:tcW w:w="1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Company contributions</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730,242</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658,881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Participant contributions</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252,800</w:t>
            </w:r>
          </w:p>
        </w:tc>
        <w:tc>
          <w:tcPr>
            <w:tcW w:w="34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receivables</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983,042</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658,881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560" w:type="dxa"/>
            <w:vAlign w:val="bottom"/>
            <w:gridSpan w:val="2"/>
          </w:tcPr>
          <w:p>
            <w:pPr>
              <w:ind w:left="600"/>
              <w:spacing w:after="0"/>
              <w:rPr>
                <w:sz w:val="20"/>
                <w:szCs w:val="20"/>
                <w:color w:val="auto"/>
              </w:rPr>
            </w:pPr>
            <w:r>
              <w:rPr>
                <w:rFonts w:ascii="Arial" w:cs="Arial" w:eastAsia="Arial" w:hAnsi="Arial"/>
                <w:sz w:val="18"/>
                <w:szCs w:val="18"/>
                <w:color w:val="auto"/>
              </w:rPr>
              <w:t>Total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151,554,755</w:t>
            </w:r>
          </w:p>
        </w:tc>
        <w:tc>
          <w:tcPr>
            <w:tcW w:w="34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119,154,311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15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(6,866)</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 AVAILABLE FOR BENEFITS AT FAIR VALUE</w:t>
            </w: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560" w:type="dxa"/>
            <w:vAlign w:val="bottom"/>
            <w:gridSpan w:val="2"/>
            <w:vMerge w:val="continue"/>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151,547,889</w:t>
            </w:r>
          </w:p>
        </w:tc>
        <w:tc>
          <w:tcPr>
            <w:tcW w:w="34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119,149,059</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Adjustments from fair value to contract value for fully benefit-responsive</w:t>
            </w: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investment contracts</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44,408</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800,143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560" w:type="dxa"/>
            <w:vAlign w:val="bottom"/>
            <w:gridSpan w:val="2"/>
            <w:vMerge w:val="continue"/>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$ 151,592,297</w:t>
            </w:r>
          </w:p>
        </w:tc>
        <w:tc>
          <w:tcPr>
            <w:tcW w:w="34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$ 119,949,202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54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BRADY MATCHED 401(K) PLAN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40" w:type="dxa"/>
            <w:vAlign w:val="bottom"/>
            <w:gridSpan w:val="4"/>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STATEMENTS OF CHANGES IN NET ASSETS AVAILABLE FOR BENEFITS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Years Ended December 31, 2009 and 2008</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ADDITIONS TO (DEDUCTIONS FROM) NET ASSETS ATTRIBUTED TO</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Contributions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Participant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7,393,574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7,818,534</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17"/>
                <w:szCs w:val="17"/>
                <w:color w:val="auto"/>
              </w:rPr>
            </w:pPr>
          </w:p>
        </w:tc>
        <w:tc>
          <w:tcPr>
            <w:tcW w:w="13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4,165,190</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3,727,254</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Rollover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229,034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480,491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 w:type="dxa"/>
            <w:vAlign w:val="bottom"/>
          </w:tcPr>
          <w:p>
            <w:pPr>
              <w:spacing w:after="0"/>
              <w:rPr>
                <w:sz w:val="24"/>
                <w:szCs w:val="24"/>
                <w:color w:val="auto"/>
              </w:rPr>
            </w:pPr>
          </w:p>
        </w:tc>
        <w:tc>
          <w:tcPr>
            <w:tcW w:w="6560" w:type="dxa"/>
            <w:vAlign w:val="bottom"/>
            <w:gridSpan w:val="2"/>
          </w:tcPr>
          <w:p>
            <w:pPr>
              <w:ind w:left="600"/>
              <w:spacing w:after="0"/>
              <w:rPr>
                <w:sz w:val="20"/>
                <w:szCs w:val="20"/>
                <w:color w:val="auto"/>
              </w:rPr>
            </w:pPr>
            <w:r>
              <w:rPr>
                <w:rFonts w:ascii="Arial" w:cs="Arial" w:eastAsia="Arial" w:hAnsi="Arial"/>
                <w:sz w:val="18"/>
                <w:szCs w:val="18"/>
                <w:color w:val="auto"/>
              </w:rPr>
              <w:t>Total contributions</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11,787,798</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12,026,279</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income (loss)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Net appreciation (depreciation) in fair value of investments</w:t>
            </w:r>
          </w:p>
        </w:tc>
        <w:tc>
          <w:tcPr>
            <w:tcW w:w="140" w:type="dxa"/>
            <w:vAlign w:val="bottom"/>
          </w:tcPr>
          <w:p>
            <w:pPr>
              <w:spacing w:after="0"/>
              <w:rPr>
                <w:sz w:val="17"/>
                <w:szCs w:val="17"/>
                <w:color w:val="auto"/>
              </w:rPr>
            </w:pPr>
          </w:p>
        </w:tc>
        <w:tc>
          <w:tcPr>
            <w:tcW w:w="13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25,620,160</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(56,078,307)</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2,361,252</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2,742,741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7"/>
                <w:szCs w:val="17"/>
                <w:color w:val="auto"/>
              </w:rPr>
            </w:pPr>
          </w:p>
        </w:tc>
        <w:tc>
          <w:tcPr>
            <w:tcW w:w="13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144,780</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341,224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Net investment income (loss)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28,126,192</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(52,994,342)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Benefits paid to participants</w:t>
            </w:r>
          </w:p>
        </w:tc>
        <w:tc>
          <w:tcPr>
            <w:tcW w:w="14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(18,027,408)</w:t>
            </w:r>
          </w:p>
        </w:tc>
        <w:tc>
          <w:tcPr>
            <w:tcW w:w="1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(15,234,383)</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(319,081)</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(290,915)</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Transfers of assets from Affiliated Plans</w:t>
            </w:r>
          </w:p>
        </w:tc>
        <w:tc>
          <w:tcPr>
            <w:tcW w:w="140" w:type="dxa"/>
            <w:vAlign w:val="bottom"/>
          </w:tcPr>
          <w:p>
            <w:pPr>
              <w:spacing w:after="0"/>
              <w:rPr>
                <w:sz w:val="17"/>
                <w:szCs w:val="17"/>
                <w:color w:val="auto"/>
              </w:rPr>
            </w:pPr>
          </w:p>
        </w:tc>
        <w:tc>
          <w:tcPr>
            <w:tcW w:w="13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10,075,594</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 (DECREASE)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31,643,095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(56,493,361)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119,949,202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176,442,563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AVAILABLE FOR BENEFITS, END OF YEAR</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151,592,297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119,949,202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jc w:val="center"/>
        <w:ind w:right="219"/>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DESCRIPTION OF THE PLAN</w:t>
      </w:r>
    </w:p>
    <w:p>
      <w:pPr>
        <w:spacing w:after="0" w:line="19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General</w:t>
      </w:r>
    </w:p>
    <w:p>
      <w:pPr>
        <w:spacing w:after="0" w:line="207"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co-op students, on-call employees or interns. An employee may become a participant in the Plan on the employee’s initial date of employment. The Plan is subject to the provisions of the Employee Retirement Income Security Act of 1974, as amended (ERISA).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9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Each year, participants may contribute up to 50% of their annual base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$245,000 for calendar year 2009, adjusted for inflation. Participants self-direct all participant and Company contributions.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19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161"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For any newly eligible participant, the Plan will automatically withhold 3% of the employee’s pay, on a pre-tax basis unless otherwise directed by the employee. The withheld funds will be deposited into an account under the employee’s name in the Plan, unless a waiver form was completed by the employee prior to receiving compensation for the first time subsequent to becoming eligible to participate.</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jc w:val="center"/>
        <w:ind w:right="219"/>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1 — DESCRIPTION OF THE PLAN </w:t>
      </w:r>
      <w:r>
        <w:rPr>
          <w:rFonts w:ascii="Arial" w:cs="Arial" w:eastAsia="Arial" w:hAnsi="Arial"/>
          <w:sz w:val="18"/>
          <w:szCs w:val="18"/>
          <w:color w:val="auto"/>
        </w:rPr>
        <w:t>(continued)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Investments</w:t>
      </w:r>
    </w:p>
    <w:p>
      <w:pPr>
        <w:spacing w:after="0" w:line="19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Investment options include various equity funds, a common collective trust fund, a bond fund, two money market funds, and Brady Corporation Class A Non-Voting Common Stock.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Vesting</w:t>
      </w:r>
    </w:p>
    <w:p>
      <w:pPr>
        <w:spacing w:after="0" w:line="19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Plan provides for full vesting of participants’ contributions from the date they are made. Company contributions will become vested after a two-year period of continuous service for all contributions made after January 1, 2008. The participants’ share of the Company contribution becomes fully vested, in any event, upon normal retirement at age 65, termination due to permanent or total disability or death.</w:t>
      </w:r>
    </w:p>
    <w:p>
      <w:pPr>
        <w:spacing w:after="0" w:line="161"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Participant Loans</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Participants may borrow from their plan accounts a minimum of $1,000 and up to 50% of their account balance with a maximum of $50,000. The loans are secured by the balance in the participant’s account and bear interest at the prime rate. As of December 31, 2009, the interest rates on outstanding loans range from 3.25% to 10.25%.</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207"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19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At December 31, 2009 and 2008, forfeited non-vested accounts totaled $282,737 and $103,340, respectively. These amounts were used to reduce employer contribution receivables as of December 31, 2009 and 2008.</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jc w:val="center"/>
        <w:ind w:right="219"/>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right="4379"/>
        <w:spacing w:after="0" w:line="451" w:lineRule="auto"/>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b w:val="1"/>
          <w:bCs w:val="1"/>
          <w:u w:val="single" w:color="auto"/>
          <w:color w:val="auto"/>
        </w:rPr>
        <w:t>Basis of Accounting</w:t>
      </w:r>
    </w:p>
    <w:p>
      <w:pPr>
        <w:jc w:val="both"/>
        <w:ind w:left="340" w:right="559"/>
        <w:spacing w:after="0" w:line="246" w:lineRule="auto"/>
        <w:rPr>
          <w:sz w:val="20"/>
          <w:szCs w:val="20"/>
          <w:color w:val="auto"/>
        </w:rPr>
      </w:pPr>
      <w:r>
        <w:rPr>
          <w:rFonts w:ascii="Arial" w:cs="Arial" w:eastAsia="Arial" w:hAnsi="Arial"/>
          <w:sz w:val="18"/>
          <w:szCs w:val="18"/>
          <w:color w:val="auto"/>
        </w:rPr>
        <w:t>The accompanying financial statements have been prepared under the accrual basis in accordance with accounting principles generally accepted in the United States of America (GAAP).</w:t>
      </w:r>
    </w:p>
    <w:p>
      <w:pPr>
        <w:spacing w:after="0" w:line="170"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Investment contracts held by a defined-contribution plan are required to be reported at fair value. However, contract value is the relevant measurement attribute for that portion of the net assets available for benefits for a defined contribution plan attributable for fully benefit-responsive investment contracts because contract value is the amount participants would receive if they were to initiate permitted transactions under the terms of the plans.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193"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Plan utilizes various investment instruments, including mutual funds, common stock and a common collective trust fund.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jc w:val="center"/>
        <w:ind w:right="219"/>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Refer to Note 4 below.</w:t>
      </w:r>
    </w:p>
    <w:p>
      <w:pPr>
        <w:spacing w:after="0" w:line="176"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62"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207"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Administrative fees are paid by the Plan. The Company pays the other accounting, investment management, legal and miscellaneous fees of the Plan.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19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Benefit payments to participants are recorded upon distribution. There were no amounts allocated to accounts of persons who have elected to withdraw from the Plan, but have not yet been paid as of December 31, 2009 and 2008.</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Plan is required to return contributions received during the Plan year in excess of the IRC limits to the contributing participants. There were excess contributions of $6,866 and $5,252 for the years ended December 31, 2009 and 2008, respectively.</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jc w:val="center"/>
        <w:ind w:right="1420"/>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INVESTMENTS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individual investments held which exceeded 5% of the net assets available for benefits at December 31,</w:t>
      </w:r>
    </w:p>
    <w:p>
      <w:pPr>
        <w:ind w:left="340"/>
        <w:spacing w:after="0"/>
        <w:rPr>
          <w:sz w:val="20"/>
          <w:szCs w:val="20"/>
          <w:color w:val="auto"/>
        </w:rPr>
      </w:pPr>
      <w:r>
        <w:rPr>
          <w:rFonts w:ascii="Arial" w:cs="Arial" w:eastAsia="Arial" w:hAnsi="Arial"/>
          <w:sz w:val="18"/>
          <w:szCs w:val="18"/>
          <w:color w:val="auto"/>
        </w:rPr>
        <w:t>2009 and 2008, was as follows: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6620" w:type="dxa"/>
            <w:vAlign w:val="bottom"/>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Growth Fund of America</w:t>
            </w:r>
          </w:p>
        </w:tc>
        <w:tc>
          <w:tcPr>
            <w:tcW w:w="156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  26,267,719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PNC Investment Contract Fund*</w:t>
            </w:r>
          </w:p>
        </w:tc>
        <w:tc>
          <w:tcPr>
            <w:tcW w:w="15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**17,708,602</w:t>
            </w:r>
          </w:p>
        </w:tc>
        <w:tc>
          <w:tcPr>
            <w:tcW w:w="12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20,931,871</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Institutional Index Fund</w:t>
            </w:r>
          </w:p>
        </w:tc>
        <w:tc>
          <w:tcPr>
            <w:tcW w:w="15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12,254,421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9,746,536</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Vanguard Total Bond Index Inst</w:t>
            </w:r>
          </w:p>
        </w:tc>
        <w:tc>
          <w:tcPr>
            <w:tcW w:w="15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11,663,878</w:t>
            </w:r>
          </w:p>
        </w:tc>
        <w:tc>
          <w:tcPr>
            <w:tcW w:w="12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9,496,041</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Diversified International Fund</w:t>
            </w:r>
          </w:p>
        </w:tc>
        <w:tc>
          <w:tcPr>
            <w:tcW w:w="15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11,219,485</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7,434,435</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Vanguard Prime Mmkt Inst</w:t>
            </w:r>
          </w:p>
        </w:tc>
        <w:tc>
          <w:tcPr>
            <w:tcW w:w="15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10,856,178</w:t>
            </w:r>
          </w:p>
        </w:tc>
        <w:tc>
          <w:tcPr>
            <w:tcW w:w="12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Oppenheimer Developing Markets</w:t>
            </w:r>
          </w:p>
        </w:tc>
        <w:tc>
          <w:tcPr>
            <w:tcW w:w="15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8,718,437</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LSV Value Equity Fund</w:t>
            </w:r>
          </w:p>
        </w:tc>
        <w:tc>
          <w:tcPr>
            <w:tcW w:w="15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7,727,108</w:t>
            </w:r>
          </w:p>
        </w:tc>
        <w:tc>
          <w:tcPr>
            <w:tcW w:w="12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Advisors Equity Growth Fund</w:t>
            </w:r>
          </w:p>
        </w:tc>
        <w:tc>
          <w:tcPr>
            <w:tcW w:w="15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21,803,220</w:t>
            </w:r>
          </w:p>
        </w:tc>
      </w:tr>
      <w:tr>
        <w:trPr>
          <w:trHeight w:val="217"/>
        </w:trPr>
        <w:tc>
          <w:tcPr>
            <w:tcW w:w="6620" w:type="dxa"/>
            <w:vAlign w:val="bottom"/>
          </w:tcPr>
          <w:p>
            <w:pPr>
              <w:spacing w:after="0"/>
              <w:rPr>
                <w:sz w:val="20"/>
                <w:szCs w:val="20"/>
                <w:color w:val="auto"/>
              </w:rPr>
            </w:pPr>
            <w:r>
              <w:rPr>
                <w:rFonts w:ascii="Arial" w:cs="Arial" w:eastAsia="Arial" w:hAnsi="Arial"/>
                <w:sz w:val="18"/>
                <w:szCs w:val="18"/>
                <w:color w:val="auto"/>
              </w:rPr>
              <w:t>Vanguard Admiral Treasury</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11,982,850</w:t>
            </w:r>
          </w:p>
        </w:tc>
      </w:tr>
    </w:tbl>
    <w:p>
      <w:pPr>
        <w:spacing w:after="0" w:line="106"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Party-in-interest in the Plan.</w:t>
      </w:r>
    </w:p>
    <w:p>
      <w:pPr>
        <w:spacing w:after="0" w:line="63"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63"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5% of the Plan’s net assets.</w:t>
      </w:r>
    </w:p>
    <w:p>
      <w:pPr>
        <w:spacing w:after="0" w:line="171" w:lineRule="exact"/>
        <w:rPr>
          <w:sz w:val="20"/>
          <w:szCs w:val="20"/>
          <w:color w:val="auto"/>
        </w:rPr>
      </w:pPr>
    </w:p>
    <w:p>
      <w:pPr>
        <w:ind w:left="340" w:right="1760"/>
        <w:spacing w:after="0" w:line="246" w:lineRule="auto"/>
        <w:rPr>
          <w:sz w:val="20"/>
          <w:szCs w:val="20"/>
          <w:color w:val="auto"/>
        </w:rPr>
      </w:pPr>
      <w:r>
        <w:rPr>
          <w:rFonts w:ascii="Arial" w:cs="Arial" w:eastAsia="Arial" w:hAnsi="Arial"/>
          <w:sz w:val="18"/>
          <w:szCs w:val="18"/>
          <w:color w:val="auto"/>
        </w:rPr>
        <w:t>During the years ended December 31, 2009 and 2008, the Plan’s investments (including gains and losses on investments bought and sold, as well as held during the year) appreciated (depreciated) in value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funds</w:t>
            </w:r>
          </w:p>
        </w:tc>
        <w:tc>
          <w:tcPr>
            <w:tcW w:w="14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w w:val="98"/>
              </w:rPr>
              <w:t>$ 23,579,784</w:t>
            </w:r>
          </w:p>
        </w:tc>
        <w:tc>
          <w:tcPr>
            <w:tcW w:w="1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(56,095,828)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Bond fund</w:t>
            </w:r>
          </w:p>
        </w:tc>
        <w:tc>
          <w:tcPr>
            <w:tcW w:w="14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184,160</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218,740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collective trust fund</w:t>
            </w:r>
          </w:p>
        </w:tc>
        <w:tc>
          <w:tcPr>
            <w:tcW w:w="14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585,435</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936,525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Brady Corporation common stock</w:t>
            </w:r>
          </w:p>
        </w:tc>
        <w:tc>
          <w:tcPr>
            <w:tcW w:w="14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1,270,781</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(1,137,744)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appreciation (depreciation) in fair value of investments</w:t>
            </w:r>
          </w:p>
        </w:tc>
        <w:tc>
          <w:tcPr>
            <w:tcW w:w="14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$ 25,620,160</w:t>
            </w:r>
          </w:p>
        </w:tc>
        <w:tc>
          <w:tcPr>
            <w:tcW w:w="1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(56,078,307)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80" w:type="dxa"/>
            <w:vAlign w:val="bottom"/>
            <w:vMerge w:val="restart"/>
          </w:tcPr>
          <w:p>
            <w:pPr>
              <w:ind w:left="4600"/>
              <w:spacing w:after="0"/>
              <w:rPr>
                <w:sz w:val="20"/>
                <w:szCs w:val="20"/>
                <w:color w:val="auto"/>
              </w:rPr>
            </w:pPr>
            <w:r>
              <w:rPr>
                <w:rFonts w:ascii="Arial" w:cs="Arial" w:eastAsia="Arial" w:hAnsi="Arial"/>
                <w:sz w:val="18"/>
                <w:szCs w:val="18"/>
                <w:color w:val="auto"/>
              </w:rPr>
              <w:t>8</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668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jc w:val="center"/>
        <w:ind w:right="219"/>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FAIR VALUE MEASUREMENT</w:t>
      </w:r>
    </w:p>
    <w:p>
      <w:pPr>
        <w:spacing w:after="0" w:line="19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GAAP establishes a hierarchal disclosure framework which prioritizes and ranks the level of observable inputs used in measuring fair value.</w:t>
      </w:r>
    </w:p>
    <w:p>
      <w:pPr>
        <w:spacing w:after="0" w:line="156"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Additionally, GAAP defines fair value as the price that would be received upon the sale of an asset or paid to transfer a liability in an orderly transaction between market participants at the measurement date (exit price). The Plan primarily applies the market approach for recurring fair value measurements and attempts to utilize the best available information. Accordingly, the Plan also utilizes valuation techniques that maximize the use of observable inputs and minimize the use of unobservable inputs. The Plan is able to classify fair value balances based on the observability of those inputs. The hierarchy gives the highest priority to unadjusted quoted prices in active markets for identical assets or liabilities (Level 1) and the lowest priority to unobservable inputs (Level 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Plan’s net assets measured at fair market value are classified in one of the following categories:</w:t>
      </w:r>
    </w:p>
    <w:p>
      <w:pPr>
        <w:spacing w:after="0" w:line="171" w:lineRule="exact"/>
        <w:rPr>
          <w:sz w:val="20"/>
          <w:szCs w:val="20"/>
          <w:color w:val="auto"/>
        </w:rPr>
      </w:pPr>
    </w:p>
    <w:p>
      <w:pPr>
        <w:jc w:val="both"/>
        <w:ind w:left="1060" w:right="559" w:hanging="728"/>
        <w:spacing w:after="0" w:line="246" w:lineRule="auto"/>
        <w:tabs>
          <w:tab w:leader="none" w:pos="1040" w:val="left"/>
        </w:tabs>
        <w:rPr>
          <w:sz w:val="20"/>
          <w:szCs w:val="20"/>
          <w:color w:val="auto"/>
        </w:rPr>
      </w:pPr>
      <w:r>
        <w:rPr>
          <w:rFonts w:ascii="Arial" w:cs="Arial" w:eastAsia="Arial" w:hAnsi="Arial"/>
          <w:sz w:val="18"/>
          <w:szCs w:val="18"/>
          <w:color w:val="auto"/>
        </w:rPr>
        <w:t>Level 1</w:t>
        <w:tab/>
        <w:t>Assets for which fair value is based on quoted market prices in active markets for identical instruments as of the reporting date.</w:t>
      </w:r>
    </w:p>
    <w:p>
      <w:pPr>
        <w:spacing w:after="0" w:line="156" w:lineRule="exact"/>
        <w:rPr>
          <w:sz w:val="20"/>
          <w:szCs w:val="20"/>
          <w:color w:val="auto"/>
        </w:rPr>
      </w:pPr>
    </w:p>
    <w:p>
      <w:pPr>
        <w:jc w:val="both"/>
        <w:ind w:left="1060" w:right="559" w:hanging="728"/>
        <w:spacing w:after="0" w:line="246" w:lineRule="auto"/>
        <w:tabs>
          <w:tab w:leader="none" w:pos="1040" w:val="left"/>
        </w:tabs>
        <w:rPr>
          <w:sz w:val="20"/>
          <w:szCs w:val="20"/>
          <w:color w:val="auto"/>
        </w:rPr>
      </w:pPr>
      <w:r>
        <w:rPr>
          <w:rFonts w:ascii="Arial" w:cs="Arial" w:eastAsia="Arial" w:hAnsi="Arial"/>
          <w:sz w:val="18"/>
          <w:szCs w:val="18"/>
          <w:color w:val="auto"/>
        </w:rPr>
        <w:t>Level 2</w:t>
        <w:tab/>
        <w:t>Assets for which fair value is based on valuation models for which pricing inputs were either directly or indirectly observable</w:t>
      </w:r>
    </w:p>
    <w:p>
      <w:pPr>
        <w:spacing w:after="0" w:line="170" w:lineRule="exact"/>
        <w:rPr>
          <w:sz w:val="20"/>
          <w:szCs w:val="20"/>
          <w:color w:val="auto"/>
        </w:rPr>
      </w:pPr>
    </w:p>
    <w:p>
      <w:pPr>
        <w:jc w:val="both"/>
        <w:ind w:left="1060" w:right="559" w:hanging="728"/>
        <w:spacing w:after="0" w:line="246" w:lineRule="auto"/>
        <w:tabs>
          <w:tab w:leader="none" w:pos="1040" w:val="left"/>
        </w:tabs>
        <w:rPr>
          <w:sz w:val="20"/>
          <w:szCs w:val="20"/>
          <w:color w:val="auto"/>
        </w:rPr>
      </w:pPr>
      <w:r>
        <w:rPr>
          <w:rFonts w:ascii="Arial" w:cs="Arial" w:eastAsia="Arial" w:hAnsi="Arial"/>
          <w:sz w:val="18"/>
          <w:szCs w:val="18"/>
          <w:color w:val="auto"/>
        </w:rPr>
        <w:t>Level 3</w:t>
        <w:tab/>
        <w:t>Assets for which fair value is based on valuation models with significant unobservable pricing inputs and which result in the use of management estimates.</w:t>
      </w:r>
    </w:p>
    <w:p>
      <w:pPr>
        <w:spacing w:after="0" w:line="156"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2009.</w:t>
      </w:r>
    </w:p>
    <w:p>
      <w:pPr>
        <w:spacing w:after="0" w:line="170"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Shares of equity funds and bond funds are valued at quoted market prices, which represent the net asset value of shares held by the Plan at year end. Common stock is valued at quoted market prices. Such securities are classified within Level 1 of the valuation hierarchy.</w:t>
      </w:r>
    </w:p>
    <w:p>
      <w:pPr>
        <w:spacing w:after="0" w:line="162"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common collective trust fund is valued at fair market value of the underlying investments and then adjusted by the issuer to contract value. The collective trust funds do not have finite lives, unfunded commitments relating to these types of investments, or significant restrictions on redemptions. The money market funds are valued at a stable $1.00 net asset value. Such securities are classified within Level 2 of the valuation hierarchy.</w:t>
      </w:r>
    </w:p>
    <w:p>
      <w:pPr>
        <w:spacing w:after="0" w:line="161"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Participant loans are valued at the amortized cost, which represents fair value. Such securities are classified within Level 3 of the valuation hierarchy.</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jc w:val="center"/>
        <w:ind w:right="1420"/>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4 — FAIR VALUE MEASUREMENT </w:t>
      </w:r>
      <w:r>
        <w:rPr>
          <w:rFonts w:ascii="Arial" w:cs="Arial" w:eastAsia="Arial" w:hAnsi="Arial"/>
          <w:sz w:val="18"/>
          <w:szCs w:val="18"/>
          <w:color w:val="auto"/>
        </w:rPr>
        <w:t>(continued)</w:t>
      </w:r>
    </w:p>
    <w:p>
      <w:pPr>
        <w:spacing w:after="0" w:line="193" w:lineRule="exact"/>
        <w:rPr>
          <w:sz w:val="20"/>
          <w:szCs w:val="20"/>
          <w:color w:val="auto"/>
        </w:rPr>
      </w:pPr>
    </w:p>
    <w:p>
      <w:pPr>
        <w:jc w:val="both"/>
        <w:ind w:left="340" w:right="1760"/>
        <w:spacing w:after="0" w:line="23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161" w:lineRule="exact"/>
        <w:rPr>
          <w:sz w:val="20"/>
          <w:szCs w:val="20"/>
          <w:color w:val="auto"/>
        </w:rPr>
      </w:pPr>
    </w:p>
    <w:p>
      <w:pPr>
        <w:jc w:val="both"/>
        <w:ind w:left="340" w:right="1760"/>
        <w:spacing w:after="0" w:line="246" w:lineRule="auto"/>
        <w:rPr>
          <w:sz w:val="20"/>
          <w:szCs w:val="20"/>
          <w:color w:val="auto"/>
        </w:rPr>
      </w:pPr>
      <w:r>
        <w:rPr>
          <w:rFonts w:ascii="Arial" w:cs="Arial" w:eastAsia="Arial" w:hAnsi="Arial"/>
          <w:sz w:val="18"/>
          <w:szCs w:val="18"/>
          <w:color w:val="auto"/>
        </w:rPr>
        <w:t>The following table sets forth by level, within the fair value hierarchy, the Plan’s assets at fair value as December 31, 2009.</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Growth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32,895,893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32,895,893</w:t>
            </w:r>
          </w:p>
        </w:tc>
      </w:tr>
      <w:tr>
        <w:trPr>
          <w:trHeight w:val="203"/>
        </w:trPr>
        <w:tc>
          <w:tcPr>
            <w:tcW w:w="4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Balanced funds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12,254,421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12,254,421</w:t>
            </w: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Value funds</w:t>
            </w: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13,505,011</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13,505,011</w:t>
            </w:r>
          </w:p>
        </w:tc>
      </w:tr>
      <w:tr>
        <w:trPr>
          <w:trHeight w:val="203"/>
        </w:trPr>
        <w:tc>
          <w:tcPr>
            <w:tcW w:w="4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 funds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19,937,922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19,937,922</w:t>
            </w: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Target date funds</w:t>
            </w: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23,128,261</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23,128,261</w:t>
            </w:r>
          </w:p>
        </w:tc>
      </w:tr>
      <w:tr>
        <w:trPr>
          <w:trHeight w:val="203"/>
        </w:trPr>
        <w:tc>
          <w:tcPr>
            <w:tcW w:w="4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Bond funds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11,663,878</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11,663,878</w:t>
            </w: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Other funds</w:t>
            </w: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1,904,967</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1,904,967</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10,856,308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10,856,308</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Brady common stock</w:t>
            </w: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3,901,240</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3,901,240</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collective trust fund</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17,664,194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17,664,194</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Participant loans</w:t>
            </w: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2,859,611</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2,859,611</w:t>
            </w:r>
          </w:p>
        </w:tc>
      </w:tr>
      <w:tr>
        <w:trPr>
          <w:trHeight w:val="210"/>
        </w:trPr>
        <w:tc>
          <w:tcPr>
            <w:tcW w:w="4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9"/>
              </w:rPr>
              <w:t>119,191,593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28,520,502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2,859,611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150,571,706</w:t>
            </w:r>
          </w:p>
        </w:tc>
      </w:tr>
      <w:tr>
        <w:trPr>
          <w:trHeight w:val="20"/>
        </w:trPr>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760"/>
        <w:spacing w:after="0" w:line="246" w:lineRule="auto"/>
        <w:rPr>
          <w:sz w:val="20"/>
          <w:szCs w:val="20"/>
          <w:color w:val="auto"/>
        </w:rPr>
      </w:pPr>
      <w:r>
        <w:rPr>
          <w:rFonts w:ascii="Arial" w:cs="Arial" w:eastAsia="Arial" w:hAnsi="Arial"/>
          <w:sz w:val="18"/>
          <w:szCs w:val="18"/>
          <w:color w:val="auto"/>
        </w:rPr>
        <w:t>The following table sets forth by level, within the fair value hierarchy, the Plan’s assets at fair value as December 31,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funds</w:t>
            </w:r>
          </w:p>
        </w:tc>
        <w:tc>
          <w:tcPr>
            <w:tcW w:w="13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w w:val="99"/>
              </w:rPr>
              <w:t>$71,524,084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71,524,084</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Bond fund</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9,496,041</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9,496,041</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11,983,892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11,983,892</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Brady common stock</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2,992,404</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2,992,404</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collective trust fund</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20,131,728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20,131,728</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Participant loans</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2,365,022</w:t>
            </w: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2,365,022</w:t>
            </w:r>
          </w:p>
        </w:tc>
        <w:tc>
          <w:tcPr>
            <w:tcW w:w="1760" w:type="dxa"/>
            <w:vAlign w:val="bottom"/>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84,012,529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32,115,620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2,365,022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118,493,171</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64"/>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jc w:val="center"/>
        <w:ind w:right="219"/>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4 — FAIR VALUE MEASUREMENT </w:t>
      </w:r>
      <w:r>
        <w:rPr>
          <w:rFonts w:ascii="Arial" w:cs="Arial" w:eastAsia="Arial" w:hAnsi="Arial"/>
          <w:sz w:val="18"/>
          <w:szCs w:val="18"/>
          <w:color w:val="auto"/>
        </w:rPr>
        <w:t>(continued)</w:t>
      </w:r>
    </w:p>
    <w:p>
      <w:pPr>
        <w:spacing w:after="0" w:line="19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table sets forth a summary of changes in fair value of the Plan’s level 3 assets for the year ended December 31, 2009 and 2008.</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6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2,365,022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2,464,347</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Purchases, sales, issuance, and settlements (net)</w:t>
            </w:r>
          </w:p>
        </w:tc>
        <w:tc>
          <w:tcPr>
            <w:tcW w:w="16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494,589</w:t>
            </w:r>
          </w:p>
        </w:tc>
        <w:tc>
          <w:tcPr>
            <w:tcW w:w="16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(99,325)</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2,859,611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2,365,022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NOTE 5 — PLAN TERMINATION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employer matching contributions in their accounts.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FEDERAL INCOME TAX STATUS</w:t>
      </w:r>
    </w:p>
    <w:p>
      <w:pPr>
        <w:spacing w:after="0" w:line="19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Plan uses a prototype plan document sponsored by PNC Bank (PNC or the Trustee). PNC received an opinion letter from the Internal Revenue Service (IRS), dated November 19, 2001,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EXEMPT PARTY-IN-INTEREST TRANSACTIONS</w:t>
      </w:r>
    </w:p>
    <w:p>
      <w:pPr>
        <w:spacing w:after="0" w:line="193"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Plan invests in Company common stock. In addition, certain plan investments represent shares of mutual funds and common collective trust funds managed by the Trustee. Fees paid by the Plan for investment management services were included as a reduction of the return earned on each fund. These transactions are considered party-in-interest transactions. These transactions are not, however, considered prohibited transactions under ERISA regulations.</w:t>
      </w:r>
    </w:p>
    <w:p>
      <w:pPr>
        <w:spacing w:after="0" w:line="162"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At December 31, 2009 and 2008, the Plan held 129,998 and 124,944 shares, respectively of common stock of Brady Corporation, with a cost basis of $ 2,824,087 and $3,127,795, respectively. During the years ended December 31, 2009 and 2008, the Plan recorded dividend income from the common stock of Brady Corporation of $93,305 and $69,176, respectively.</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jc w:val="center"/>
        <w:ind w:right="1420"/>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RECONCILIATION TO FORM 5500</w:t>
      </w:r>
    </w:p>
    <w:p>
      <w:pPr>
        <w:spacing w:after="0" w:line="193" w:lineRule="exact"/>
        <w:rPr>
          <w:sz w:val="20"/>
          <w:szCs w:val="20"/>
          <w:color w:val="auto"/>
        </w:rPr>
      </w:pPr>
    </w:p>
    <w:p>
      <w:pPr>
        <w:ind w:left="340" w:right="1760"/>
        <w:spacing w:after="0" w:line="246" w:lineRule="auto"/>
        <w:rPr>
          <w:sz w:val="20"/>
          <w:szCs w:val="20"/>
          <w:color w:val="auto"/>
        </w:rPr>
      </w:pPr>
      <w:r>
        <w:rPr>
          <w:rFonts w:ascii="Arial" w:cs="Arial" w:eastAsia="Arial" w:hAnsi="Arial"/>
          <w:sz w:val="18"/>
          <w:szCs w:val="18"/>
          <w:color w:val="auto"/>
        </w:rPr>
        <w:t>Net assets available for benefits in the accompanying financial statements are reported at contract value; however, they are recorded at fair value in the Plan’s Form 5500.</w:t>
      </w:r>
    </w:p>
    <w:p>
      <w:pPr>
        <w:spacing w:after="0" w:line="156" w:lineRule="exact"/>
        <w:rPr>
          <w:sz w:val="20"/>
          <w:szCs w:val="20"/>
          <w:color w:val="auto"/>
        </w:rPr>
      </w:pPr>
    </w:p>
    <w:p>
      <w:pPr>
        <w:ind w:left="340" w:right="1760"/>
        <w:spacing w:after="0" w:line="246" w:lineRule="auto"/>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656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196"/>
        </w:trPr>
        <w:tc>
          <w:tcPr>
            <w:tcW w:w="6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financial statements</w:t>
            </w:r>
          </w:p>
        </w:tc>
        <w:tc>
          <w:tcPr>
            <w:tcW w:w="15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$ 151,592,297</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$ 119,949,202</w:t>
            </w:r>
          </w:p>
        </w:tc>
      </w:tr>
      <w:tr>
        <w:trPr>
          <w:trHeight w:val="404"/>
        </w:trPr>
        <w:tc>
          <w:tcPr>
            <w:tcW w:w="65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560" w:type="dxa"/>
            <w:vAlign w:val="bottom"/>
          </w:tcPr>
          <w:p>
            <w:pPr>
              <w:ind w:left="200"/>
              <w:spacing w:after="0" w:line="203" w:lineRule="exact"/>
              <w:rPr>
                <w:sz w:val="20"/>
                <w:szCs w:val="20"/>
                <w:color w:val="auto"/>
              </w:rPr>
            </w:pPr>
            <w:r>
              <w:rPr>
                <w:rFonts w:ascii="Arial" w:cs="Arial" w:eastAsia="Arial" w:hAnsi="Arial"/>
                <w:sz w:val="18"/>
                <w:szCs w:val="18"/>
                <w:color w:val="auto"/>
              </w:rPr>
              <w:t>investment contracts</w:t>
            </w:r>
          </w:p>
        </w:tc>
        <w:tc>
          <w:tcPr>
            <w:tcW w:w="15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(44,408)</w:t>
            </w:r>
          </w:p>
        </w:tc>
        <w:tc>
          <w:tcPr>
            <w:tcW w:w="1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(800,143)</w:t>
            </w:r>
          </w:p>
        </w:tc>
      </w:tr>
      <w:tr>
        <w:trPr>
          <w:trHeight w:val="210"/>
        </w:trPr>
        <w:tc>
          <w:tcPr>
            <w:tcW w:w="65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reported per Form 5500</w:t>
            </w:r>
          </w:p>
        </w:tc>
        <w:tc>
          <w:tcPr>
            <w:tcW w:w="15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$ 151,547,889</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$ 119,149,059</w:t>
            </w:r>
          </w:p>
        </w:tc>
      </w:tr>
      <w:tr>
        <w:trPr>
          <w:trHeight w:val="20"/>
        </w:trPr>
        <w:tc>
          <w:tcPr>
            <w:tcW w:w="6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760"/>
        <w:spacing w:after="0" w:line="246" w:lineRule="auto"/>
        <w:rPr>
          <w:sz w:val="20"/>
          <w:szCs w:val="20"/>
          <w:color w:val="auto"/>
        </w:rPr>
      </w:pPr>
      <w:r>
        <w:rPr>
          <w:rFonts w:ascii="Arial" w:cs="Arial" w:eastAsia="Arial" w:hAnsi="Arial"/>
          <w:sz w:val="18"/>
          <w:szCs w:val="18"/>
          <w:color w:val="auto"/>
        </w:rPr>
        <w:t>The following table reconciles the increase (decrease) in net assets available for benefits per the financial statements to the Form 5500 for the year ended December 31: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reported per financial statements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31,643,095</w:t>
            </w:r>
          </w:p>
        </w:tc>
        <w:tc>
          <w:tcPr>
            <w:tcW w:w="1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(56,493,361)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investment contracts at end of year</w:t>
            </w: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(44,408)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(800,143)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contract value to fair value for fully benefit-responsive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investment contracts at beginning of year</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800,143</w:t>
            </w:r>
          </w:p>
        </w:tc>
        <w:tc>
          <w:tcPr>
            <w:tcW w:w="12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(227,453)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Transfer of assets (to) from Plan</w:t>
            </w:r>
          </w:p>
        </w:tc>
        <w:tc>
          <w:tcPr>
            <w:tcW w:w="12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(10,075,594)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11,702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reported per Form 5500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22,323,236</w:t>
            </w:r>
          </w:p>
        </w:tc>
        <w:tc>
          <w:tcPr>
            <w:tcW w:w="1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(57,509,255)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40" w:type="dxa"/>
            <w:vAlign w:val="bottom"/>
            <w:vMerge w:val="restart"/>
          </w:tcPr>
          <w:p>
            <w:pPr>
              <w:ind w:left="456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66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jc w:val="center"/>
        <w:ind w:right="219"/>
        <w:spacing w:after="0"/>
        <w:rPr>
          <w:sz w:val="20"/>
          <w:szCs w:val="20"/>
          <w:color w:val="auto"/>
        </w:rPr>
      </w:pPr>
      <w:r>
        <w:rPr>
          <w:rFonts w:ascii="Arial" w:cs="Arial" w:eastAsia="Arial" w:hAnsi="Arial"/>
          <w:sz w:val="18"/>
          <w:szCs w:val="18"/>
          <w:b w:val="1"/>
          <w:bCs w:val="1"/>
          <w:color w:val="auto"/>
        </w:rPr>
        <w:t>AS OF AND FOR THE YEARS ENDED DECEMBER 31, 2009 AND 2008</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TRANSFERS OF ASSETS FROM AFFILIATED PLANS</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Effective January 1, 2009, the Sorbent Products Co., Inc. Profit Sharing Plan; the Electromark Co. Permar Systems Inc. 401 (k) Profit Sharing &amp; Trust; the AIO Acquisitions Inc. 401 (k) Plan; the IDR &amp; CIPI Savings Plan; and the Tricor/EMED Co. Inc. 401 (k) Plan (formerly known as EMED Co. Inc. 401 (k) Plan) merged into the Plan.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SUBSEQUENT EVENTS</w:t>
      </w:r>
    </w:p>
    <w:p>
      <w:pPr>
        <w:spacing w:after="0" w:line="207"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Management evaluated subsequent events through the date the financial statements were issued. Events or transactions occurring after December 31, 2009, but prior to when the financial statements were issued, that provided additional evidence about conditions that existed at December 31, 2009 have been recognized in the financial statements for the year ended December 31, 2009. Events or transactions that provided evidence about conditions that did not exist at December 31, 2009 but arose before the financial statements were issued, have not been recognized in the financial statements for the year ended December 31, 2009</w:t>
      </w:r>
    </w:p>
    <w:p>
      <w:pPr>
        <w:spacing w:after="0" w:line="165"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Effective January 1, 2010, the Clement Communications Incorporated Pension Plan and the Stopware, Inc. 401(k) Plan merged into the Plan.</w:t>
      </w:r>
    </w:p>
    <w:p>
      <w:pPr>
        <w:spacing w:after="0" w:line="15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SUPPLEMENTAL SCHEDULE</w:t>
      </w: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0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72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BRADY MATCHED 401(K) PLAN</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160" w:type="dxa"/>
            <w:vAlign w:val="bottom"/>
            <w:gridSpan w:val="3"/>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SCHEDULE H, LINE 4i — SCHEDULE OF ASSETS (HELD AT END OF YEAR)</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2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AS OF DECEMBER 31, 2009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340" w:type="dxa"/>
            <w:vAlign w:val="bottom"/>
            <w:gridSpan w:val="5"/>
          </w:tcPr>
          <w:p>
            <w:pPr>
              <w:jc w:val="right"/>
              <w:ind w:right="1760"/>
              <w:spacing w:after="0"/>
              <w:rPr>
                <w:sz w:val="20"/>
                <w:szCs w:val="20"/>
                <w:color w:val="auto"/>
              </w:rPr>
            </w:pPr>
            <w:r>
              <w:rPr>
                <w:rFonts w:ascii="Arial" w:cs="Arial" w:eastAsia="Arial" w:hAnsi="Arial"/>
                <w:sz w:val="18"/>
                <w:szCs w:val="18"/>
                <w:b w:val="1"/>
                <w:bCs w:val="1"/>
                <w:color w:val="auto"/>
              </w:rPr>
              <w:t>EIN #: 39-0178960</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3"/>
          </w:tcPr>
          <w:p>
            <w:pPr>
              <w:jc w:val="right"/>
              <w:ind w:right="1760"/>
              <w:spacing w:after="0"/>
              <w:rPr>
                <w:sz w:val="20"/>
                <w:szCs w:val="20"/>
                <w:color w:val="auto"/>
              </w:rPr>
            </w:pPr>
            <w:r>
              <w:rPr>
                <w:rFonts w:ascii="Arial" w:cs="Arial" w:eastAsia="Arial" w:hAnsi="Arial"/>
                <w:sz w:val="18"/>
                <w:szCs w:val="18"/>
                <w:b w:val="1"/>
                <w:bCs w:val="1"/>
                <w:color w:val="auto"/>
              </w:rPr>
              <w:t>Plan #: 003</w:t>
            </w:r>
          </w:p>
        </w:tc>
        <w:tc>
          <w:tcPr>
            <w:tcW w:w="0" w:type="dxa"/>
            <w:vAlign w:val="bottom"/>
          </w:tcPr>
          <w:p>
            <w:pPr>
              <w:spacing w:after="0"/>
              <w:rPr>
                <w:sz w:val="1"/>
                <w:szCs w:val="1"/>
                <w:color w:val="auto"/>
              </w:rPr>
            </w:pP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right"/>
              <w:ind w:right="22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3"/>
          </w:tcPr>
          <w:p>
            <w:pPr>
              <w:jc w:val="right"/>
              <w:ind w:right="222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 FUNDS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Oppenheimer Developing Markets</w:t>
            </w: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8,718,437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Growth Fund of America</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26,267,719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Fidelity Diversified International Fund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11,219,485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Blackrock Small Cap Growth Equity Portfolio*</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6,628,174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American Century Small Cap Value Fund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5,777,903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LSV Value Equity Fund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7,727,108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 Rowe Price Retirement 2010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5,152,153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 Rowe Price Retirement 2020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5,805,961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 Rowe Price Retirement 2030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6,085,588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 Rowe Price Retirement 2040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5,510,736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 Rowe Price Retirement 2050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573,823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Credit Suisse Commodity Return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1,904,967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Vanguard Institutional Index Fund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12,254,421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103,626,475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COMMON COLLECTIVE TRUST FUND</w:t>
            </w: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PNC Investment Contract Fund*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17,664,194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BOND FUND</w:t>
            </w: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Vanguard Total Bond Index Inst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11,663,878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MONEY MARKET FUNDS</w:t>
            </w: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Vanguard Prime Money Market Fund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10,856,178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Brady Stock Liquidity Fund*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10,856,308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Brady Corporation Class A Non-voting*</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3,901,240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PARTICIPANT LOANS, at various interest rates and due through April 1, 2039*</w:t>
            </w: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7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2,859,611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 (HELD AT END OF YEAR)</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150,571,706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*Party-in-interest in the Plan.</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77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080" w:type="dxa"/>
            <w:vAlign w:val="bottom"/>
            <w:gridSpan w:val="3"/>
          </w:tcPr>
          <w:p>
            <w:pPr>
              <w:jc w:val="center"/>
              <w:ind w:left="1830"/>
              <w:spacing w:after="0"/>
              <w:rPr>
                <w:sz w:val="20"/>
                <w:szCs w:val="20"/>
                <w:color w:val="auto"/>
              </w:rPr>
            </w:pPr>
            <w:r>
              <w:rPr>
                <w:rFonts w:ascii="Arial" w:cs="Arial" w:eastAsia="Arial" w:hAnsi="Arial"/>
                <w:sz w:val="18"/>
                <w:szCs w:val="18"/>
                <w:color w:val="auto"/>
                <w:w w:val="99"/>
              </w:rPr>
              <w:t>15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6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67" w:lineRule="exact"/>
        <w:rPr>
          <w:sz w:val="20"/>
          <w:szCs w:val="20"/>
          <w:color w:val="auto"/>
        </w:rPr>
      </w:pPr>
    </w:p>
    <w:p>
      <w:pPr>
        <w:jc w:val="both"/>
        <w:ind w:left="340" w:right="559" w:firstLine="373"/>
        <w:spacing w:after="0" w:line="251"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who administer the employee benefit plan) have duly caused this annual report to be signed on its behalf by the undersigned hereunto duly authorized.</w:t>
      </w:r>
    </w:p>
    <w:p>
      <w:pPr>
        <w:spacing w:after="0" w:line="17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BRADY MATCHED 401(k) PLAN</w:t>
      </w:r>
    </w:p>
    <w:p>
      <w:pPr>
        <w:spacing w:after="0" w:line="198" w:lineRule="exact"/>
        <w:rPr>
          <w:sz w:val="20"/>
          <w:szCs w:val="20"/>
          <w:color w:val="auto"/>
        </w:rPr>
      </w:pPr>
    </w:p>
    <w:p>
      <w:pPr>
        <w:ind w:left="340"/>
        <w:spacing w:after="0"/>
        <w:tabs>
          <w:tab w:leader="none" w:pos="4800" w:val="left"/>
        </w:tabs>
        <w:rPr>
          <w:sz w:val="20"/>
          <w:szCs w:val="20"/>
          <w:color w:val="auto"/>
        </w:rPr>
      </w:pPr>
      <w:r>
        <w:rPr>
          <w:rFonts w:ascii="Arial" w:cs="Arial" w:eastAsia="Arial" w:hAnsi="Arial"/>
          <w:sz w:val="18"/>
          <w:szCs w:val="18"/>
          <w:color w:val="auto"/>
        </w:rPr>
        <w:t>Date: June 29, 2010</w:t>
      </w:r>
      <w:r>
        <w:rPr>
          <w:sz w:val="20"/>
          <w:szCs w:val="20"/>
          <w:color w:val="auto"/>
        </w:rPr>
        <w:tab/>
      </w:r>
      <w:r>
        <w:rPr>
          <w:rFonts w:ascii="Arial" w:cs="Arial" w:eastAsia="Arial" w:hAnsi="Arial"/>
          <w:sz w:val="17"/>
          <w:szCs w:val="17"/>
          <w:color w:val="auto"/>
        </w:rPr>
        <w:t>/s/ GARY VOSE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-1905</wp:posOffset>
            </wp:positionV>
            <wp:extent cx="2195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Gary Vose</w:t>
      </w:r>
    </w:p>
    <w:p>
      <w:pPr>
        <w:ind w:left="4820"/>
        <w:spacing w:after="0"/>
        <w:rPr>
          <w:sz w:val="20"/>
          <w:szCs w:val="20"/>
          <w:color w:val="auto"/>
        </w:rPr>
      </w:pPr>
      <w:r>
        <w:rPr>
          <w:rFonts w:ascii="Arial" w:cs="Arial" w:eastAsia="Arial" w:hAnsi="Arial"/>
          <w:sz w:val="18"/>
          <w:szCs w:val="18"/>
          <w:color w:val="auto"/>
        </w:rPr>
        <w:t>Plan Administrative Committee Member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6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772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2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340" w:type="dxa"/>
            <w:vAlign w:val="bottom"/>
          </w:tcPr>
          <w:p>
            <w:pPr>
              <w:spacing w:after="0"/>
              <w:rPr>
                <w:sz w:val="24"/>
                <w:szCs w:val="24"/>
                <w:color w:val="auto"/>
              </w:rPr>
            </w:pPr>
          </w:p>
        </w:tc>
        <w:tc>
          <w:tcPr>
            <w:tcW w:w="13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9"/>
              </w:rPr>
              <w:t>Exhibit No.</w:t>
            </w:r>
          </w:p>
        </w:tc>
        <w:tc>
          <w:tcPr>
            <w:tcW w:w="280" w:type="dxa"/>
            <w:vAlign w:val="bottom"/>
          </w:tcPr>
          <w:p>
            <w:pPr>
              <w:spacing w:after="0"/>
              <w:rPr>
                <w:sz w:val="24"/>
                <w:szCs w:val="24"/>
                <w:color w:val="auto"/>
              </w:rPr>
            </w:pPr>
          </w:p>
        </w:tc>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3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Consent of Clifton Gunderson LLP</w:t>
            </w:r>
          </w:p>
        </w:tc>
      </w:tr>
      <w:tr>
        <w:trPr>
          <w:trHeight w:val="7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0" w:type="dxa"/>
            <w:vAlign w:val="bottom"/>
            <w:gridSpan w:val="2"/>
          </w:tcPr>
          <w:p>
            <w:pPr>
              <w:jc w:val="right"/>
              <w:ind w:right="447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0219"/>
          </w:cols>
          <w:pgMar w:left="240" w:top="405" w:right="1440" w:bottom="1440" w:gutter="0" w:footer="0" w:header="0"/>
        </w:sectPr>
      </w:pPr>
    </w:p>
    <w:bookmarkStart w:id="21" w:name="page22"/>
    <w:bookmarkEnd w:id="21"/>
    <w:p>
      <w:pPr>
        <w:jc w:val="right"/>
        <w:ind w:right="559"/>
        <w:spacing w:after="0"/>
        <w:rPr>
          <w:sz w:val="20"/>
          <w:szCs w:val="20"/>
          <w:color w:val="auto"/>
        </w:rPr>
      </w:pPr>
      <w:r>
        <w:rPr>
          <w:rFonts w:ascii="Arial" w:cs="Arial" w:eastAsia="Arial" w:hAnsi="Arial"/>
          <w:sz w:val="18"/>
          <w:szCs w:val="18"/>
          <w:b w:val="1"/>
          <w:bCs w:val="1"/>
          <w:color w:val="auto"/>
        </w:rPr>
        <w:t>Exhibit 23.1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ind w:right="579"/>
        <w:spacing w:after="0"/>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29, 2010 appearing in this Annual Report on Form 11-K of Brady Matched 401(k) Plan for the year ended December 31, 2009 and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Clifton Gunderson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June 29, 2010</w:t>
      </w:r>
    </w:p>
    <w:sectPr>
      <w:pgSz w:w="11900" w:h="16838" w:orient="portrait"/>
      <w:cols w:equalWidth="0" w:num="1">
        <w:col w:w="9879"/>
      </w:cols>
      <w:pgMar w:left="5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2019-12-10T05:50:43Z</dcterms:created>
  <dcterms:modified xsi:type="dcterms:W3CDTF">2019-12-10T05:50:43Z</dcterms:modified>
</cp:coreProperties>
</file>