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320"/>
        <w:spacing w:after="0"/>
        <w:rPr>
          <w:sz w:val="20"/>
          <w:szCs w:val="20"/>
          <w:color w:val="auto"/>
        </w:rPr>
      </w:pPr>
      <w:r>
        <w:rPr>
          <w:rFonts w:ascii="Arial" w:cs="Arial" w:eastAsia="Arial" w:hAnsi="Arial"/>
          <w:sz w:val="21"/>
          <w:szCs w:val="21"/>
          <w:b w:val="1"/>
          <w:bCs w:val="1"/>
          <w:color w:val="auto"/>
        </w:rPr>
        <w:t>Date of Report (Date of earliest event reported): June 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224155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98" w:lineRule="exact"/>
        <w:rPr>
          <w:sz w:val="24"/>
          <w:szCs w:val="24"/>
          <w:color w:val="auto"/>
        </w:rPr>
      </w:pPr>
    </w:p>
    <w:p>
      <w:pPr>
        <w:jc w:val="center"/>
        <w:ind w:right="28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0540"/>
          </w:cols>
          <w:pgMar w:left="820"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184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6960" w:space="720"/>
            <w:col w:w="2860"/>
          </w:cols>
          <w:pgMar w:left="820" w:top="733" w:right="539" w:bottom="1440" w:gutter="0" w:footer="0" w:header="0"/>
          <w:type w:val="continuous"/>
        </w:sectPr>
      </w:pPr>
    </w:p>
    <w:p>
      <w:pPr>
        <w:jc w:val="center"/>
        <w:ind w:right="236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236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6820" w:space="720"/>
            <w:col w:w="3000"/>
          </w:cols>
          <w:pgMar w:left="820" w:top="733" w:right="539" w:bottom="1440" w:gutter="0" w:footer="0" w:header="0"/>
          <w:type w:val="continuous"/>
        </w:sectPr>
      </w:pPr>
    </w:p>
    <w:p>
      <w:pPr>
        <w:ind w:left="406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80"/>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0540"/>
          </w:cols>
          <w:pgMar w:left="820" w:top="733" w:right="539" w:bottom="1440" w:gutter="0" w:footer="0" w:header="0"/>
          <w:type w:val="continuous"/>
        </w:sectPr>
      </w:pPr>
    </w:p>
    <w:p>
      <w:pPr>
        <w:spacing w:after="0" w:line="38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540"/>
          </w:cols>
          <w:pgMar w:left="820" w:top="733" w:right="539" w:bottom="1440" w:gutter="0" w:footer="0" w:header="0"/>
          <w:type w:val="continuous"/>
        </w:sectPr>
      </w:pPr>
    </w:p>
    <w:bookmarkStart w:id="1" w:name="page2"/>
    <w:bookmarkEnd w:id="1"/>
    <w:p>
      <w:pPr>
        <w:jc w:val="both"/>
        <w:ind w:left="40"/>
        <w:spacing w:after="0" w:line="342" w:lineRule="auto"/>
        <w:rPr>
          <w:sz w:val="20"/>
          <w:szCs w:val="20"/>
          <w:color w:val="auto"/>
        </w:rPr>
      </w:pPr>
      <w:r>
        <w:rPr>
          <w:rFonts w:ascii="Arial" w:cs="Arial" w:eastAsia="Arial" w:hAnsi="Arial"/>
          <w:sz w:val="16"/>
          <w:szCs w:val="16"/>
          <w:color w:val="auto"/>
        </w:rPr>
        <w:t>Item 5.02</w:t>
      </w:r>
    </w:p>
    <w:p>
      <w:pPr>
        <w:spacing w:after="0" w:line="20" w:lineRule="exact"/>
        <w:rPr>
          <w:sz w:val="20"/>
          <w:szCs w:val="20"/>
          <w:color w:val="auto"/>
        </w:rPr>
      </w:pPr>
      <w:r>
        <w:rPr>
          <w:sz w:val="20"/>
          <w:szCs w:val="20"/>
          <w:color w:val="auto"/>
        </w:rPr>
        <w:br w:type="column"/>
      </w:r>
    </w:p>
    <w:p>
      <w:pPr>
        <w:ind w:right="840"/>
        <w:spacing w:after="0" w:line="277" w:lineRule="auto"/>
        <w:rPr>
          <w:sz w:val="20"/>
          <w:szCs w:val="20"/>
          <w:color w:val="auto"/>
        </w:rPr>
      </w:pPr>
      <w:r>
        <w:rPr>
          <w:rFonts w:ascii="Arial" w:cs="Arial" w:eastAsia="Arial" w:hAnsi="Arial"/>
          <w:sz w:val="18"/>
          <w:szCs w:val="18"/>
          <w:color w:val="auto"/>
        </w:rPr>
        <w:t>DEPARTURE OF DIRECTORS OR CERTAIN OFFICERS; ELECTION OF DIRECTORS; APPOINTMENT OF CERTAIN OFFICERS; COMPENSATORY ARRANGEMENTS OF CERTAIN OFFICERS</w:t>
      </w:r>
    </w:p>
    <w:p>
      <w:pPr>
        <w:spacing w:after="0" w:line="197" w:lineRule="exact"/>
        <w:rPr>
          <w:sz w:val="20"/>
          <w:szCs w:val="20"/>
          <w:color w:val="auto"/>
        </w:rPr>
      </w:pPr>
    </w:p>
    <w:p>
      <w:pPr>
        <w:sectPr>
          <w:pgSz w:w="11900" w:h="16838" w:orient="portrait"/>
          <w:cols w:equalWidth="0" w:num="2">
            <w:col w:w="360" w:space="220"/>
            <w:col w:w="10840"/>
          </w:cols>
          <w:pgMar w:left="240" w:top="962" w:right="239" w:bottom="1440" w:gutter="0" w:footer="0" w:header="0"/>
        </w:sectPr>
      </w:pPr>
    </w:p>
    <w:p>
      <w:pPr>
        <w:ind w:right="20" w:firstLine="8"/>
        <w:spacing w:after="0" w:line="277" w:lineRule="auto"/>
        <w:tabs>
          <w:tab w:leader="none" w:pos="427"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5, 2015, Brady Corporation (the “Company”) announced that Russell Shaller has been appointed Senior Vice President of the Company and President-Identification Solutions, effective June 22, 2015 (the “Hire Date”).</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Shaller, age 52, joins the Company after 7 years at Teledyne Technologies, Inc., a global instrumentation, engineered systems, digital imaging, and aerospace and defense electronics company. While at Teledyne, Mr. Shaller served as President, Teledyne Microwave Solutions, with responsibility for advanced microwave products sold into the aerospace and communications industry. Before joining Teledyne in 2008,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no arrangements or understandings between Mr. Shaller and any other persons pursuant to which he was selected as an officer of the Company, he has no family relationships with any of the Company’s directors or executive officers, and he has no direct or indirect material interest in any transaction required to be disclosed pursuant to Item 404(a) of Regulation S-K.</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entered into an employment letter dated June 2, 2015 with Mr. Shaller (the “Offer Letter”). The Offer Letter provides that Mr. Shaller will receive an annual base salary of $340,000, with eligibility for a target annual bonus at 55% of base salary beginning in fiscal 2016, recommendation for a fiscal 2016 annual equity award with a grant date value of $450,000, a cash sign-on bonus of $115,000, and will participate in the Company's equity incentive and other benefit plans on a basis similar to other executive officers, including an automobile allowance. The Offer Letter further provides that Mr. Shaller will receive a sign-on award of time-based restricted stock units (“RSUs”) with a grant date value of $525,000, to be granted on the Hire Date. The RSU award will vest in equal increments upon the first, second, third, fourth, and fifth anniversaries of the grant date. Mr. Shaller will have a Company share ownership requirement equal to three times his base salary.</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terms of the Offer Letter, Mr. Shaller will be eligible for a severance benefit equal to his base salary plus target bonus should his employment be terminated by the Company without cause or should he resign for good reason (as such events are defined in the Offer Letter). The Offer Letter also provides that Mr. Shaller will be eligible to enter into a change of control agreement, which will be in a form substantially the same as the change of control agreements entered into by other executive officers of the Company, where in the event of a qualifying termination following a change of control, he would receive payment of two times base salary and two times the average bonus payment received in the three years immediately prior to the date of the change of control.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copy of the press release announcing Mr. Shaller’s appointment is being furnished to the Securities and Exchange Commission as Exhibit 99.1 attached hereto, and is incorporated herein by reference. The description of the Offer Letter is qualified in its entirety by reference to the full text of such letter, a copy of which is attached hereto as Exhibit 10.1, and is incorporated herein by reference.</w:t>
      </w:r>
    </w:p>
    <w:p>
      <w:pPr>
        <w:sectPr>
          <w:pgSz w:w="11900" w:h="16838" w:orient="portrait"/>
          <w:cols w:equalWidth="0" w:num="1">
            <w:col w:w="11420"/>
          </w:cols>
          <w:pgMar w:left="240" w:top="962" w:right="239" w:bottom="1440" w:gutter="0" w:footer="0" w:header="0"/>
          <w:type w:val="continuous"/>
        </w:sectPr>
      </w:pPr>
    </w:p>
    <w:bookmarkStart w:id="2" w:name="page3"/>
    <w:bookmarkEnd w:id="2"/>
    <w:p>
      <w:pPr>
        <w:ind w:left="40"/>
        <w:spacing w:after="0"/>
        <w:tabs>
          <w:tab w:leader="none" w:pos="10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No.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10.1</w:t>
            </w:r>
          </w:p>
        </w:tc>
        <w:tc>
          <w:tcPr>
            <w:tcW w:w="6800" w:type="dxa"/>
            <w:vAlign w:val="bottom"/>
          </w:tcPr>
          <w:p>
            <w:pPr>
              <w:ind w:left="320"/>
              <w:spacing w:after="0"/>
              <w:rPr>
                <w:sz w:val="20"/>
                <w:szCs w:val="20"/>
                <w:color w:val="auto"/>
              </w:rPr>
            </w:pPr>
            <w:r>
              <w:rPr>
                <w:rFonts w:ascii="Arial" w:cs="Arial" w:eastAsia="Arial" w:hAnsi="Arial"/>
                <w:sz w:val="18"/>
                <w:szCs w:val="18"/>
                <w:color w:val="auto"/>
                <w:w w:val="90"/>
              </w:rPr>
              <w:t>Employment Offer Letter between the Company and Mr. Shaller dated as of June 2, 2015.</w:t>
            </w:r>
          </w:p>
        </w:tc>
      </w:tr>
      <w:tr>
        <w:trPr>
          <w:trHeight w:val="27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99.1</w:t>
            </w:r>
          </w:p>
        </w:tc>
        <w:tc>
          <w:tcPr>
            <w:tcW w:w="6800" w:type="dxa"/>
            <w:vAlign w:val="bottom"/>
          </w:tcPr>
          <w:p>
            <w:pPr>
              <w:ind w:left="320"/>
              <w:spacing w:after="0"/>
              <w:rPr>
                <w:sz w:val="20"/>
                <w:szCs w:val="20"/>
                <w:color w:val="auto"/>
              </w:rPr>
            </w:pPr>
            <w:r>
              <w:rPr>
                <w:rFonts w:ascii="Arial" w:cs="Arial" w:eastAsia="Arial" w:hAnsi="Arial"/>
                <w:sz w:val="18"/>
                <w:szCs w:val="18"/>
                <w:color w:val="auto"/>
              </w:rPr>
              <w:t>Press Release of Brady Corporation, dated June 5, 2015.</w:t>
            </w:r>
          </w:p>
        </w:tc>
      </w:tr>
    </w:tbl>
    <w:p>
      <w:pPr>
        <w:sectPr>
          <w:pgSz w:w="11900" w:h="16838" w:orient="portrait"/>
          <w:cols w:equalWidth="0" w:num="1">
            <w:col w:w="10219"/>
          </w:cols>
          <w:pgMar w:left="240" w:top="74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5, 2015</w:t>
      </w:r>
    </w:p>
    <w:p>
      <w:pPr>
        <w:spacing w:after="0" w:line="38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&amp;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8360" w:type="dxa"/>
            <w:vAlign w:val="bottom"/>
          </w:tcPr>
          <w:p>
            <w:pPr>
              <w:ind w:left="418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571"/>
        </w:trPr>
        <w:tc>
          <w:tcPr>
            <w:tcW w:w="880" w:type="dxa"/>
            <w:vAlign w:val="bottom"/>
          </w:tcPr>
          <w:p>
            <w:pPr>
              <w:ind w:left="40"/>
              <w:spacing w:after="0"/>
              <w:rPr>
                <w:sz w:val="20"/>
                <w:szCs w:val="20"/>
                <w:color w:val="auto"/>
              </w:rPr>
            </w:pPr>
            <w:r>
              <w:rPr>
                <w:rFonts w:ascii="Arial" w:cs="Arial" w:eastAsia="Arial" w:hAnsi="Arial"/>
                <w:sz w:val="16"/>
                <w:szCs w:val="16"/>
                <w:color w:val="auto"/>
              </w:rPr>
              <w:t>EXHIBIT</w:t>
            </w:r>
          </w:p>
        </w:tc>
        <w:tc>
          <w:tcPr>
            <w:tcW w:w="8360" w:type="dxa"/>
            <w:vAlign w:val="bottom"/>
            <w:vMerge w:val="restart"/>
          </w:tcPr>
          <w:p>
            <w:pPr>
              <w:ind w:left="16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2"/>
        </w:trPr>
        <w:tc>
          <w:tcPr>
            <w:tcW w:w="880" w:type="dxa"/>
            <w:vAlign w:val="bottom"/>
          </w:tcPr>
          <w:p>
            <w:pPr>
              <w:ind w:left="40"/>
              <w:spacing w:after="0"/>
              <w:rPr>
                <w:sz w:val="20"/>
                <w:szCs w:val="20"/>
                <w:color w:val="auto"/>
              </w:rPr>
            </w:pPr>
            <w:r>
              <w:rPr>
                <w:rFonts w:ascii="Arial" w:cs="Arial" w:eastAsia="Arial" w:hAnsi="Arial"/>
                <w:sz w:val="16"/>
                <w:szCs w:val="16"/>
                <w:color w:val="auto"/>
              </w:rPr>
              <w:t>NUMBER</w:t>
            </w: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8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tcPr>
          <w:p>
            <w:pPr>
              <w:ind w:left="40"/>
              <w:spacing w:after="0"/>
              <w:rPr>
                <w:sz w:val="20"/>
                <w:szCs w:val="20"/>
                <w:color w:val="auto"/>
              </w:rPr>
            </w:pPr>
            <w:r>
              <w:rPr>
                <w:rFonts w:ascii="Arial" w:cs="Arial" w:eastAsia="Arial" w:hAnsi="Arial"/>
                <w:sz w:val="18"/>
                <w:szCs w:val="18"/>
                <w:color w:val="auto"/>
              </w:rPr>
              <w:t>10.1</w:t>
            </w:r>
          </w:p>
        </w:tc>
        <w:tc>
          <w:tcPr>
            <w:tcW w:w="8360" w:type="dxa"/>
            <w:vAlign w:val="bottom"/>
          </w:tcPr>
          <w:p>
            <w:pPr>
              <w:ind w:left="160"/>
              <w:spacing w:after="0"/>
              <w:rPr>
                <w:sz w:val="20"/>
                <w:szCs w:val="20"/>
                <w:color w:val="auto"/>
              </w:rPr>
            </w:pPr>
            <w:r>
              <w:rPr>
                <w:rFonts w:ascii="Arial" w:cs="Arial" w:eastAsia="Arial" w:hAnsi="Arial"/>
                <w:sz w:val="18"/>
                <w:szCs w:val="18"/>
                <w:color w:val="auto"/>
              </w:rPr>
              <w:t>Employment Offer Letter between the Company and Mr. Shaller dated as of June 2, 2015.</w:t>
            </w:r>
          </w:p>
        </w:tc>
        <w:tc>
          <w:tcPr>
            <w:tcW w:w="0" w:type="dxa"/>
            <w:vAlign w:val="bottom"/>
          </w:tcPr>
          <w:p>
            <w:pPr>
              <w:spacing w:after="0"/>
              <w:rPr>
                <w:sz w:val="1"/>
                <w:szCs w:val="1"/>
                <w:color w:val="auto"/>
              </w:rPr>
            </w:pPr>
          </w:p>
        </w:tc>
      </w:tr>
      <w:tr>
        <w:trPr>
          <w:trHeight w:val="270"/>
        </w:trPr>
        <w:tc>
          <w:tcPr>
            <w:tcW w:w="880" w:type="dxa"/>
            <w:vAlign w:val="bottom"/>
          </w:tcPr>
          <w:p>
            <w:pPr>
              <w:ind w:left="40"/>
              <w:spacing w:after="0"/>
              <w:rPr>
                <w:sz w:val="20"/>
                <w:szCs w:val="20"/>
                <w:color w:val="auto"/>
              </w:rPr>
            </w:pPr>
            <w:r>
              <w:rPr>
                <w:rFonts w:ascii="Arial" w:cs="Arial" w:eastAsia="Arial" w:hAnsi="Arial"/>
                <w:sz w:val="18"/>
                <w:szCs w:val="18"/>
                <w:color w:val="auto"/>
              </w:rPr>
              <w:t>99.1</w:t>
            </w:r>
          </w:p>
        </w:tc>
        <w:tc>
          <w:tcPr>
            <w:tcW w:w="8360" w:type="dxa"/>
            <w:vAlign w:val="bottom"/>
          </w:tcPr>
          <w:p>
            <w:pPr>
              <w:ind w:left="160"/>
              <w:spacing w:after="0"/>
              <w:rPr>
                <w:sz w:val="20"/>
                <w:szCs w:val="20"/>
                <w:color w:val="auto"/>
              </w:rPr>
            </w:pPr>
            <w:r>
              <w:rPr>
                <w:rFonts w:ascii="Arial" w:cs="Arial" w:eastAsia="Arial" w:hAnsi="Arial"/>
                <w:sz w:val="18"/>
                <w:szCs w:val="18"/>
                <w:color w:val="auto"/>
              </w:rPr>
              <w:t>Press Release of Brady Corporation, dated June 5, 2015.</w:t>
            </w:r>
          </w:p>
        </w:tc>
        <w:tc>
          <w:tcPr>
            <w:tcW w:w="0" w:type="dxa"/>
            <w:vAlign w:val="bottom"/>
          </w:tcPr>
          <w:p>
            <w:pPr>
              <w:spacing w:after="0"/>
              <w:rPr>
                <w:sz w:val="1"/>
                <w:szCs w:val="1"/>
                <w:color w:val="auto"/>
              </w:rPr>
            </w:pPr>
          </w:p>
        </w:tc>
      </w:tr>
    </w:tbl>
    <w:p>
      <w:pPr>
        <w:sectPr>
          <w:pgSz w:w="11900" w:h="16838" w:orient="portrait"/>
          <w:cols w:equalWidth="0" w:num="1">
            <w:col w:w="10219"/>
          </w:cols>
          <w:pgMar w:left="240" w:top="800" w:right="1440" w:bottom="1440" w:gutter="0" w:footer="0" w:header="0"/>
        </w:sectPr>
      </w:pPr>
    </w:p>
    <w:bookmarkStart w:id="5" w:name="page6"/>
    <w:bookmarkEnd w:id="5"/>
    <w:p>
      <w:pPr>
        <w:ind w:left="10280"/>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Russell Shaller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Dear Russell: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Brady Corporation ('Brady') is a dynamic, performance-driven organization that strives to be a leader in our peer group. This is an aggressive goal and can only be attained by recruiting and developing a talented workforce. We want our employees to bring a diverse perspective to solving our business challenges and share our common values. We believe you possess the ability to enhance the quality of our team.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am pleased to offer you the position as President, Identification Solutions based in our Milwaukee, WI location. In this role, you will be reporting to me. Outlined below are the revised terms and conditions of your employment with Brady. In developing this offer, our goal has been to provide you with an attractive and competitive compensation package as you undertake your new position with Brady.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In your new position as President, Identification Solutions, your base salary will be $340,000 per year, or $13,077 per bi-weekly pay period.</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Annual Incentive Plan. </w:t>
      </w:r>
      <w:r>
        <w:rPr>
          <w:rFonts w:ascii="Arial" w:cs="Arial" w:eastAsia="Arial" w:hAnsi="Arial"/>
          <w:sz w:val="18"/>
          <w:szCs w:val="18"/>
          <w:color w:val="auto"/>
        </w:rPr>
        <w:t>As President, Identification Solutions, you are eligible to participate in Brady's annual incentive program. Bonus awards are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attainment of specified Company operating and financial goals as well as achievement of defined Company and individual objectives. Your targeted annual incentive opportunity is 55% of base annual salary with upside potential to 200% of this target depending on individual performance and corporate results (110% of salary). The first such payment for which you are eligible will be in September 2016 based upon results and performance in fiscal year 2016 (which begins on August 1, 2015).</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Sign-On Bonus. </w:t>
      </w:r>
      <w:r>
        <w:rPr>
          <w:rFonts w:ascii="Arial" w:cs="Arial" w:eastAsia="Arial" w:hAnsi="Arial"/>
          <w:sz w:val="18"/>
          <w:szCs w:val="18"/>
          <w:color w:val="auto"/>
        </w:rPr>
        <w:t>You will be paid a sign-on bonus in the gross amount of $115,000. This bonus will be paid to you within 30 days of your start date.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is intended to compensate you for the forfeiture of the current incentive opportunity you have with your current employer, including your annual bonus, from January 1, 2015 through July 31, 2015. Should you voluntarily terminate your employment within a period of one year from your start date, you will be required to pay the amount back in its entirety.</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Stock Incentive. </w:t>
      </w:r>
      <w:r>
        <w:rPr>
          <w:rFonts w:ascii="Arial" w:cs="Arial" w:eastAsia="Arial" w:hAnsi="Arial"/>
          <w:sz w:val="18"/>
          <w:szCs w:val="18"/>
          <w:color w:val="auto"/>
        </w:rPr>
        <w:t>As a key executive at Brady, you are eligible to participate in Brady's Long-Term Incentive Program. By accepting this offer,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 sign-on grant of restricted stock units (RSUs) with a value of $525,000 to be granted effective with your date of hire.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RSUs are a grant of units, with each unit, once vested, equal to a share of Brady stock. Restricted stock units are valued using the market price of Brady stock at the time of the grant. You will be taxed on the value of the vesting units using the stock price at vesting and may choose to cover taxes through the sale or forfeiture of units equal to the tax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RSUs will vest in equal (20%) installments on the first, second, third, fourth and fifth anniversaries of the grant.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and in accordance with the annual planning cycle, a recommendation will be made to the Board of Directors and, if approved, this September you will receive a stock incentive award with a grant date value of $450,000. The grant next year is anticipated to contain a fifty-fifty split of stock options and restricted stock units that vest in equal one-third installments on the first, second and third anniversaries of the grant.</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Transportation Allowance. </w:t>
      </w:r>
      <w:r>
        <w:rPr>
          <w:rFonts w:ascii="Arial" w:cs="Arial" w:eastAsia="Arial" w:hAnsi="Arial"/>
          <w:sz w:val="18"/>
          <w:szCs w:val="18"/>
          <w:color w:val="auto"/>
        </w:rPr>
        <w:t>You will receive a transportation allowance equal to $18,000 per year or $691.32 per bi-weekly pay period. This allowance is</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cover expenses including but not limited to monthly car payments, maintenance, car washes,</w:t>
      </w:r>
    </w:p>
    <w:p>
      <w:pPr>
        <w:sectPr>
          <w:pgSz w:w="11900" w:h="16838" w:orient="portrait"/>
          <w:cols w:equalWidth="0" w:num="1">
            <w:col w:w="11420"/>
          </w:cols>
          <w:pgMar w:left="240" w:top="580" w:right="239" w:bottom="1440"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color w:val="auto"/>
        </w:rPr>
        <w:t>tires, insurance, etc. The transportation allowance will be taxable income and taxed each pay period. You are responsible for the tax and Brady will not gross up the value to cover taxes.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Relocation. </w:t>
      </w:r>
      <w:r>
        <w:rPr>
          <w:rFonts w:ascii="Arial" w:cs="Arial" w:eastAsia="Arial" w:hAnsi="Arial"/>
          <w:sz w:val="18"/>
          <w:szCs w:val="18"/>
          <w:color w:val="auto"/>
        </w:rPr>
        <w:t>This position shall be held in Milwaukee, Wisconsin and you will be required to relocate within 15 months of your date of hire.</w:t>
      </w:r>
      <w:r>
        <w:rPr>
          <w:rFonts w:ascii="Arial" w:cs="Arial" w:eastAsia="Arial" w:hAnsi="Arial"/>
          <w:sz w:val="18"/>
          <w:szCs w:val="18"/>
          <w:b w:val="1"/>
          <w:bCs w:val="1"/>
          <w:color w:val="auto"/>
        </w:rPr>
        <w:t xml:space="preserve"> </w:t>
      </w:r>
      <w:r>
        <w:rPr>
          <w:rFonts w:ascii="Arial" w:cs="Arial" w:eastAsia="Arial" w:hAnsi="Arial"/>
          <w:sz w:val="18"/>
          <w:szCs w:val="18"/>
          <w:color w:val="222222"/>
        </w:rPr>
        <w:t>You are eligible</w:t>
      </w:r>
      <w:r>
        <w:rPr>
          <w:rFonts w:ascii="Arial" w:cs="Arial" w:eastAsia="Arial" w:hAnsi="Arial"/>
          <w:sz w:val="18"/>
          <w:szCs w:val="18"/>
          <w:b w:val="1"/>
          <w:bCs w:val="1"/>
          <w:color w:val="auto"/>
        </w:rPr>
        <w:t xml:space="preserve"> </w:t>
      </w:r>
      <w:r>
        <w:rPr>
          <w:rFonts w:ascii="Arial" w:cs="Arial" w:eastAsia="Arial" w:hAnsi="Arial"/>
          <w:sz w:val="18"/>
          <w:szCs w:val="18"/>
          <w:color w:val="222222"/>
        </w:rPr>
        <w:t>for the full homeowner’s relocation package as referenced in the attached homeowner’s relocation Policy, except that Brady will provide an additional 30 days temporary housing, for a maximum of 90 days temporary housing.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Brady offers an excellent benefits package. Please see the Summary of Executive Benefits for full details.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Vacation and Holidays. </w:t>
      </w:r>
      <w:r>
        <w:rPr>
          <w:rFonts w:ascii="Arial" w:cs="Arial" w:eastAsia="Arial" w:hAnsi="Arial"/>
          <w:sz w:val="18"/>
          <w:szCs w:val="18"/>
          <w:color w:val="auto"/>
        </w:rPr>
        <w:t>You are eligible for 4 weeks of vacation annually. In addition, you will enjoy company paid scheduled holidays (currently 9 days per</w:t>
      </w:r>
      <w:r>
        <w:rPr>
          <w:rFonts w:ascii="Arial" w:cs="Arial" w:eastAsia="Arial" w:hAnsi="Arial"/>
          <w:sz w:val="18"/>
          <w:szCs w:val="18"/>
          <w:b w:val="1"/>
          <w:bCs w:val="1"/>
          <w:color w:val="auto"/>
        </w:rPr>
        <w:t xml:space="preserve"> </w:t>
      </w:r>
      <w:r>
        <w:rPr>
          <w:rFonts w:ascii="Arial" w:cs="Arial" w:eastAsia="Arial" w:hAnsi="Arial"/>
          <w:sz w:val="18"/>
          <w:szCs w:val="18"/>
          <w:color w:val="auto"/>
        </w:rPr>
        <w:t>year) and 3 floating holidays.</w:t>
      </w:r>
    </w:p>
    <w:p>
      <w:pPr>
        <w:spacing w:after="0" w:line="16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We believe that the interests of shareholders and executives align when executives become shareholders in possession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meaningful amount of Company stock. Furthermore, we believe stock ownership encourages positive performance behaviors and discourages executives from taking undue risk. In order to encourage our executives and nonemployee directors to acquire and retain ownership of a significant number of shares of the Company’s stock, stock ownership guidelines have been established. In your position as President, Identification Solutions, you will be required to own and hold, directly or indirectly shares equal to three (3) times your base salary within five (5) years of your employment start date. No selling of company stock is allowed (other than as withholding or sale for taxes at your highest state and federal marginal tax rate) until the guideline has been satisfied.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Share ownership as measured against the guidelines will be calculated as of April 30th and reported to the Governance Committee in May of each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determining whether you meet the ownership level guidelines, the following stock will be included in the ownership calculation:</w:t>
      </w:r>
    </w:p>
    <w:p>
      <w:pPr>
        <w:spacing w:after="0" w:line="211" w:lineRule="exact"/>
        <w:rPr>
          <w:sz w:val="20"/>
          <w:szCs w:val="20"/>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Brady Corporation (NYSE: BRC) stock owned outright</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shares of Brady Corporation stock held in the Executive Deferred Compensation Plan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shares of Brady stock owned in the Brady Matched 401(k) Plan</w:t>
      </w:r>
    </w:p>
    <w:p>
      <w:pPr>
        <w:spacing w:after="0" w:line="9" w:lineRule="exact"/>
        <w:rPr>
          <w:rFonts w:ascii="Arial" w:cs="Arial" w:eastAsia="Arial" w:hAnsi="Arial"/>
          <w:sz w:val="18"/>
          <w:szCs w:val="18"/>
          <w:color w:val="auto"/>
        </w:rPr>
      </w:pPr>
    </w:p>
    <w:p>
      <w:pPr>
        <w:ind w:left="980" w:right="80" w:hanging="648"/>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 of any vested but unexercised stock options that have a strike price that is less than the 30-day average stock price ending April 30th of the year measured (i.e., “in the money” options)</w:t>
      </w: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restricted shares subject to time-based vesting restrictions</w:t>
      </w:r>
    </w:p>
    <w:p>
      <w:pPr>
        <w:spacing w:after="0" w:line="20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Change in Control Agreement. </w:t>
      </w:r>
      <w:r>
        <w:rPr>
          <w:rFonts w:ascii="Arial" w:cs="Arial" w:eastAsia="Arial" w:hAnsi="Arial"/>
          <w:sz w:val="18"/>
          <w:szCs w:val="18"/>
          <w:color w:val="auto"/>
        </w:rPr>
        <w:t>You will be provided with a Change In Control Agreement in the form executed by other executive officers that provides for</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2x your base salary plus 2x the average bonus payment received in the 3 years immediately prior to the date the change in control occurs. Such payment is not eligible for gross-up for taxes and will be capped if the level of benefit results in excise taxation.</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Indemnification and Directors and Officers Liability Insurance. </w:t>
      </w:r>
      <w:r>
        <w:rPr>
          <w:rFonts w:ascii="Arial" w:cs="Arial" w:eastAsia="Arial" w:hAnsi="Arial"/>
          <w:sz w:val="16"/>
          <w:szCs w:val="16"/>
          <w:color w:val="auto"/>
        </w:rPr>
        <w:t>Brady's by-laws provide for indemnification of any person who is made a party in an</w:t>
      </w:r>
      <w:r>
        <w:rPr>
          <w:rFonts w:ascii="Arial" w:cs="Arial" w:eastAsia="Arial" w:hAnsi="Arial"/>
          <w:sz w:val="16"/>
          <w:szCs w:val="16"/>
          <w:b w:val="1"/>
          <w:bCs w:val="1"/>
          <w:color w:val="auto"/>
        </w:rPr>
        <w:t xml:space="preserve"> </w:t>
      </w:r>
      <w:r>
        <w:rPr>
          <w:rFonts w:ascii="Arial" w:cs="Arial" w:eastAsia="Arial" w:hAnsi="Arial"/>
          <w:sz w:val="16"/>
          <w:szCs w:val="16"/>
          <w:color w:val="auto"/>
        </w:rPr>
        <w:t>actual or threatened legal proceeding by reason of the fact that he was an officer, against expenses (including attorneys fee's), judgments fines and amounts paid in settlement, in connection with such proceeding, to the extent permitted by the Wisconsin Business Corporation Law. The Company also maintains directors and officers liability insurance coverage for claims made against officers and directors in connection with such service to the Company.</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Employment At-Will. </w:t>
      </w:r>
      <w:r>
        <w:rPr>
          <w:rFonts w:ascii="Arial" w:cs="Arial" w:eastAsia="Arial" w:hAnsi="Arial"/>
          <w:sz w:val="18"/>
          <w:szCs w:val="18"/>
          <w:color w:val="auto"/>
        </w:rPr>
        <w:t>Please understand that this letter does not constitute a contract of employment for any specific period of time, but will create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at-will relationship that may be terminated at any time by you or Brady, with or without cause and with or without advance notice. The at-will nature of the employment relationship may not be modified or amended except by written agreement signed by Brady’s Lead Independent Director, Brady’s Chief Executive Officer and you.</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the foregoing, if your employment is terminated by Brady without Cause or you resign for Good Reason, Brady will pay you a severance benefit equal to one times your base salary plus target bonus, payable in monthly installments over a one year period. For this purpose, “Cause” means (i) your willful and continued failure to substantially perform your duties with the Company (other than any such failure resulting from physical or mental incapacity) after written demand for performance is given to you by the Company which specifically identifies the manner in which the Company believes you have not substantially performed and a reasonable time to cure has transpired, (ii) your conviction of or plea of nolo contendere for the commission of a felony, or (iii) your commission of an act of dishonesty or of any willful act of misconduct which results in or could reasonably be expected to result in significant injury (monetarily or otherwise) to the Company, as determined in good faith by the Committee. “Good Reason” shall be deemed to exist only if the Company shall fail to correct within 60 days after receipt of written notice from you specifying in reasonable detail the reasons you believe one of the following events or conditions has occurred (provided such notice is delivered by you no later than 30 days after the initial existence of the occurrence): (1) a material diminution of</w:t>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73" w:lineRule="auto"/>
        <w:rPr>
          <w:sz w:val="20"/>
          <w:szCs w:val="20"/>
          <w:color w:val="auto"/>
        </w:rPr>
      </w:pPr>
      <w:r>
        <w:rPr>
          <w:rFonts w:ascii="Arial" w:cs="Arial" w:eastAsia="Arial" w:hAnsi="Arial"/>
          <w:sz w:val="17"/>
          <w:szCs w:val="17"/>
          <w:color w:val="auto"/>
        </w:rPr>
        <w:t>your then current aggregate base salary and target bonus amount (other than pro rata reductions that also affect substantially all other similarly situated employees) without your prior written agreement; (2) the material diminution of your authority, duties or responsibilities as President, Identification Solutions without your prior written agreement; or (3) the relocation of your position with the Company to a location that is greater than 50 miles from Milwaukee, Wisconsin and that is also further from your principal place of residence, without your prior written agreement, provided that in all events the termination of your service with the Company shall not be treated as a termination for “Good Reason” unless such termination occurs not more than six (6) months following the initial existence of the occurrence of the event or condition claimed to constitute “Good Reason”.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offer shall remain in effect until Tuesday, June 2. If you choose to accept our offer, please sign and email the document back to me (Michael_Nauman@BradyCorp.com) or Helena (Helena_Nelligan@Bradycorp.com).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Russell, I trust this letter adequately covers the material terms of our offer. More importantly, I hope this letter conveys our sincere interest in having you join Brady Corporation as a President, Identification Solutions. I am confident that you will be challenged by this assignment and offered many opportunities for personal and professional growth. Should you have any questions regarding this offer, please contact 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90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 Brady Corporation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ACKNOWLEDGEMENT</w:t>
            </w:r>
          </w:p>
        </w:tc>
        <w:tc>
          <w:tcPr>
            <w:tcW w:w="1860" w:type="dxa"/>
            <w:vAlign w:val="bottom"/>
          </w:tcPr>
          <w:p>
            <w:pPr>
              <w:spacing w:after="0"/>
              <w:rPr>
                <w:sz w:val="20"/>
                <w:szCs w:val="20"/>
                <w:color w:val="auto"/>
              </w:rPr>
            </w:pPr>
          </w:p>
        </w:tc>
      </w:tr>
      <w:tr>
        <w:trPr>
          <w:trHeight w:val="594"/>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/s/ RUSSELL SHALLER</w:t>
            </w:r>
          </w:p>
        </w:tc>
        <w:tc>
          <w:tcPr>
            <w:tcW w:w="1860" w:type="dxa"/>
            <w:vAlign w:val="bottom"/>
          </w:tcPr>
          <w:p>
            <w:pPr>
              <w:ind w:left="40"/>
              <w:spacing w:after="0"/>
              <w:rPr>
                <w:sz w:val="20"/>
                <w:szCs w:val="20"/>
                <w:color w:val="auto"/>
              </w:rPr>
            </w:pPr>
            <w:r>
              <w:rPr>
                <w:rFonts w:ascii="Arial" w:cs="Arial" w:eastAsia="Arial" w:hAnsi="Arial"/>
                <w:sz w:val="18"/>
                <w:szCs w:val="18"/>
                <w:color w:val="auto"/>
              </w:rPr>
              <w:t>June 2, 2015</w:t>
            </w:r>
          </w:p>
        </w:tc>
      </w:tr>
      <w:tr>
        <w:trPr>
          <w:trHeight w:val="27"/>
        </w:trPr>
        <w:tc>
          <w:tcPr>
            <w:tcW w:w="2560" w:type="dxa"/>
            <w:vAlign w:val="bottom"/>
            <w:tcBorders>
              <w:bottom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Russell Shaller</w:t>
            </w:r>
          </w:p>
        </w:tc>
        <w:tc>
          <w:tcPr>
            <w:tcW w:w="1860" w:type="dxa"/>
            <w:vAlign w:val="bottom"/>
          </w:tcPr>
          <w:p>
            <w:pPr>
              <w:ind w:left="40"/>
              <w:spacing w:after="0"/>
              <w:rPr>
                <w:sz w:val="20"/>
                <w:szCs w:val="20"/>
                <w:color w:val="auto"/>
              </w:rPr>
            </w:pPr>
            <w:r>
              <w:rPr>
                <w:rFonts w:ascii="Arial" w:cs="Arial" w:eastAsia="Arial" w:hAnsi="Arial"/>
                <w:sz w:val="18"/>
                <w:szCs w:val="18"/>
                <w:color w:val="auto"/>
              </w:rPr>
              <w:t>Date</w:t>
            </w:r>
          </w:p>
        </w:tc>
      </w:tr>
      <w:tr>
        <w:trPr>
          <w:trHeight w:val="445"/>
        </w:trPr>
        <w:tc>
          <w:tcPr>
            <w:tcW w:w="5860" w:type="dxa"/>
            <w:vAlign w:val="bottom"/>
            <w:gridSpan w:val="2"/>
          </w:tcPr>
          <w:p>
            <w:pPr>
              <w:spacing w:after="0"/>
              <w:rPr>
                <w:sz w:val="20"/>
                <w:szCs w:val="20"/>
                <w:color w:val="auto"/>
              </w:rPr>
            </w:pPr>
            <w:r>
              <w:rPr>
                <w:rFonts w:ascii="Arial" w:cs="Arial" w:eastAsia="Arial" w:hAnsi="Arial"/>
                <w:sz w:val="18"/>
                <w:szCs w:val="18"/>
                <w:i w:val="1"/>
                <w:iCs w:val="1"/>
                <w:color w:val="auto"/>
              </w:rPr>
              <w:t>Enclosures</w:t>
            </w:r>
          </w:p>
        </w:tc>
        <w:tc>
          <w:tcPr>
            <w:tcW w:w="1860" w:type="dxa"/>
            <w:vAlign w:val="bottom"/>
          </w:tcPr>
          <w:p>
            <w:pPr>
              <w:spacing w:after="0"/>
              <w:rPr>
                <w:sz w:val="24"/>
                <w:szCs w:val="24"/>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Cc: HR file</w:t>
            </w:r>
          </w:p>
        </w:tc>
        <w:tc>
          <w:tcPr>
            <w:tcW w:w="1860" w:type="dxa"/>
            <w:vAlign w:val="bottom"/>
          </w:tcPr>
          <w:p>
            <w:pPr>
              <w:spacing w:after="0"/>
              <w:rPr>
                <w:sz w:val="20"/>
                <w:szCs w:val="20"/>
                <w:color w:val="auto"/>
              </w:rPr>
            </w:pPr>
          </w:p>
        </w:tc>
      </w:tr>
    </w:tbl>
    <w:p>
      <w:pPr>
        <w:sectPr>
          <w:pgSz w:w="11900" w:h="16838" w:orient="portrait"/>
          <w:cols w:equalWidth="0" w:num="1">
            <w:col w:w="11420"/>
          </w:cols>
          <w:pgMar w:left="240" w:top="58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 more information contact</w:t>
      </w: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Carole Herbstreit (media) 414-438-6882</w:t>
      </w:r>
    </w:p>
    <w:p>
      <w:pPr>
        <w:spacing w:after="0"/>
        <w:rPr>
          <w:sz w:val="20"/>
          <w:szCs w:val="20"/>
          <w:color w:val="auto"/>
        </w:rPr>
      </w:pPr>
      <w:r>
        <w:rPr>
          <w:rFonts w:ascii="Arial" w:cs="Arial" w:eastAsia="Arial" w:hAnsi="Arial"/>
          <w:sz w:val="20"/>
          <w:szCs w:val="20"/>
          <w:color w:val="auto"/>
        </w:rPr>
        <w:t>Ann Thornton (investors) 414-438-6887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Brady Corporation appoints Russell Shaller as President of its Identification Solutions Business</w:t>
      </w:r>
    </w:p>
    <w:p>
      <w:pPr>
        <w:spacing w:after="0" w:line="289" w:lineRule="exact"/>
        <w:rPr>
          <w:sz w:val="20"/>
          <w:szCs w:val="20"/>
          <w:color w:val="auto"/>
        </w:rPr>
      </w:pPr>
    </w:p>
    <w:p>
      <w:pPr>
        <w:ind w:right="60"/>
        <w:spacing w:after="0" w:line="370" w:lineRule="auto"/>
        <w:rPr>
          <w:sz w:val="20"/>
          <w:szCs w:val="20"/>
          <w:color w:val="auto"/>
        </w:rPr>
      </w:pPr>
      <w:r>
        <w:rPr>
          <w:rFonts w:ascii="Arial" w:cs="Arial" w:eastAsia="Arial" w:hAnsi="Arial"/>
          <w:sz w:val="19"/>
          <w:szCs w:val="19"/>
          <w:color w:val="auto"/>
        </w:rPr>
        <w:t>MILWAUKEE (June 5, 2015) - Brady Corporation (NYSE:BRC), a world leader in identification solutions and specialty materials, today announced the appointment of Russell Shaller to the position of Senior Vice President and President-Identification Solutions, effective June 22, 2015. Shaller will report to Brady President and Chief Executive Officer Michael Nauman, and will lead Brady’s largest global platform that includes safety and facility identification, wire identification and product identification businesses.</w:t>
      </w:r>
    </w:p>
    <w:p>
      <w:pPr>
        <w:spacing w:after="0" w:line="3" w:lineRule="exact"/>
        <w:rPr>
          <w:sz w:val="20"/>
          <w:szCs w:val="20"/>
          <w:color w:val="auto"/>
        </w:rPr>
      </w:pPr>
    </w:p>
    <w:p>
      <w:pPr>
        <w:ind w:right="220" w:firstLine="648"/>
        <w:spacing w:after="0" w:line="391" w:lineRule="auto"/>
        <w:rPr>
          <w:sz w:val="20"/>
          <w:szCs w:val="20"/>
          <w:color w:val="auto"/>
        </w:rPr>
      </w:pPr>
      <w:r>
        <w:rPr>
          <w:rFonts w:ascii="Arial" w:cs="Arial" w:eastAsia="Arial" w:hAnsi="Arial"/>
          <w:sz w:val="18"/>
          <w:szCs w:val="18"/>
          <w:color w:val="auto"/>
        </w:rPr>
        <w:t>Shaller comes to Brady from Teledyne Technologies, Inc. where he served as President of the Microwave Solutions business with responsibility for advanced microwave products sold into the aerospace and communications industries. Prior to joining Teledyne in 2008, he worked as Division Leader of the Electronic Products Division of W. L. Gore and Associates. He holds a Master of Business Administration degree from the University of Delaware and a Master of Science degree in electrical engineering from the Johns Hopkins University.</w:t>
      </w:r>
    </w:p>
    <w:p>
      <w:pPr>
        <w:spacing w:after="0" w:line="2" w:lineRule="exact"/>
        <w:rPr>
          <w:sz w:val="20"/>
          <w:szCs w:val="20"/>
          <w:color w:val="auto"/>
        </w:rPr>
      </w:pPr>
    </w:p>
    <w:p>
      <w:pPr>
        <w:ind w:right="100" w:firstLine="648"/>
        <w:spacing w:after="0" w:line="352" w:lineRule="auto"/>
        <w:rPr>
          <w:sz w:val="20"/>
          <w:szCs w:val="20"/>
          <w:color w:val="auto"/>
        </w:rPr>
      </w:pPr>
      <w:r>
        <w:rPr>
          <w:rFonts w:ascii="Arial" w:cs="Arial" w:eastAsia="Arial" w:hAnsi="Arial"/>
          <w:sz w:val="20"/>
          <w:szCs w:val="20"/>
          <w:color w:val="auto"/>
        </w:rPr>
        <w:t>"Russell Shaller brings a wealth of applicable leadership experience and a track record of success in organically growing both the top and bottom lines, and we are excited to have him join the Brady team,” said Nauman. "His strong background in developing emerging markets aligns with our strategies and his passion for driving growth fits well with our vision for Brady.”</w:t>
      </w:r>
    </w:p>
    <w:p>
      <w:pPr>
        <w:spacing w:after="0" w:line="1" w:lineRule="exact"/>
        <w:rPr>
          <w:sz w:val="20"/>
          <w:szCs w:val="20"/>
          <w:color w:val="auto"/>
        </w:rPr>
      </w:pPr>
    </w:p>
    <w:p>
      <w:pPr>
        <w:jc w:val="both"/>
        <w:ind w:right="200" w:firstLine="648"/>
        <w:spacing w:after="0" w:line="363" w:lineRule="auto"/>
        <w:rPr>
          <w:sz w:val="20"/>
          <w:szCs w:val="20"/>
          <w:color w:val="auto"/>
        </w:rPr>
      </w:pPr>
      <w:r>
        <w:rPr>
          <w:rFonts w:ascii="Arial" w:cs="Arial" w:eastAsia="Arial" w:hAnsi="Arial"/>
          <w:sz w:val="20"/>
          <w:szCs w:val="20"/>
          <w:color w:val="auto"/>
        </w:rPr>
        <w:t>“Brady’s Identification Solutions business is an industry leader with dedicated and talented professionals bringing value-added safety and identification products and services to a wide range of customers,” said Shaller. “I’m looking forward to working with the Brady team to exceed our customers’ expectations and drive growth.”</w:t>
      </w:r>
    </w:p>
    <w:p>
      <w:pPr>
        <w:spacing w:after="0" w:line="307" w:lineRule="exact"/>
        <w:rPr>
          <w:sz w:val="20"/>
          <w:szCs w:val="20"/>
          <w:color w:val="auto"/>
        </w:rPr>
      </w:pPr>
    </w:p>
    <w:p>
      <w:pPr>
        <w:ind w:right="40" w:firstLine="648"/>
        <w:spacing w:after="0" w:line="355" w:lineRule="auto"/>
        <w:rPr>
          <w:sz w:val="20"/>
          <w:szCs w:val="20"/>
          <w:color w:val="auto"/>
        </w:rPr>
      </w:pPr>
      <w:r>
        <w:rPr>
          <w:rFonts w:ascii="Arial" w:cs="Arial" w:eastAsia="Arial" w:hAnsi="Arial"/>
          <w:sz w:val="20"/>
          <w:szCs w:val="20"/>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aerospace, medical and a variety of other industries. Brady is headquartered in Milwaukee, Wisconsin and as of August 1, 2014, employed approximately 6,400 people in its worldwide businesses. Brady’s fiscal 2014 sales were approximately $1.23 billion. Brady stock trades on the New York Stock Exchange under the symbol BRC. More information is available on the Internet at </w:t>
      </w:r>
      <w:r>
        <w:rPr>
          <w:rFonts w:ascii="Arial" w:cs="Arial" w:eastAsia="Arial" w:hAnsi="Arial"/>
          <w:sz w:val="20"/>
          <w:szCs w:val="20"/>
          <w:u w:val="single" w:color="auto"/>
          <w:color w:val="auto"/>
        </w:rPr>
        <w:t>www.bradycorp.com</w:t>
      </w:r>
      <w:r>
        <w:rPr>
          <w:rFonts w:ascii="Arial" w:cs="Arial" w:eastAsia="Arial" w:hAnsi="Arial"/>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2019-12-05T22:08:26Z</dcterms:created>
  <dcterms:modified xsi:type="dcterms:W3CDTF">2019-12-05T22:08:26Z</dcterms:modified>
</cp:coreProperties>
</file>